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6365C" w:val="clear"/>
        <w:spacing w:after="0"/>
      </w:pPr>
      <w:r>
        <w:rPr>
          <w:b/>
          <w:bCs/>
          <w:color w:val="FFFFFF"/>
          <w:sz w:val="40"/>
          <w:szCs w:val="40"/>
        </w:rPr>
        <w:t xml:space="preserve">WBS – Work Breakdown Structure</w:t>
      </w:r>
    </w:p>
    <w:p>
      <w:pPr>
        <w:shd w:fill="16365C" w:val="clear"/>
        <w:spacing w:after="300"/>
      </w:pPr>
      <w:r>
        <w:rPr>
          <w:color w:val="D6E4F0"/>
          <w:sz w:val="22"/>
          <w:szCs w:val="22"/>
        </w:rPr>
        <w:t xml:space="preserve">Proyecto: Sistema de Gestión de Inventario para Biblioteca Escolar | Fecha: 14 de Agosto de 2026</w:t>
      </w:r>
    </w:p>
    <w:p>
      <w:pPr>
        <w:pStyle w:val="Heading1"/>
        <w:pBdr>
          <w:left w:val="single" w:color="1F6FB2" w:sz="24" w:space="8"/>
        </w:pBdr>
        <w:spacing w:after="150" w:before="300"/>
      </w:pPr>
      <w:r>
        <w:rPr>
          <w:b/>
          <w:bCs/>
          <w:color w:val="16365C"/>
          <w:sz w:val="28"/>
          <w:szCs w:val="28"/>
        </w:rPr>
        <w:t xml:space="preserve">1. Equipo del Proyecto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Frontend (React.js): </w:t>
      </w:r>
      <w:r>
        <w:rPr>
          <w:sz w:val="21"/>
          <w:szCs w:val="21"/>
        </w:rPr>
        <w:t xml:space="preserve">Micaela Pedrozo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Backend (Node.js / Express): </w:t>
      </w:r>
      <w:r>
        <w:rPr>
          <w:sz w:val="21"/>
          <w:szCs w:val="21"/>
        </w:rPr>
        <w:t xml:space="preserve">Santiago López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Base de Datos (Supabase / PostgreSQL) y Project Manager: </w:t>
      </w:r>
      <w:r>
        <w:rPr>
          <w:sz w:val="21"/>
          <w:szCs w:val="21"/>
        </w:rPr>
        <w:t xml:space="preserve">María Gómez Villarruel</w:t>
      </w:r>
    </w:p>
    <w:p>
      <w:pPr>
        <w:pStyle w:val="Heading1"/>
        <w:pBdr>
          <w:left w:val="single" w:color="1F6FB2" w:sz="24" w:space="8"/>
        </w:pBdr>
        <w:spacing w:after="150" w:before="300"/>
      </w:pPr>
      <w:r>
        <w:rPr>
          <w:b/>
          <w:bCs/>
          <w:color w:val="16365C"/>
          <w:sz w:val="28"/>
          <w:szCs w:val="28"/>
        </w:rPr>
        <w:t xml:space="preserve">2. Curva S – Avance Acumulado Planificado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Porcentaje de avance acumulado planificado por mes, según cronograma del proyecto: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Mayo: </w:t>
      </w:r>
      <w:r>
        <w:rPr>
          <w:sz w:val="21"/>
          <w:szCs w:val="21"/>
        </w:rPr>
        <w:t xml:space="preserve">5%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Junio: </w:t>
      </w:r>
      <w:r>
        <w:rPr>
          <w:sz w:val="21"/>
          <w:szCs w:val="21"/>
        </w:rPr>
        <w:t xml:space="preserve">15%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Julio: </w:t>
      </w:r>
      <w:r>
        <w:rPr>
          <w:sz w:val="21"/>
          <w:szCs w:val="21"/>
        </w:rPr>
        <w:t xml:space="preserve">35%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Agosto (Hito actual): </w:t>
      </w:r>
      <w:r>
        <w:rPr>
          <w:sz w:val="21"/>
          <w:szCs w:val="21"/>
        </w:rPr>
        <w:t xml:space="preserve">70%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Septiembre: </w:t>
      </w:r>
      <w:r>
        <w:rPr>
          <w:sz w:val="21"/>
          <w:szCs w:val="21"/>
        </w:rPr>
        <w:t xml:space="preserve">85%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Octubre: </w:t>
      </w:r>
      <w:r>
        <w:rPr>
          <w:sz w:val="21"/>
          <w:szCs w:val="21"/>
        </w:rPr>
        <w:t xml:space="preserve">95%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Noviembre: </w:t>
      </w:r>
      <w:r>
        <w:rPr>
          <w:sz w:val="21"/>
          <w:szCs w:val="21"/>
        </w:rPr>
        <w:t xml:space="preserve">100%</w:t>
      </w:r>
    </w:p>
    <w:p>
      <w:pPr>
        <w:pStyle w:val="Heading1"/>
        <w:pBdr>
          <w:left w:val="single" w:color="1F6FB2" w:sz="24" w:space="8"/>
        </w:pBdr>
        <w:spacing w:after="150" w:before="300"/>
      </w:pPr>
      <w:r>
        <w:rPr>
          <w:b/>
          <w:bCs/>
          <w:color w:val="16365C"/>
          <w:sz w:val="28"/>
          <w:szCs w:val="28"/>
        </w:rPr>
        <w:t xml:space="preserve">3. WBS (Desglose de Trabajo)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Estructura detallada de tareas del proyecto organizada por fases, responsabilidades y meses del cronograma: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2100"/>
        <w:gridCol w:w="2300"/>
      </w:tblGrid>
      <w:tr>
        <w:trPr>
          <w:tblHeader/>
        </w:trPr>
        <w:tc>
          <w:tcPr>
            <w:tcW w:type="dxa" w:w="700"/>
            <w:shd w:fill="1F6F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shd w:fill="1F6F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Tarea Detallada</w:t>
            </w:r>
          </w:p>
        </w:tc>
        <w:tc>
          <w:tcPr>
            <w:tcW w:type="dxa" w:w="2100"/>
            <w:shd w:fill="1F6F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300"/>
            <w:shd w:fill="1F6F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 / Hito Asociado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Relevamiento de requerimientos y definición de alcance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M. Gómez Villarruel (PM)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Inicio (Mayo)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Diseño conceptual del modelo de datos (materiales, préstamos, usuarios)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M. Gómez Villarruel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Inicio (Mayo)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1.3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Creación del proyecto y tablas iniciales en Supabase (PostgreSQL)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M. Gómez Villarruel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Inicio (Mayo)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1.4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Definición de arquitectura del stack (SERN)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Equipo completo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Inicio (Mayo)</w:t>
            </w:r>
          </w:p>
        </w:tc>
      </w:tr>
      <w:tr>
        <w:tc>
          <w:tcPr>
            <w:tcW w:type="dxa" w:w="7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2.1</w:t>
            </w:r>
          </w:p>
        </w:tc>
        <w:tc>
          <w:tcPr>
            <w:tcW w:type="dxa" w:w="52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Configuración de entorno Backend (Node.js + Express)</w:t>
            </w:r>
          </w:p>
        </w:tc>
        <w:tc>
          <w:tcPr>
            <w:tcW w:type="dxa" w:w="21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S. López</w:t>
            </w:r>
          </w:p>
        </w:tc>
        <w:tc>
          <w:tcPr>
            <w:tcW w:type="dxa" w:w="23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Hito 1 (Junio)</w:t>
            </w:r>
          </w:p>
        </w:tc>
      </w:tr>
      <w:tr>
        <w:tc>
          <w:tcPr>
            <w:tcW w:type="dxa" w:w="7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2.2</w:t>
            </w:r>
          </w:p>
        </w:tc>
        <w:tc>
          <w:tcPr>
            <w:tcW w:type="dxa" w:w="52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Configuración de conexión Backend–Supabase</w:t>
            </w:r>
          </w:p>
        </w:tc>
        <w:tc>
          <w:tcPr>
            <w:tcW w:type="dxa" w:w="21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S. López</w:t>
            </w:r>
          </w:p>
        </w:tc>
        <w:tc>
          <w:tcPr>
            <w:tcW w:type="dxa" w:w="23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Hito 1 (Junio)</w:t>
            </w:r>
          </w:p>
        </w:tc>
      </w:tr>
      <w:tr>
        <w:tc>
          <w:tcPr>
            <w:tcW w:type="dxa" w:w="7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2.3</w:t>
            </w:r>
          </w:p>
        </w:tc>
        <w:tc>
          <w:tcPr>
            <w:tcW w:type="dxa" w:w="52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Configuración de entorno Frontend (React.js)</w:t>
            </w:r>
          </w:p>
        </w:tc>
        <w:tc>
          <w:tcPr>
            <w:tcW w:type="dxa" w:w="21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M. Pedrozo</w:t>
            </w:r>
          </w:p>
        </w:tc>
        <w:tc>
          <w:tcPr>
            <w:tcW w:type="dxa" w:w="23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Hito 1 (Junio)</w:t>
            </w:r>
          </w:p>
        </w:tc>
      </w:tr>
      <w:tr>
        <w:tc>
          <w:tcPr>
            <w:tcW w:type="dxa" w:w="7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2.4</w:t>
            </w:r>
          </w:p>
        </w:tc>
        <w:tc>
          <w:tcPr>
            <w:tcW w:type="dxa" w:w="52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Estructura de carpetas y componentes base del panel</w:t>
            </w:r>
          </w:p>
        </w:tc>
        <w:tc>
          <w:tcPr>
            <w:tcW w:type="dxa" w:w="21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M. Pedrozo</w:t>
            </w:r>
          </w:p>
        </w:tc>
        <w:tc>
          <w:tcPr>
            <w:tcW w:type="dxa" w:w="23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Hito 1 (Junio)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3.1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API: Autenticación y gestión de usuarios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S. López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Hito 2 (Julio)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3.2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API: CRUD de inventario (alta, edición, listado de materiales)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S. López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Hito 2 (Julio)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3.3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Panel principal / Dashboard del bibliotecario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M. Pedrozo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Hito 2 (Julio)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3.4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Formulario de alta y edición de materiales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M. Pedrozo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Hito 2 (Julio)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3.5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Seguimiento de avance (Curva S) y documentación del proyecto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M. Gómez Villarruel (PM)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Hito 2 (Julio)</w:t>
            </w:r>
          </w:p>
        </w:tc>
      </w:tr>
      <w:tr>
        <w:tc>
          <w:tcPr>
            <w:tcW w:type="dxa" w:w="7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4.1</w:t>
            </w:r>
          </w:p>
        </w:tc>
        <w:tc>
          <w:tcPr>
            <w:tcW w:type="dxa" w:w="52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API: Registro de préstamos (marcar material "en préstamo")</w:t>
            </w:r>
          </w:p>
        </w:tc>
        <w:tc>
          <w:tcPr>
            <w:tcW w:type="dxa" w:w="21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S. López</w:t>
            </w:r>
          </w:p>
        </w:tc>
        <w:tc>
          <w:tcPr>
            <w:tcW w:type="dxa" w:w="23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Hito 3 (Agosto – Actual)</w:t>
            </w:r>
          </w:p>
        </w:tc>
      </w:tr>
      <w:tr>
        <w:tc>
          <w:tcPr>
            <w:tcW w:type="dxa" w:w="7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4.2</w:t>
            </w:r>
          </w:p>
        </w:tc>
        <w:tc>
          <w:tcPr>
            <w:tcW w:type="dxa" w:w="52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API: Registro de devoluciones y actualización de stock</w:t>
            </w:r>
          </w:p>
        </w:tc>
        <w:tc>
          <w:tcPr>
            <w:tcW w:type="dxa" w:w="21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S. López</w:t>
            </w:r>
          </w:p>
        </w:tc>
        <w:tc>
          <w:tcPr>
            <w:tcW w:type="dxa" w:w="23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Hito 3 (Agosto – Actual)</w:t>
            </w:r>
          </w:p>
        </w:tc>
      </w:tr>
      <w:tr>
        <w:tc>
          <w:tcPr>
            <w:tcW w:type="dxa" w:w="7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4.3</w:t>
            </w:r>
          </w:p>
        </w:tc>
        <w:tc>
          <w:tcPr>
            <w:tcW w:type="dxa" w:w="52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Vista de control de stock (disponible / prestado)</w:t>
            </w:r>
          </w:p>
        </w:tc>
        <w:tc>
          <w:tcPr>
            <w:tcW w:type="dxa" w:w="21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M. Pedrozo</w:t>
            </w:r>
          </w:p>
        </w:tc>
        <w:tc>
          <w:tcPr>
            <w:tcW w:type="dxa" w:w="23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Hito 3 (Agosto – Actual)</w:t>
            </w:r>
          </w:p>
        </w:tc>
      </w:tr>
      <w:tr>
        <w:tc>
          <w:tcPr>
            <w:tcW w:type="dxa" w:w="7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4.4</w:t>
            </w:r>
          </w:p>
        </w:tc>
        <w:tc>
          <w:tcPr>
            <w:tcW w:type="dxa" w:w="52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Formulario rápido de salida / entrada de materiales</w:t>
            </w:r>
          </w:p>
        </w:tc>
        <w:tc>
          <w:tcPr>
            <w:tcW w:type="dxa" w:w="21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M. Pedrozo</w:t>
            </w:r>
          </w:p>
        </w:tc>
        <w:tc>
          <w:tcPr>
            <w:tcW w:type="dxa" w:w="23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Hito 3 (Agosto – Actual)</w:t>
            </w:r>
          </w:p>
        </w:tc>
      </w:tr>
      <w:tr>
        <w:tc>
          <w:tcPr>
            <w:tcW w:type="dxa" w:w="7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4.5</w:t>
            </w:r>
          </w:p>
        </w:tc>
        <w:tc>
          <w:tcPr>
            <w:tcW w:type="dxa" w:w="52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Panel de análisis de adopción (gráfico Curva S)</w:t>
            </w:r>
          </w:p>
        </w:tc>
        <w:tc>
          <w:tcPr>
            <w:tcW w:type="dxa" w:w="21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M. Pedrozo</w:t>
            </w:r>
          </w:p>
        </w:tc>
        <w:tc>
          <w:tcPr>
            <w:tcW w:type="dxa" w:w="23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Hito 3 (Agosto – Actual)</w:t>
            </w:r>
          </w:p>
        </w:tc>
      </w:tr>
      <w:tr>
        <w:tc>
          <w:tcPr>
            <w:tcW w:type="dxa" w:w="7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4.6</w:t>
            </w:r>
          </w:p>
        </w:tc>
        <w:tc>
          <w:tcPr>
            <w:tcW w:type="dxa" w:w="52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 de avance del proyecto y coordinación del equipo</w:t>
            </w:r>
          </w:p>
        </w:tc>
        <w:tc>
          <w:tcPr>
            <w:tcW w:type="dxa" w:w="21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M. Gómez Villarruel (PM)</w:t>
            </w:r>
          </w:p>
        </w:tc>
        <w:tc>
          <w:tcPr>
            <w:tcW w:type="dxa" w:w="23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Hito 3 (Agosto – Actual)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5.1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Integración Frontend–Backend: módulo usuarios / autenticación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M. Pedrozo / S. López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Hito 4 (Septiembre)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5.2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Integración Frontend–Backend: módulo inventario y préstamos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M. Pedrozo / S. López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Hito 4 (Septiembre)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5.3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Despliegue del Backend en Render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S. López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Hito 4 (Septiembre)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5.4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Despliegue del Frontend en Vercel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M. Pedrozo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Hito 4 (Septiembre)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5.5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Verificación de conexión end-to-end con Supabase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M. Gómez Villarruel (PM)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Hito 4 (Septiembre)</w:t>
            </w:r>
          </w:p>
        </w:tc>
      </w:tr>
      <w:tr>
        <w:tc>
          <w:tcPr>
            <w:tcW w:type="dxa" w:w="7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6.1</w:t>
            </w:r>
          </w:p>
        </w:tc>
        <w:tc>
          <w:tcPr>
            <w:tcW w:type="dxa" w:w="52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Pruebas funcionales del sistema integrado</w:t>
            </w:r>
          </w:p>
        </w:tc>
        <w:tc>
          <w:tcPr>
            <w:tcW w:type="dxa" w:w="21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Equipo completo</w:t>
            </w:r>
          </w:p>
        </w:tc>
        <w:tc>
          <w:tcPr>
            <w:tcW w:type="dxa" w:w="23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Hito 5 (Octubre)</w:t>
            </w:r>
          </w:p>
        </w:tc>
      </w:tr>
      <w:tr>
        <w:tc>
          <w:tcPr>
            <w:tcW w:type="dxa" w:w="7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6.2</w:t>
            </w:r>
          </w:p>
        </w:tc>
        <w:tc>
          <w:tcPr>
            <w:tcW w:type="dxa" w:w="52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Pruebas con usuario real (bibliotecario)</w:t>
            </w:r>
          </w:p>
        </w:tc>
        <w:tc>
          <w:tcPr>
            <w:tcW w:type="dxa" w:w="21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M. Gómez Villarruel (PM)</w:t>
            </w:r>
          </w:p>
        </w:tc>
        <w:tc>
          <w:tcPr>
            <w:tcW w:type="dxa" w:w="23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Hito 5 (Octubre)</w:t>
            </w:r>
          </w:p>
        </w:tc>
      </w:tr>
      <w:tr>
        <w:tc>
          <w:tcPr>
            <w:tcW w:type="dxa" w:w="7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6.3</w:t>
            </w:r>
          </w:p>
        </w:tc>
        <w:tc>
          <w:tcPr>
            <w:tcW w:type="dxa" w:w="52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Corrección de errores (debugging)</w:t>
            </w:r>
          </w:p>
        </w:tc>
        <w:tc>
          <w:tcPr>
            <w:tcW w:type="dxa" w:w="21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Equipo completo</w:t>
            </w:r>
          </w:p>
        </w:tc>
        <w:tc>
          <w:tcPr>
            <w:tcW w:type="dxa" w:w="23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Hito 5 (Octubre)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7.1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Documentación final del proyecto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Equipo completo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Cierre (Noviembre)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7.2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Depuración y ajustes finales de UI/UX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M. Pedrozo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Cierre (Noviembre)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7.3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Entrega, presentación final y demo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M. Gómez Villarruel (PM)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Cierre (Noviembre)</w:t>
            </w:r>
          </w:p>
        </w:tc>
      </w:tr>
    </w:tbl>
    <w:p>
      <w:pPr>
        <w:spacing w:before="300"/>
      </w:pPr>
    </w:p>
    <w:p>
      <w:pPr>
        <w:pStyle w:val="Heading1"/>
        <w:pBdr>
          <w:left w:val="single" w:color="1F6FB2" w:sz="24" w:space="8"/>
        </w:pBdr>
        <w:spacing w:after="150" w:before="300"/>
      </w:pPr>
      <w:r>
        <w:rPr>
          <w:b/>
          <w:bCs/>
          <w:color w:val="16365C"/>
          <w:sz w:val="28"/>
          <w:szCs w:val="28"/>
        </w:rPr>
        <w:t xml:space="preserve">4. Notas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Stack tecnológico: </w:t>
      </w:r>
      <w:r>
        <w:rPr>
          <w:sz w:val="21"/>
          <w:szCs w:val="21"/>
        </w:rPr>
        <w:t xml:space="preserve">Frontend en React.js, Backend en Node.js + Express, Base de Datos y Autenticación en Supabase (PostgreSQL).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Despliegue: </w:t>
      </w:r>
      <w:r>
        <w:rPr>
          <w:sz w:val="21"/>
          <w:szCs w:val="21"/>
        </w:rPr>
        <w:t xml:space="preserve">Frontend en Vercel, Backend en Render, Base de datos en Supabase (plan gratuito).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Las tareas de integración (Fase 5) y pruebas (Fase 6) requieren coordinación conjunta entre Frontend y Backend.</w:t>
      </w:r>
      <w:r>
        <w:rPr>
          <w:sz w:val="21"/>
          <w:szCs w:val="21"/>
        </w:rPr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Next/>
        <w:pageBreakBefore/>
        <w:spacing w:after="140" w:line="259" w:lineRule="auto" w:before="200"/>
      </w:pPr>
      <w:r>
        <w:rPr>
          <w:rFonts w:ascii="Calibri" w:hAnsi="Calibri"/>
          <w:b/>
          <w:color w:val="000000"/>
          <w:sz w:val="28"/>
        </w:rPr>
        <w:t>5 Dependencias del proyecto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40" w:line="259" w:lineRule="auto"/>
      </w:pPr>
      <w:r>
        <w:rPr>
          <w:rFonts w:ascii="Calibri" w:hAnsi="Calibri"/>
          <w:b w:val="0"/>
          <w:color w:val="000000"/>
          <w:sz w:val="20"/>
        </w:rPr>
        <w:t>Actualización del 26 de octubre de 2026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40" w:line="259" w:lineRule="auto"/>
      </w:pPr>
      <w:r>
        <w:rPr>
          <w:rFonts w:ascii="Calibri" w:hAnsi="Calibri"/>
          <w:b w:val="0"/>
          <w:color w:val="000000"/>
          <w:sz w:val="21"/>
        </w:rPr>
        <w:t>Biblioteca Tec utiliza 15 dependencias directas: 8 para el backend, 3 para el frontend y 4 herramientas de desarrollo. Las siguientes versiones provienen de package.json y package-lock.json; no indican la última versión disponible en npm.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Next/>
        <w:spacing w:after="140" w:line="259" w:lineRule="auto" w:before="200"/>
      </w:pPr>
      <w:r>
        <w:rPr>
          <w:rFonts w:ascii="Calibri" w:hAnsi="Calibri"/>
          <w:b/>
          <w:color w:val="000000"/>
          <w:sz w:val="24"/>
        </w:rPr>
        <w:t>5 1 Backend</w:t>
      </w:r>
    </w:p>
    <w:tbl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00"/>
        <w:gridCol w:w="1300"/>
        <w:gridCol w:w="1300"/>
        <w:gridCol w:w="5500"/>
      </w:tblGrid>
      <w:tr>
        <w:trPr>
          <w:tblHeader/>
          <w:cantSplit/>
        </w:trPr>
        <w:tc>
          <w:tcPr>
            <w:tcW w:type="dxa" w:w="22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16365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Paquete</w:t>
            </w:r>
          </w:p>
        </w:tc>
        <w:tc>
          <w:tcPr>
            <w:tcW w:type="dxa" w:w="1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16365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Declarada</w:t>
            </w:r>
          </w:p>
        </w:tc>
        <w:tc>
          <w:tcPr>
            <w:tcW w:type="dxa" w:w="1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16365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Fijada</w:t>
            </w:r>
          </w:p>
        </w:tc>
        <w:tc>
          <w:tcPr>
            <w:tcW w:type="dxa" w:w="55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16365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Uso en Biblioteca Tec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express</w:t>
            </w:r>
          </w:p>
        </w:tc>
        <w:tc>
          <w:tcPr>
            <w:tcW w:type="dxa" w:w="1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^4.22.2</w:t>
            </w:r>
          </w:p>
        </w:tc>
        <w:tc>
          <w:tcPr>
            <w:tcW w:type="dxa" w:w="1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4.22.3</w:t>
            </w:r>
          </w:p>
        </w:tc>
        <w:tc>
          <w:tcPr>
            <w:tcW w:type="dxa" w:w="55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Servidor HTTP y rutas REST en server.js y routes.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pg</w:t>
            </w:r>
          </w:p>
        </w:tc>
        <w:tc>
          <w:tcPr>
            <w:tcW w:type="dxa" w:w="1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^8.22.0</w:t>
            </w:r>
          </w:p>
        </w:tc>
        <w:tc>
          <w:tcPr>
            <w:tcW w:type="dxa" w:w="1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8.23.0</w:t>
            </w:r>
          </w:p>
        </w:tc>
        <w:tc>
          <w:tcPr>
            <w:tcW w:type="dxa" w:w="55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Conexión con PostgreSQL, consultas parametrizadas y transacciones en config/db.js y models.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dotenv</w:t>
            </w:r>
          </w:p>
        </w:tc>
        <w:tc>
          <w:tcPr>
            <w:tcW w:type="dxa" w:w="1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^17.4.2</w:t>
            </w:r>
          </w:p>
        </w:tc>
        <w:tc>
          <w:tcPr>
            <w:tcW w:type="dxa" w:w="1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17.4.2</w:t>
            </w:r>
          </w:p>
        </w:tc>
        <w:tc>
          <w:tcPr>
            <w:tcW w:type="dxa" w:w="55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Carga de variables desde .env para ejecución local; Render las proporciona mediante su entorno.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cors</w:t>
            </w:r>
          </w:p>
        </w:tc>
        <w:tc>
          <w:tcPr>
            <w:tcW w:type="dxa" w:w="1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^2.8.6</w:t>
            </w:r>
          </w:p>
        </w:tc>
        <w:tc>
          <w:tcPr>
            <w:tcW w:type="dxa" w:w="1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2.8.6</w:t>
            </w:r>
          </w:p>
        </w:tc>
        <w:tc>
          <w:tcPr>
            <w:tcW w:type="dxa" w:w="55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Orígenes permitidos mediante FRONTEND_URL; no reemplaza la autenticación.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helmet</w:t>
            </w:r>
          </w:p>
        </w:tc>
        <w:tc>
          <w:tcPr>
            <w:tcW w:type="dxa" w:w="1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^8.3.0</w:t>
            </w:r>
          </w:p>
        </w:tc>
        <w:tc>
          <w:tcPr>
            <w:tcW w:type="dxa" w:w="1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8.3.0</w:t>
            </w:r>
          </w:p>
        </w:tc>
        <w:tc>
          <w:tcPr>
            <w:tcW w:type="dxa" w:w="55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Encabezados HTTP de protección para las respuestas del servidor.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bcryptjs</w:t>
            </w:r>
          </w:p>
        </w:tc>
        <w:tc>
          <w:tcPr>
            <w:tcW w:type="dxa" w:w="1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^3.0.3</w:t>
            </w:r>
          </w:p>
        </w:tc>
        <w:tc>
          <w:tcPr>
            <w:tcW w:type="dxa" w:w="1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3.0.3</w:t>
            </w:r>
          </w:p>
        </w:tc>
        <w:tc>
          <w:tcPr>
            <w:tcW w:type="dxa" w:w="55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Comparación de contraseñas con hashes bcrypt y generación de hashes en utilidades.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jsonwebtoken</w:t>
            </w:r>
          </w:p>
        </w:tc>
        <w:tc>
          <w:tcPr>
            <w:tcW w:type="dxa" w:w="1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^9.0.3</w:t>
            </w:r>
          </w:p>
        </w:tc>
        <w:tc>
          <w:tcPr>
            <w:tcW w:type="dxa" w:w="1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9.0.3</w:t>
            </w:r>
          </w:p>
        </w:tc>
        <w:tc>
          <w:tcPr>
            <w:tcW w:type="dxa" w:w="55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Firma y validación de JWT HS256; sesiones de ocho horas.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express-rate-limit</w:t>
            </w:r>
          </w:p>
        </w:tc>
        <w:tc>
          <w:tcPr>
            <w:tcW w:type="dxa" w:w="1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^8.7.1</w:t>
            </w:r>
          </w:p>
        </w:tc>
        <w:tc>
          <w:tcPr>
            <w:tcW w:type="dxa" w:w="1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8.7.1</w:t>
            </w:r>
          </w:p>
        </w:tc>
        <w:tc>
          <w:tcPr>
            <w:tcW w:type="dxa" w:w="55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Límite de 10 solicitudes de login por IP cada 15 minutos; rechazo HTTP 429.</w:t>
            </w:r>
          </w:p>
        </w:tc>
      </w:tr>
    </w:tbl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Next/>
        <w:spacing w:after="140" w:line="259" w:lineRule="auto" w:before="200"/>
      </w:pPr>
      <w:r>
        <w:rPr>
          <w:rFonts w:ascii="Calibri" w:hAnsi="Calibri"/>
          <w:b/>
          <w:color w:val="000000"/>
          <w:sz w:val="24"/>
        </w:rPr>
        <w:t>5 2 Frontend</w:t>
      </w:r>
    </w:p>
    <w:tbl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00"/>
        <w:gridCol w:w="1300"/>
        <w:gridCol w:w="1300"/>
        <w:gridCol w:w="5500"/>
      </w:tblGrid>
      <w:tr>
        <w:trPr>
          <w:tblHeader/>
          <w:cantSplit/>
        </w:trPr>
        <w:tc>
          <w:tcPr>
            <w:tcW w:type="dxa" w:w="22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16365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Paquete</w:t>
            </w:r>
          </w:p>
        </w:tc>
        <w:tc>
          <w:tcPr>
            <w:tcW w:type="dxa" w:w="1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16365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Declarada</w:t>
            </w:r>
          </w:p>
        </w:tc>
        <w:tc>
          <w:tcPr>
            <w:tcW w:type="dxa" w:w="1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16365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Fijada</w:t>
            </w:r>
          </w:p>
        </w:tc>
        <w:tc>
          <w:tcPr>
            <w:tcW w:type="dxa" w:w="55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16365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Uso en Biblioteca Tec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react</w:t>
            </w:r>
          </w:p>
        </w:tc>
        <w:tc>
          <w:tcPr>
            <w:tcW w:type="dxa" w:w="1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^19</w:t>
            </w:r>
          </w:p>
        </w:tc>
        <w:tc>
          <w:tcPr>
            <w:tcW w:type="dxa" w:w="1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19.2.6</w:t>
            </w:r>
          </w:p>
        </w:tc>
        <w:tc>
          <w:tcPr>
            <w:tcW w:type="dxa" w:w="55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Componentes, estado y efectos de las pantallas.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react-dom</w:t>
            </w:r>
          </w:p>
        </w:tc>
        <w:tc>
          <w:tcPr>
            <w:tcW w:type="dxa" w:w="1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^19</w:t>
            </w:r>
          </w:p>
        </w:tc>
        <w:tc>
          <w:tcPr>
            <w:tcW w:type="dxa" w:w="1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19.2.6</w:t>
            </w:r>
          </w:p>
        </w:tc>
        <w:tc>
          <w:tcPr>
            <w:tcW w:type="dxa" w:w="55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Montaje de React mediante createRoot en src/main.jsx.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react-router-dom</w:t>
            </w:r>
          </w:p>
        </w:tc>
        <w:tc>
          <w:tcPr>
            <w:tcW w:type="dxa" w:w="1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^7.18.1</w:t>
            </w:r>
          </w:p>
        </w:tc>
        <w:tc>
          <w:tcPr>
            <w:tcW w:type="dxa" w:w="1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7.18.2</w:t>
            </w:r>
          </w:p>
        </w:tc>
        <w:tc>
          <w:tcPr>
            <w:tcW w:type="dxa" w:w="55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Navegación, rutas y redirecciones de sesión en App.jsx.</w:t>
            </w:r>
          </w:p>
        </w:tc>
      </w:tr>
    </w:tbl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Next/>
        <w:spacing w:after="140" w:line="259" w:lineRule="auto" w:before="200"/>
      </w:pPr>
      <w:r>
        <w:rPr>
          <w:rFonts w:ascii="Calibri" w:hAnsi="Calibri"/>
          <w:b/>
          <w:color w:val="000000"/>
          <w:sz w:val="24"/>
        </w:rPr>
        <w:t>5 3 Herramientas de desarrollo</w:t>
      </w:r>
    </w:p>
    <w:tbl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00"/>
        <w:gridCol w:w="1300"/>
        <w:gridCol w:w="1300"/>
        <w:gridCol w:w="5500"/>
      </w:tblGrid>
      <w:tr>
        <w:trPr>
          <w:tblHeader/>
          <w:cantSplit/>
        </w:trPr>
        <w:tc>
          <w:tcPr>
            <w:tcW w:type="dxa" w:w="22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16365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Paquete</w:t>
            </w:r>
          </w:p>
        </w:tc>
        <w:tc>
          <w:tcPr>
            <w:tcW w:type="dxa" w:w="1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16365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Declarada</w:t>
            </w:r>
          </w:p>
        </w:tc>
        <w:tc>
          <w:tcPr>
            <w:tcW w:type="dxa" w:w="1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16365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Fijada</w:t>
            </w:r>
          </w:p>
        </w:tc>
        <w:tc>
          <w:tcPr>
            <w:tcW w:type="dxa" w:w="55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16365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Uso en Biblioteca Tec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vite</w:t>
            </w:r>
          </w:p>
        </w:tc>
        <w:tc>
          <w:tcPr>
            <w:tcW w:type="dxa" w:w="1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^6.0.0</w:t>
            </w:r>
          </w:p>
        </w:tc>
        <w:tc>
          <w:tcPr>
            <w:tcW w:type="dxa" w:w="1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6.4.3</w:t>
            </w:r>
          </w:p>
        </w:tc>
        <w:tc>
          <w:tcPr>
            <w:tcW w:type="dxa" w:w="55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Servidor de desarrollo, proxy local de /api y compilación estática a dist.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@vitejs/plugin-react</w:t>
            </w:r>
          </w:p>
        </w:tc>
        <w:tc>
          <w:tcPr>
            <w:tcW w:type="dxa" w:w="1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^4.3.4</w:t>
            </w:r>
          </w:p>
        </w:tc>
        <w:tc>
          <w:tcPr>
            <w:tcW w:type="dxa" w:w="1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4.7.0</w:t>
            </w:r>
          </w:p>
        </w:tc>
        <w:tc>
          <w:tcPr>
            <w:tcW w:type="dxa" w:w="55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Transformación de JSX e integración de React con Vite.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@types/react</w:t>
            </w:r>
          </w:p>
        </w:tc>
        <w:tc>
          <w:tcPr>
            <w:tcW w:type="dxa" w:w="1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^19</w:t>
            </w:r>
          </w:p>
        </w:tc>
        <w:tc>
          <w:tcPr>
            <w:tcW w:type="dxa" w:w="1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19.2.15</w:t>
            </w:r>
          </w:p>
        </w:tc>
        <w:tc>
          <w:tcPr>
            <w:tcW w:type="dxa" w:w="55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Definiciones de tipos para edición y análisis; las pantallas actuales usan JavaScript y JSX.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@types/react-dom</w:t>
            </w:r>
          </w:p>
        </w:tc>
        <w:tc>
          <w:tcPr>
            <w:tcW w:type="dxa" w:w="1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^19</w:t>
            </w:r>
          </w:p>
        </w:tc>
        <w:tc>
          <w:tcPr>
            <w:tcW w:type="dxa" w:w="1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19.2.3</w:t>
            </w:r>
          </w:p>
        </w:tc>
        <w:tc>
          <w:tcPr>
            <w:tcW w:type="dxa" w:w="55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Definiciones de tipos de React DOM; no agrega funcionalidad en ejecución.</w:t>
            </w:r>
          </w:p>
        </w:tc>
      </w:tr>
    </w:tbl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Next/>
        <w:spacing w:after="140" w:line="259" w:lineRule="auto" w:before="200"/>
      </w:pPr>
      <w:r>
        <w:rPr>
          <w:rFonts w:ascii="Calibri" w:hAnsi="Calibri"/>
          <w:b/>
          <w:color w:val="000000"/>
          <w:sz w:val="24"/>
        </w:rPr>
        <w:t>5 4 Integración de las dependencias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40" w:line="259" w:lineRule="auto"/>
      </w:pPr>
      <w:r>
        <w:rPr>
          <w:rFonts w:ascii="Calibri" w:hAnsi="Calibri"/>
          <w:b w:val="0"/>
          <w:color w:val="000000"/>
          <w:sz w:val="21"/>
        </w:rPr>
        <w:t>Express recibe las peticiones y aplica Helmet y CORS. El login limita intentos, compara la contraseña con bcryptjs y emite un token con jsonwebtoken. En las rutas protegidas se valida el token antes de consultar Supabase mediante pg. React presenta los resultados y React Router organiza la navegación.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40" w:line="259" w:lineRule="auto"/>
      </w:pPr>
      <w:r>
        <w:rPr>
          <w:rFonts w:ascii="Calibri" w:hAnsi="Calibri"/>
          <w:b w:val="0"/>
          <w:color w:val="000000"/>
          <w:sz w:val="21"/>
        </w:rPr>
        <w:t>El cliente HTTP usa fetch y guarda el token en sessionStorage, ambas API del navegador. No requiere Axios. La aplicación utiliza pg para acceder a Supabase y no declara su SDK como dependencia directa.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40" w:line="259" w:lineRule="auto"/>
      </w:pPr>
      <w:r>
        <w:rPr>
          <w:rFonts w:ascii="Calibri" w:hAnsi="Calibri"/>
          <w:b w:val="0"/>
          <w:color w:val="000000"/>
          <w:sz w:val="21"/>
        </w:rPr>
        <w:t>Node.js y npm son el entorno y administrador de paquetes. El Blueprint de Render declara Node.js 22. Supabase, Render y Vercel son servicios externos, no paquetes npm. El login actual valida las credenciales del entorno; la tabla usuarios no interviene en ese flujo.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Next/>
        <w:spacing w:after="140" w:line="259" w:lineRule="auto" w:before="200"/>
      </w:pPr>
      <w:r>
        <w:rPr>
          <w:rFonts w:ascii="Calibri" w:hAnsi="Calibri"/>
          <w:b/>
          <w:color w:val="000000"/>
          <w:sz w:val="24"/>
        </w:rPr>
        <w:t>5 5 Instalación y comandos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40" w:line="259" w:lineRule="auto"/>
      </w:pPr>
      <w:r>
        <w:rPr>
          <w:rFonts w:ascii="Calibri" w:hAnsi="Calibri"/>
          <w:b w:val="0"/>
          <w:color w:val="000000"/>
          <w:sz w:val="21"/>
        </w:rPr>
        <w:t>Desde la raíz del repositorio, instalar las versiones fijadas con npm ci --prefix Backend y npm ci --prefix Frontend. Las variables de entorno y el esquema SQL deben configurarse por separado, según el README.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40" w:line="259" w:lineRule="auto"/>
      </w:pPr>
      <w:r>
        <w:rPr>
          <w:rFonts w:ascii="Calibri" w:hAnsi="Calibri"/>
          <w:b w:val="0"/>
          <w:color w:val="000000"/>
          <w:sz w:val="21"/>
        </w:rPr>
        <w:t>Backend en desarrollo: npm run dev --prefix Backend. Usa el modo de observación nativo de Node.js; no requiere nodemon.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40" w:line="259" w:lineRule="auto"/>
      </w:pPr>
      <w:r>
        <w:rPr>
          <w:rFonts w:ascii="Calibri" w:hAnsi="Calibri"/>
          <w:b w:val="0"/>
          <w:color w:val="000000"/>
          <w:sz w:val="21"/>
        </w:rPr>
        <w:t>Backend en producción: npm start --prefix Backend. En Render, con directorio raíz Backend, usar npm start.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40" w:line="259" w:lineRule="auto"/>
      </w:pPr>
      <w:r>
        <w:rPr>
          <w:rFonts w:ascii="Calibri" w:hAnsi="Calibri"/>
          <w:b w:val="0"/>
          <w:color w:val="000000"/>
          <w:sz w:val="21"/>
        </w:rPr>
        <w:t>Frontend en desarrollo: npm run dev --prefix Frontend.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40" w:line="259" w:lineRule="auto"/>
      </w:pPr>
      <w:r>
        <w:rPr>
          <w:rFonts w:ascii="Calibri" w:hAnsi="Calibri"/>
          <w:b w:val="0"/>
          <w:color w:val="000000"/>
          <w:sz w:val="21"/>
        </w:rPr>
        <w:t>Compilación: npm run build --prefix Frontend. Genera Frontend/dist.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40" w:line="259" w:lineRule="auto"/>
      </w:pPr>
      <w:r>
        <w:rPr>
          <w:rFonts w:ascii="Calibri" w:hAnsi="Calibri"/>
          <w:b w:val="0"/>
          <w:color w:val="000000"/>
          <w:sz w:val="21"/>
        </w:rPr>
        <w:t>Previsualización: npm run preview --prefix Frontend. El proxy local de desarrollo no está configurado para preview.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Next/>
        <w:spacing w:after="140" w:line="259" w:lineRule="auto" w:before="200"/>
      </w:pPr>
      <w:r>
        <w:rPr>
          <w:rFonts w:ascii="Calibri" w:hAnsi="Calibri"/>
          <w:b/>
          <w:color w:val="000000"/>
          <w:sz w:val="24"/>
        </w:rPr>
        <w:t>5 6 Versiones y mantenimiento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40" w:line="259" w:lineRule="auto"/>
      </w:pPr>
      <w:r>
        <w:rPr>
          <w:rFonts w:ascii="Calibri" w:hAnsi="Calibri"/>
          <w:b w:val="0"/>
          <w:color w:val="000000"/>
          <w:sz w:val="21"/>
        </w:rPr>
        <w:t>La versión declarada es el rango de package.json; la fijada pertenece a package-lock.json. El prefijo ^ permite actualizaciones dentro de la misma versión mayor para estos paquetes. Por ejemplo, Express declara ^4.22.2 y fija 4.22.3. Las dependencias transitivas quedan registradas en los archivos de bloqueo.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40" w:line="259" w:lineRule="auto"/>
      </w:pPr>
      <w:r>
        <w:rPr>
          <w:rFonts w:ascii="Calibri" w:hAnsi="Calibri"/>
          <w:b w:val="0"/>
          <w:color w:val="000000"/>
          <w:sz w:val="21"/>
        </w:rPr>
        <w:t>npm ci requiere coherencia entre ambos archivos y reemplaza node_modules. Al actualizar paquetes, guardar package.json y package-lock.json del componente afectado. Los despliegues usan npm; Bun no es necesario para ese procedimiento, aunque existan archivos bun.lock.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40" w:line="259" w:lineRule="auto"/>
      </w:pPr>
      <w:r>
        <w:rPr>
          <w:rFonts w:ascii="Calibri" w:hAnsi="Calibri"/>
          <w:b w:val="0"/>
          <w:color w:val="000000"/>
          <w:sz w:val="21"/>
        </w:rPr>
        <w:t>Para revisar versiones y avisos se pueden ejecutar npm outdated y npm audit dentro de Backend y Frontend. Antes de desplegar actualizaciones, revisar compatibilidad, compilar y repetir las pruebas de autenticación, consultas, altas, préstamos y devoluciones. Actualmente no hay una suite automatizada ni comandos npm test.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2026-08-14T19:14:45.328Z</dcterms:created>
  <dcterms:modified xsi:type="dcterms:W3CDTF">2026-08-14T19:14:45.342Z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