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Documentation Fonctionnelle</w:t>
      </w:r>
    </w:p>
    <w:p>
      <w:pPr>
        <w:pStyle w:val="Heading2"/>
      </w:pPr>
      <w:r>
        <w:t>1. Accès au dashboard</w:t>
      </w:r>
    </w:p>
    <w:p>
      <w:r>
        <w:t>Le dashboard est accessible via un navigateur web. En local, il tourne sur http://localhost:8501. En production, il est hébergé sur la VM GCP et accessible via une IP publique ou un nom de domaine configuré.</w:t>
      </w:r>
    </w:p>
    <w:p>
      <w:pPr>
        <w:pStyle w:val="Heading2"/>
      </w:pPr>
      <w:r>
        <w:t>2. Navigation dans Streamlit</w:t>
      </w:r>
    </w:p>
    <w:p>
      <w:r>
        <w:t>L’interface propose plusieurs filtres : par jeu, par langue, par période. Les graphiques affichent les scores de sentiment (positif/négatif/neutre), la répartition des avis, ainsi que des nuages de mots. Un message 'Données en cours de chargement' apparaît si le pipeline n’a pas tourné récemment.</w:t>
      </w:r>
    </w:p>
    <w:p>
      <w:pPr>
        <w:pStyle w:val="Heading2"/>
      </w:pPr>
      <w:r>
        <w:t>3. Cas d’usage</w:t>
      </w:r>
    </w:p>
    <w:p>
      <w:r>
        <w:t>Exemple : analyser les retours d’un jeu après une mise à jour. L’utilisateur peut filtrer par période et observer l’évolution du % d’avis positifs. Autre exemple : comparer deux jeux d’un même genre pour identifier les points forts et faibles perçus par les joueurs.</w:t>
      </w:r>
    </w:p>
    <w:p>
      <w:pPr>
        <w:pStyle w:val="Heading2"/>
      </w:pPr>
      <w:r>
        <w:t>4. Public visé</w:t>
      </w:r>
    </w:p>
    <w:p>
      <w:r>
        <w:t>Deux profils principaux sont concernés :</w:t>
        <w:br/>
        <w:t>- Analystes marketing : pour suivre l’image d’un jeu et adapter les campagnes.</w:t>
        <w:br/>
        <w:t>- Développeurs : pour identifier rapidement les problèmes techniques ou ergonomiques signalés par les joueurs.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