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Gestion des Incidents</w:t>
      </w:r>
    </w:p>
    <w:p>
      <w:pPr>
        <w:pStyle w:val="Heading2"/>
      </w:pPr>
      <w:r>
        <w:t>1. Méthodologie investigation</w:t>
      </w:r>
    </w:p>
    <w:p>
      <w:r>
        <w:t>En cas d’incident, identifier la source via les logs (Airflow, Streamlit, Firestore). Vérifier également l’état des services GCP. Isoler le problème (API Steam, VM, Firestore) avant d’appliquer une correction.</w:t>
      </w:r>
    </w:p>
    <w:p>
      <w:pPr>
        <w:pStyle w:val="Heading2"/>
      </w:pPr>
      <w:r>
        <w:t>2. Exemples incidents</w:t>
      </w:r>
    </w:p>
    <w:p>
      <w:r>
        <w:t>- Quota API Steam atteint : DAG échoue → retry/backoff.</w:t>
        <w:br/>
        <w:t>- VM hors ligne : services inaccessibles → redeploiement automatique.</w:t>
        <w:br/>
        <w:t>- Surcoût Firestore : trop de lectures → mise en place d’agrégats et indexes.</w:t>
      </w:r>
    </w:p>
    <w:p>
      <w:pPr>
        <w:pStyle w:val="Heading2"/>
      </w:pPr>
      <w:r>
        <w:t>3. Plan de communication</w:t>
      </w:r>
    </w:p>
    <w:p>
      <w:r>
        <w:t>Lors d’un incident, notifier les parties prenantes via Slack ou email. Un reporting hebdomadaire résume les incidents survenus et leur résolution.</w:t>
      </w:r>
    </w:p>
    <w:p>
      <w:pPr>
        <w:pStyle w:val="Heading2"/>
      </w:pPr>
      <w:r>
        <w:t>4. Objectifs de disponibilité</w:t>
      </w:r>
    </w:p>
    <w:p>
      <w:r>
        <w:t>- Disponibilité &gt; 95%.</w:t>
        <w:br/>
        <w:t>- Temps de reprise (RTO) &lt; 30 minutes.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