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3BAE" w14:textId="705C6BAB" w:rsidR="0048348B" w:rsidRDefault="00067A03">
      <w:p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Dataset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31"/>
        <w:gridCol w:w="2341"/>
        <w:gridCol w:w="2325"/>
      </w:tblGrid>
      <w:tr w:rsidR="00067A03" w14:paraId="30918AD3" w14:textId="77777777" w:rsidTr="00067A03">
        <w:tc>
          <w:tcPr>
            <w:tcW w:w="2394" w:type="dxa"/>
          </w:tcPr>
          <w:p w14:paraId="2A3BDEB4" w14:textId="3466C8CA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Magnification</w:t>
            </w:r>
          </w:p>
        </w:tc>
        <w:tc>
          <w:tcPr>
            <w:tcW w:w="2394" w:type="dxa"/>
          </w:tcPr>
          <w:p w14:paraId="55DB6AD8" w14:textId="05EFA7CB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Benign Class</w:t>
            </w:r>
          </w:p>
        </w:tc>
        <w:tc>
          <w:tcPr>
            <w:tcW w:w="2394" w:type="dxa"/>
          </w:tcPr>
          <w:p w14:paraId="5D9EB6EF" w14:textId="508A3F85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Malignant Class</w:t>
            </w:r>
          </w:p>
        </w:tc>
        <w:tc>
          <w:tcPr>
            <w:tcW w:w="2394" w:type="dxa"/>
          </w:tcPr>
          <w:p w14:paraId="2CDCE031" w14:textId="6B89F392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Total</w:t>
            </w:r>
          </w:p>
        </w:tc>
      </w:tr>
      <w:tr w:rsidR="00067A03" w14:paraId="20327159" w14:textId="77777777" w:rsidTr="00067A03">
        <w:tc>
          <w:tcPr>
            <w:tcW w:w="2394" w:type="dxa"/>
          </w:tcPr>
          <w:p w14:paraId="5A877E04" w14:textId="349A556A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40</w:t>
            </w:r>
          </w:p>
        </w:tc>
        <w:tc>
          <w:tcPr>
            <w:tcW w:w="2394" w:type="dxa"/>
          </w:tcPr>
          <w:p w14:paraId="1AFA5697" w14:textId="3A3BC994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652</w:t>
            </w:r>
          </w:p>
        </w:tc>
        <w:tc>
          <w:tcPr>
            <w:tcW w:w="2394" w:type="dxa"/>
          </w:tcPr>
          <w:p w14:paraId="10D8B15B" w14:textId="0009F16A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1370</w:t>
            </w:r>
          </w:p>
        </w:tc>
        <w:tc>
          <w:tcPr>
            <w:tcW w:w="2394" w:type="dxa"/>
          </w:tcPr>
          <w:p w14:paraId="6418A302" w14:textId="737985CE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1995</w:t>
            </w:r>
          </w:p>
        </w:tc>
      </w:tr>
      <w:tr w:rsidR="00067A03" w14:paraId="3BB60F8B" w14:textId="77777777" w:rsidTr="00067A03">
        <w:tc>
          <w:tcPr>
            <w:tcW w:w="2394" w:type="dxa"/>
          </w:tcPr>
          <w:p w14:paraId="4A333335" w14:textId="1AE4BB4D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100</w:t>
            </w:r>
          </w:p>
        </w:tc>
        <w:tc>
          <w:tcPr>
            <w:tcW w:w="2394" w:type="dxa"/>
          </w:tcPr>
          <w:p w14:paraId="294043DC" w14:textId="18B3D18B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644</w:t>
            </w:r>
          </w:p>
        </w:tc>
        <w:tc>
          <w:tcPr>
            <w:tcW w:w="2394" w:type="dxa"/>
          </w:tcPr>
          <w:p w14:paraId="21780CF7" w14:textId="0E5B174C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1437</w:t>
            </w:r>
          </w:p>
        </w:tc>
        <w:tc>
          <w:tcPr>
            <w:tcW w:w="2394" w:type="dxa"/>
          </w:tcPr>
          <w:p w14:paraId="1596227F" w14:textId="5DE2416C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2081</w:t>
            </w:r>
          </w:p>
        </w:tc>
      </w:tr>
      <w:tr w:rsidR="00067A03" w14:paraId="022AF7CE" w14:textId="77777777" w:rsidTr="00067A03">
        <w:tc>
          <w:tcPr>
            <w:tcW w:w="2394" w:type="dxa"/>
          </w:tcPr>
          <w:p w14:paraId="527F242E" w14:textId="51B4C9D7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200</w:t>
            </w:r>
          </w:p>
        </w:tc>
        <w:tc>
          <w:tcPr>
            <w:tcW w:w="2394" w:type="dxa"/>
          </w:tcPr>
          <w:p w14:paraId="729BECFF" w14:textId="29D71E98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623</w:t>
            </w:r>
          </w:p>
        </w:tc>
        <w:tc>
          <w:tcPr>
            <w:tcW w:w="2394" w:type="dxa"/>
          </w:tcPr>
          <w:p w14:paraId="62DFEF3E" w14:textId="5A5346E1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1390</w:t>
            </w:r>
          </w:p>
        </w:tc>
        <w:tc>
          <w:tcPr>
            <w:tcW w:w="2394" w:type="dxa"/>
          </w:tcPr>
          <w:p w14:paraId="43E9FA0F" w14:textId="3DE24DBB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2013</w:t>
            </w:r>
          </w:p>
        </w:tc>
      </w:tr>
      <w:tr w:rsidR="00067A03" w14:paraId="1354C266" w14:textId="77777777" w:rsidTr="00067A03">
        <w:tc>
          <w:tcPr>
            <w:tcW w:w="2394" w:type="dxa"/>
          </w:tcPr>
          <w:p w14:paraId="457151F5" w14:textId="6EE9D59E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400</w:t>
            </w:r>
          </w:p>
        </w:tc>
        <w:tc>
          <w:tcPr>
            <w:tcW w:w="2394" w:type="dxa"/>
          </w:tcPr>
          <w:p w14:paraId="2761FFB8" w14:textId="2CAC1F01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588</w:t>
            </w:r>
          </w:p>
        </w:tc>
        <w:tc>
          <w:tcPr>
            <w:tcW w:w="2394" w:type="dxa"/>
          </w:tcPr>
          <w:p w14:paraId="759C0CE8" w14:textId="2D0910A5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1232</w:t>
            </w:r>
          </w:p>
        </w:tc>
        <w:tc>
          <w:tcPr>
            <w:tcW w:w="2394" w:type="dxa"/>
          </w:tcPr>
          <w:p w14:paraId="7EA82307" w14:textId="6BB503AD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1820</w:t>
            </w:r>
          </w:p>
        </w:tc>
      </w:tr>
      <w:tr w:rsidR="00067A03" w14:paraId="7CD79407" w14:textId="77777777" w:rsidTr="00067A03">
        <w:tc>
          <w:tcPr>
            <w:tcW w:w="2394" w:type="dxa"/>
          </w:tcPr>
          <w:p w14:paraId="35B28A76" w14:textId="5FA76382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Total of images</w:t>
            </w:r>
          </w:p>
        </w:tc>
        <w:tc>
          <w:tcPr>
            <w:tcW w:w="2394" w:type="dxa"/>
          </w:tcPr>
          <w:p w14:paraId="1D76AEAE" w14:textId="187F1B1E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2480</w:t>
            </w:r>
          </w:p>
        </w:tc>
        <w:tc>
          <w:tcPr>
            <w:tcW w:w="2394" w:type="dxa"/>
          </w:tcPr>
          <w:p w14:paraId="6D180C92" w14:textId="3FCA4141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5429</w:t>
            </w:r>
          </w:p>
        </w:tc>
        <w:tc>
          <w:tcPr>
            <w:tcW w:w="2394" w:type="dxa"/>
          </w:tcPr>
          <w:p w14:paraId="4EA72231" w14:textId="72086B8F" w:rsidR="00067A03" w:rsidRDefault="00067A03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7909</w:t>
            </w:r>
          </w:p>
        </w:tc>
      </w:tr>
    </w:tbl>
    <w:p w14:paraId="7D229CE1" w14:textId="77777777" w:rsidR="00067A03" w:rsidRDefault="00067A03">
      <w:pPr>
        <w:rPr>
          <w:rFonts w:ascii="Times New Roman" w:hAnsi="Times New Roman" w:cs="Times New Roman"/>
          <w:i w:val="0"/>
          <w:iCs w:val="0"/>
        </w:rPr>
      </w:pPr>
    </w:p>
    <w:p w14:paraId="2CB747A5" w14:textId="6AF8088F" w:rsidR="00067A03" w:rsidRDefault="00067A03">
      <w:pPr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There are two types of breast tumors those are benign and malignant. It can be different based o</w:t>
      </w:r>
      <w:r w:rsidR="00BB1ED9">
        <w:rPr>
          <w:rFonts w:ascii="Times New Roman" w:hAnsi="Times New Roman" w:cs="Times New Roman"/>
          <w:i w:val="0"/>
          <w:iCs w:val="0"/>
        </w:rPr>
        <w:t xml:space="preserve">n how </w:t>
      </w:r>
      <w:r>
        <w:rPr>
          <w:rFonts w:ascii="Times New Roman" w:hAnsi="Times New Roman" w:cs="Times New Roman"/>
          <w:i w:val="0"/>
          <w:iCs w:val="0"/>
        </w:rPr>
        <w:t>tumoral cells look under the microscope.</w:t>
      </w:r>
      <w:r w:rsidR="00BB1ED9">
        <w:rPr>
          <w:rFonts w:ascii="Times New Roman" w:hAnsi="Times New Roman" w:cs="Times New Roman"/>
          <w:i w:val="0"/>
          <w:iCs w:val="0"/>
        </w:rPr>
        <w:t xml:space="preserve"> There are various types of treatment implications for various types and subtypes of tumors. The above data set</w:t>
      </w:r>
      <w:r w:rsidR="00720708">
        <w:rPr>
          <w:rFonts w:ascii="Times New Roman" w:hAnsi="Times New Roman" w:cs="Times New Roman"/>
          <w:i w:val="0"/>
          <w:iCs w:val="0"/>
        </w:rPr>
        <w:t xml:space="preserve"> contains four histologically distinct benign tumor types</w:t>
      </w:r>
      <w:r w:rsidR="00C12AF0">
        <w:rPr>
          <w:rFonts w:ascii="Times New Roman" w:hAnsi="Times New Roman" w:cs="Times New Roman"/>
          <w:i w:val="0"/>
          <w:iCs w:val="0"/>
        </w:rPr>
        <w:t xml:space="preserve">: Adenosis(A), Fibroadenoma(F), Phyllodes </w:t>
      </w:r>
      <w:proofErr w:type="gramStart"/>
      <w:r w:rsidR="00C12AF0">
        <w:rPr>
          <w:rFonts w:ascii="Times New Roman" w:hAnsi="Times New Roman" w:cs="Times New Roman"/>
          <w:i w:val="0"/>
          <w:iCs w:val="0"/>
        </w:rPr>
        <w:t>Tumor(</w:t>
      </w:r>
      <w:proofErr w:type="gramEnd"/>
      <w:r w:rsidR="00C12AF0">
        <w:rPr>
          <w:rFonts w:ascii="Times New Roman" w:hAnsi="Times New Roman" w:cs="Times New Roman"/>
          <w:i w:val="0"/>
          <w:iCs w:val="0"/>
        </w:rPr>
        <w:t xml:space="preserve">PT), and Tubular </w:t>
      </w:r>
      <w:proofErr w:type="spellStart"/>
      <w:r w:rsidR="00C12AF0">
        <w:rPr>
          <w:rFonts w:ascii="Times New Roman" w:hAnsi="Times New Roman" w:cs="Times New Roman"/>
          <w:i w:val="0"/>
          <w:iCs w:val="0"/>
        </w:rPr>
        <w:t>Adenona</w:t>
      </w:r>
      <w:proofErr w:type="spellEnd"/>
      <w:r w:rsidR="00C12AF0">
        <w:rPr>
          <w:rFonts w:ascii="Times New Roman" w:hAnsi="Times New Roman" w:cs="Times New Roman"/>
          <w:i w:val="0"/>
          <w:iCs w:val="0"/>
        </w:rPr>
        <w:t xml:space="preserve"> (TA); and four malignant tumors (breast cancer): Carcinoma(DC), Lobular Carcinoma(LC), Mucinous Carcinoma(MC) and Papillary Carcinoma(PC).</w:t>
      </w:r>
    </w:p>
    <w:p w14:paraId="3B95260E" w14:textId="486D558D" w:rsidR="00C12AF0" w:rsidRPr="00C12AF0" w:rsidRDefault="00C12AF0">
      <w:pPr>
        <w:rPr>
          <w:rFonts w:ascii="Times New Roman" w:hAnsi="Times New Roman" w:cs="Times New Roman"/>
          <w:i w:val="0"/>
          <w:iCs w:val="0"/>
        </w:rPr>
      </w:pPr>
    </w:p>
    <w:sectPr w:rsidR="00C12AF0" w:rsidRPr="00C12AF0" w:rsidSect="0048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3"/>
    <w:rsid w:val="00067A03"/>
    <w:rsid w:val="0048348B"/>
    <w:rsid w:val="004D5774"/>
    <w:rsid w:val="00720708"/>
    <w:rsid w:val="008178BC"/>
    <w:rsid w:val="00BB1ED9"/>
    <w:rsid w:val="00C1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AD53"/>
  <w15:chartTrackingRefBased/>
  <w15:docId w15:val="{3FEA1352-73C3-4A5F-B2A7-AD8079F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en-US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B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8B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B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8B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B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8B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8B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8B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8B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8B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8B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B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8B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B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8B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8B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8B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8B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8B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8B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78B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78B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8B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8B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8178BC"/>
    <w:rPr>
      <w:b/>
      <w:bCs/>
      <w:spacing w:val="0"/>
    </w:rPr>
  </w:style>
  <w:style w:type="character" w:styleId="Emphasis">
    <w:name w:val="Emphasis"/>
    <w:uiPriority w:val="20"/>
    <w:qFormat/>
    <w:rsid w:val="008178B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8178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78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8B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178B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8B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8B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8178B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8178B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8178B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8178B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8178B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8BC"/>
    <w:pPr>
      <w:outlineLvl w:val="9"/>
    </w:pPr>
  </w:style>
  <w:style w:type="table" w:styleId="TableGrid">
    <w:name w:val="Table Grid"/>
    <w:basedOn w:val="TableNormal"/>
    <w:uiPriority w:val="59"/>
    <w:rsid w:val="0006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Rimpa Bairagi</dc:creator>
  <cp:keywords/>
  <dc:description/>
  <cp:lastModifiedBy>Rimpa Bairagi</cp:lastModifiedBy>
  <cp:revision>2</cp:revision>
  <dcterms:created xsi:type="dcterms:W3CDTF">2023-09-10T16:21:00Z</dcterms:created>
  <dcterms:modified xsi:type="dcterms:W3CDTF">2023-09-11T01:57:00Z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1382b44b-5a84-418e-b924-800bb99e754f</vt:lpwstr>
  </property>
</Properties>
</file>