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t>Growth Potential Modeling for SkyCity Auckland Restaurants &amp; Bars</w:t>
      </w:r>
    </w:p>
    <w:p>
      <w:pPr>
        <w:pStyle w:val="Heading1"/>
      </w:pPr>
      <w:r>
        <w:t>Why this matters</w:t>
      </w:r>
    </w:p>
    <w:p>
      <w:r>
        <w:t>Expansion funding is more effective when it targets branches that are structurally ready to grow. We assessed 1,696 branches on demand, cost, channel mix and delivery reach and assigned each a Growth Potential Score (0-100), an archetype and a recommended action.</w:t>
      </w:r>
    </w:p>
    <w:p>
      <w:pPr>
        <w:pStyle w:val="Heading1"/>
      </w:pPr>
      <w:r>
        <w:t>Key findings</w:t>
      </w:r>
    </w:p>
    <w:p>
      <w:pPr>
        <w:pStyle w:val="ListBullet"/>
      </w:pPr>
      <w:r>
        <w:t>24% of branches are loss-making overall. They are almost all full-service restaurants, whose cost base (about 87% of revenue) is structurally too high.</w:t>
      </w:r>
    </w:p>
    <w:p>
      <w:pPr>
        <w:pStyle w:val="ListBullet"/>
      </w:pPr>
      <w:r>
        <w:t>Third-party platforms are nearly margin-free: Uber Eats and DoorDash return about 0.8% net margin versus 27% in store and 23% on self-delivery. About 32% of branches lose money on each platform.</w:t>
      </w:r>
    </w:p>
    <w:p>
      <w:pPr>
        <w:pStyle w:val="ListBullet"/>
      </w:pPr>
      <w:r>
        <w:t>Only 560 branches (33%) are ready for investment now (Optimize); 508 need channel rebalancing and 628 should hold and stabilise.</w:t>
      </w:r>
    </w:p>
    <w:p>
      <w:pPr>
        <w:pStyle w:val="ListBullet"/>
      </w:pPr>
      <w:r>
        <w:t>The Auckland CBD is the only subregion with a contracting growth factor (0.99); the other subregions grow 3-5% per month in the data.</w:t>
      </w:r>
    </w:p>
    <w:p>
      <w:pPr>
        <w:pStyle w:val="Heading1"/>
      </w:pPr>
      <w:r>
        <w:t>Six branch archetypes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Archetype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Restaurants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GPI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Net margin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Policy stance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Scalable Self-Delivery Leaders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71.0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20.8%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Invest and scale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Stable Local Performers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65.8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Invest selectively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Aggregator-Dependent Low Margin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46.2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Rebalance channels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Operationally Strong, Under-Scaled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45.1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14.6%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Rebalance, then scale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High-Growth / High-Risk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37.1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-5.1%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Fix costs first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Overextended, Low Return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34.7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-6.2%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Stabilise or restructure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2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uster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Branches projected into two dimensions and coloured by archetype.</w:t>
      </w:r>
    </w:p>
    <w:p>
      <w:pPr>
        <w:pStyle w:val="Heading1"/>
      </w:pPr>
      <w:r>
        <w:t>Recommendations for stakeholders</w:t>
      </w:r>
    </w:p>
    <w:p>
      <w:pPr>
        <w:pStyle w:val="ListBullet"/>
      </w:pPr>
      <w:r>
        <w:t>Direct growth capital to branches flagged Optimize, led by the Scalable Self-Delivery Leaders and Stable Local Performers.</w:t>
      </w:r>
    </w:p>
    <w:p>
      <w:pPr>
        <w:pStyle w:val="ListBullet"/>
      </w:pPr>
      <w:r>
        <w:t>Support channel rebalancing: encourage direct and self-delivery ordering and commission renegotiation for aggregator-heavy branches.</w:t>
      </w:r>
    </w:p>
    <w:p>
      <w:pPr>
        <w:pStyle w:val="ListBullet"/>
      </w:pPr>
      <w:r>
        <w:t>Pause expansion support for loss-making full-service branches until cost ratios are corrected.</w:t>
      </w:r>
    </w:p>
    <w:p>
      <w:pPr>
        <w:pStyle w:val="ListBullet"/>
      </w:pPr>
      <w:r>
        <w:t>Use defensive rather than expansion measures in the CBD.</w:t>
      </w:r>
    </w:p>
    <w:p>
      <w:pPr>
        <w:pStyle w:val="ListBullet"/>
      </w:pPr>
      <w:r>
        <w:t>Refresh the scoring monthly using time-series data to measure growth momentum and cost stability directly.</w:t>
      </w:r>
    </w:p>
    <w:p>
      <w:pPr>
        <w:pStyle w:val="Heading1"/>
      </w:pPr>
      <w:r>
        <w:t>Caveat</w:t>
      </w:r>
    </w:p>
    <w:p>
      <w:r>
        <w:t>Results come from a single monthly snapshot and expert-set scoring weights. Archetypes overlap, so the continuous score should guide ranking and the archetype should guide the type of action.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