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5B3FF" w14:textId="77777777" w:rsidR="00BB5DAE" w:rsidRPr="00BB5DAE" w:rsidRDefault="00BB5DAE" w:rsidP="00BB5D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B5DA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Dataset Overview</w:t>
      </w:r>
    </w:p>
    <w:p w14:paraId="270452D5" w14:textId="1BA26F25" w:rsidR="00792D74" w:rsidRDefault="00792D74" w:rsidP="00BB5DA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Total studies: 2019</w:t>
      </w:r>
    </w:p>
    <w:p w14:paraId="418EAD31" w14:textId="56229E02" w:rsidR="00792D74" w:rsidRDefault="00792D74" w:rsidP="00BB5DA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Total segmentation files: 87</w:t>
      </w:r>
    </w:p>
    <w:p w14:paraId="40A6F589" w14:textId="79FAD683" w:rsidR="00BB5DAE" w:rsidRPr="00BB5DAE" w:rsidRDefault="00BB5DAE" w:rsidP="00BB5DA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Total vertebra-level samples: 6,727 </w:t>
      </w:r>
    </w:p>
    <w:p w14:paraId="60264F93" w14:textId="77777777" w:rsidR="00BB5DAE" w:rsidRPr="00BB5DAE" w:rsidRDefault="00BB5DAE" w:rsidP="00BB5DA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Fractured (broken = 1): 1,444 (21.47%) </w:t>
      </w:r>
    </w:p>
    <w:p w14:paraId="38C7AD31" w14:textId="77777777" w:rsidR="00BB5DAE" w:rsidRPr="00BB5DAE" w:rsidRDefault="00BB5DAE" w:rsidP="00BB5DA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Non-fractured (broken = 0): 5,283 (78.53%) </w:t>
      </w:r>
    </w:p>
    <w:p w14:paraId="04D37526" w14:textId="628864D3" w:rsidR="00BB5DAE" w:rsidRPr="00BB5DAE" w:rsidRDefault="00BB5DAE" w:rsidP="00BB5DAE">
      <w:pPr>
        <w:rPr>
          <w:rFonts w:ascii="Times New Roman" w:eastAsia="Times New Roman" w:hAnsi="Times New Roman" w:cs="Times New Roman"/>
          <w:lang w:eastAsia="en-GB"/>
        </w:rPr>
      </w:pPr>
    </w:p>
    <w:p w14:paraId="3F41E455" w14:textId="77777777" w:rsidR="00BB5DAE" w:rsidRPr="00BB5DAE" w:rsidRDefault="00BB5DAE" w:rsidP="00BB5D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B5DA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Study-Level Distribution</w:t>
      </w:r>
    </w:p>
    <w:p w14:paraId="5DE16D30" w14:textId="77777777" w:rsidR="00BB5DAE" w:rsidRPr="00BB5DAE" w:rsidRDefault="00BB5DAE" w:rsidP="00BB5DA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Total studies: 2,019 </w:t>
      </w:r>
    </w:p>
    <w:p w14:paraId="2C26C240" w14:textId="77777777" w:rsidR="00BB5DAE" w:rsidRPr="00BB5DAE" w:rsidRDefault="00BB5DAE" w:rsidP="00BB5DA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Studies with ≥1 fractured vertebra: 961 (47.6%) </w:t>
      </w:r>
    </w:p>
    <w:p w14:paraId="65F6D5BC" w14:textId="77777777" w:rsidR="00BB5DAE" w:rsidRPr="00BB5DAE" w:rsidRDefault="00BB5DAE" w:rsidP="00BB5DA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Studies with no fractures: 1,058 (52.4%) </w:t>
      </w:r>
    </w:p>
    <w:p w14:paraId="497267E3" w14:textId="77777777" w:rsidR="00BB5DAE" w:rsidRPr="00BB5DAE" w:rsidRDefault="00BB5DAE" w:rsidP="00BB5DA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Key implication: </w:t>
      </w:r>
    </w:p>
    <w:p w14:paraId="45083A18" w14:textId="77777777" w:rsidR="00BB5DAE" w:rsidRPr="00BB5DAE" w:rsidRDefault="00BB5DAE" w:rsidP="00BB5DA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Study-level distribution is relatively balanced </w:t>
      </w:r>
    </w:p>
    <w:p w14:paraId="67A98142" w14:textId="77777777" w:rsidR="00BB5DAE" w:rsidRPr="00BB5DAE" w:rsidRDefault="00BB5DAE" w:rsidP="00BB5DA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However, imbalance emerges at the vertebra level within studies </w:t>
      </w:r>
    </w:p>
    <w:p w14:paraId="6CD0B94F" w14:textId="0CEBCA1C" w:rsidR="00BB5DAE" w:rsidRPr="00BB5DAE" w:rsidRDefault="00792D74" w:rsidP="00BB5DAE">
      <w:pPr>
        <w:rPr>
          <w:rFonts w:ascii="Times New Roman" w:eastAsia="Times New Roman" w:hAnsi="Times New Roman" w:cs="Times New Roman"/>
          <w:lang w:eastAsia="en-GB"/>
        </w:rPr>
      </w:pPr>
      <w:r>
        <w:rPr>
          <w:noProof/>
        </w:rPr>
        <w:drawing>
          <wp:inline distT="0" distB="0" distL="0" distR="0" wp14:anchorId="4CB54CF8" wp14:editId="0516ABFD">
            <wp:extent cx="5731510" cy="2208530"/>
            <wp:effectExtent l="0" t="0" r="0" b="1270"/>
            <wp:docPr id="2" name="Picture 2" descr="A red circle with a red circle and a red square with a black 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red circle with a red circle and a red square with a black line&#10;&#10;Description automatically generated with medium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00F7" w14:textId="77777777" w:rsidR="00BB5DAE" w:rsidRPr="00BB5DAE" w:rsidRDefault="00BB5DAE" w:rsidP="00BB5D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B5DA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Vertebra-Level Fracture Distribution</w:t>
      </w:r>
    </w:p>
    <w:p w14:paraId="30CBC18C" w14:textId="77777777" w:rsidR="00BB5DAE" w:rsidRPr="00BB5DAE" w:rsidRDefault="00BB5DAE" w:rsidP="00BB5DA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Fracture prevalence varies significantly across cervical levels: </w:t>
      </w:r>
    </w:p>
    <w:p w14:paraId="13CCEC15" w14:textId="77777777" w:rsidR="00BB5DAE" w:rsidRPr="00BB5DAE" w:rsidRDefault="00BB5DAE" w:rsidP="00BB5DA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C7: 40.89% (highest) </w:t>
      </w:r>
    </w:p>
    <w:p w14:paraId="37899B66" w14:textId="77777777" w:rsidR="00BB5DAE" w:rsidRPr="00BB5DAE" w:rsidRDefault="00BB5DAE" w:rsidP="00BB5DA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C2: 29.66% </w:t>
      </w:r>
    </w:p>
    <w:p w14:paraId="351B739E" w14:textId="77777777" w:rsidR="00BB5DAE" w:rsidRPr="00BB5DAE" w:rsidRDefault="00BB5DAE" w:rsidP="00BB5DA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C6: 28.82% </w:t>
      </w:r>
    </w:p>
    <w:p w14:paraId="792F4CE3" w14:textId="77777777" w:rsidR="00BB5DAE" w:rsidRPr="00BB5DAE" w:rsidRDefault="00BB5DAE" w:rsidP="00BB5DA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C5: 16.86% </w:t>
      </w:r>
    </w:p>
    <w:p w14:paraId="26A58E29" w14:textId="77777777" w:rsidR="00BB5DAE" w:rsidRPr="00BB5DAE" w:rsidRDefault="00BB5DAE" w:rsidP="00BB5DA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C1: 15.19% </w:t>
      </w:r>
    </w:p>
    <w:p w14:paraId="384B91BD" w14:textId="77777777" w:rsidR="00BB5DAE" w:rsidRPr="00BB5DAE" w:rsidRDefault="00BB5DAE" w:rsidP="00BB5DA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C4: 11.24% </w:t>
      </w:r>
    </w:p>
    <w:p w14:paraId="4622C724" w14:textId="77777777" w:rsidR="00BB5DAE" w:rsidRPr="00BB5DAE" w:rsidRDefault="00BB5DAE" w:rsidP="00BB5DA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C3: 7.60% (lowest) </w:t>
      </w:r>
    </w:p>
    <w:p w14:paraId="3F3E94DB" w14:textId="77777777" w:rsidR="00BB5DAE" w:rsidRPr="00BB5DAE" w:rsidRDefault="00BB5DAE" w:rsidP="00BB5DA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Key observations: </w:t>
      </w:r>
    </w:p>
    <w:p w14:paraId="5EE17B29" w14:textId="77777777" w:rsidR="00BB5DAE" w:rsidRPr="00BB5DAE" w:rsidRDefault="00BB5DAE" w:rsidP="00BB5DA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Lower cervical vertebrae (C6–C7) are substantially more fracture-prone </w:t>
      </w:r>
    </w:p>
    <w:p w14:paraId="0B3EB96D" w14:textId="77777777" w:rsidR="00BB5DAE" w:rsidRPr="00BB5DAE" w:rsidRDefault="00BB5DAE" w:rsidP="00BB5DA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Upper levels (C3–C4) are underrepresented in fracture cases </w:t>
      </w:r>
    </w:p>
    <w:p w14:paraId="005C42CC" w14:textId="77777777" w:rsidR="00BB5DAE" w:rsidRPr="00BB5DAE" w:rsidRDefault="00BB5DAE" w:rsidP="00BB5DA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This creates </w:t>
      </w:r>
      <w:r w:rsidRPr="00BB5DAE">
        <w:rPr>
          <w:rFonts w:ascii="Times New Roman" w:eastAsia="Times New Roman" w:hAnsi="Times New Roman" w:cs="Times New Roman"/>
          <w:b/>
          <w:bCs/>
          <w:lang w:eastAsia="en-GB"/>
        </w:rPr>
        <w:t>label imbalance across classes</w:t>
      </w:r>
      <w:r w:rsidRPr="00BB5DAE">
        <w:rPr>
          <w:rFonts w:ascii="Times New Roman" w:eastAsia="Times New Roman" w:hAnsi="Times New Roman" w:cs="Times New Roman"/>
          <w:lang w:eastAsia="en-GB"/>
        </w:rPr>
        <w:t xml:space="preserve">, not just binary imbalance </w:t>
      </w:r>
    </w:p>
    <w:p w14:paraId="6E7B486D" w14:textId="77777777" w:rsidR="00BB5DAE" w:rsidRPr="00BB5DAE" w:rsidRDefault="00BB5DAE" w:rsidP="00BB5DA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Implications: </w:t>
      </w:r>
    </w:p>
    <w:p w14:paraId="0A965FE9" w14:textId="77777777" w:rsidR="00BB5DAE" w:rsidRPr="00BB5DAE" w:rsidRDefault="00BB5DAE" w:rsidP="00BB5DA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Models may bias predictions toward frequently fractured vertebrae (e.g., C7) </w:t>
      </w:r>
    </w:p>
    <w:p w14:paraId="45EA1522" w14:textId="77777777" w:rsidR="00BB5DAE" w:rsidRPr="00BB5DAE" w:rsidRDefault="00BB5DAE" w:rsidP="00BB5DA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Poor sensitivity is likely for rare fracture locations (e.g., C3) </w:t>
      </w:r>
    </w:p>
    <w:p w14:paraId="403988A0" w14:textId="2B0DE0C5" w:rsidR="00BB5DAE" w:rsidRDefault="00792D74" w:rsidP="00BB5DAE">
      <w:pPr>
        <w:rPr>
          <w:rFonts w:ascii="Times New Roman" w:eastAsia="Times New Roman" w:hAnsi="Times New Roman" w:cs="Times New Roman"/>
          <w:lang w:eastAsia="en-GB"/>
        </w:rPr>
      </w:pPr>
      <w:r>
        <w:rPr>
          <w:noProof/>
        </w:rPr>
        <w:lastRenderedPageBreak/>
        <w:drawing>
          <wp:inline distT="0" distB="0" distL="0" distR="0" wp14:anchorId="4E74A87A" wp14:editId="6A8EBC93">
            <wp:extent cx="5731510" cy="2496185"/>
            <wp:effectExtent l="0" t="0" r="0" b="5715"/>
            <wp:docPr id="3" name="Picture 3" descr="A pie chart and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e chart and a diagram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9485C" w14:textId="00E550B0" w:rsidR="00BB5DAE" w:rsidRPr="00BB5DAE" w:rsidRDefault="00BB5DAE" w:rsidP="00BB5DAE">
      <w:pPr>
        <w:rPr>
          <w:rFonts w:ascii="Times New Roman" w:eastAsia="Times New Roman" w:hAnsi="Times New Roman" w:cs="Times New Roman"/>
          <w:lang w:eastAsia="en-GB"/>
        </w:rPr>
      </w:pPr>
    </w:p>
    <w:p w14:paraId="72F9DE11" w14:textId="7516BBEC" w:rsidR="00BB5DAE" w:rsidRPr="00BB5DAE" w:rsidRDefault="00792D74" w:rsidP="00BB5D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</w:t>
      </w:r>
      <w:r w:rsidR="00BB5DAE" w:rsidRPr="00BB5DA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. Pixel-Level Class Imbalance (Segmentation)</w:t>
      </w:r>
    </w:p>
    <w:p w14:paraId="76C91A8C" w14:textId="77777777" w:rsidR="00BB5DAE" w:rsidRPr="00BB5DAE" w:rsidRDefault="00BB5DAE" w:rsidP="00BB5DA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Total pixels: 7.33 billion </w:t>
      </w:r>
    </w:p>
    <w:p w14:paraId="1C0C6E1D" w14:textId="77777777" w:rsidR="00BB5DAE" w:rsidRPr="00BB5DAE" w:rsidRDefault="00BB5DAE" w:rsidP="00BB5DA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Background: 97.29% </w:t>
      </w:r>
    </w:p>
    <w:p w14:paraId="23E90EC0" w14:textId="77777777" w:rsidR="00BB5DAE" w:rsidRPr="00BB5DAE" w:rsidRDefault="00BB5DAE" w:rsidP="00BB5DA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All vertebrae combined: 2.71% </w:t>
      </w:r>
    </w:p>
    <w:p w14:paraId="3EE7A8C7" w14:textId="77777777" w:rsidR="00BB5DAE" w:rsidRPr="00BB5DAE" w:rsidRDefault="00BB5DAE" w:rsidP="00BB5DA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Per-class distribution: </w:t>
      </w:r>
    </w:p>
    <w:p w14:paraId="5842A9A4" w14:textId="77777777" w:rsidR="00BB5DAE" w:rsidRPr="00BB5DAE" w:rsidRDefault="00BB5DAE" w:rsidP="00BB5DA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Each vertebra class contributes ~0.21% – 0.31% individually </w:t>
      </w:r>
    </w:p>
    <w:p w14:paraId="1072E022" w14:textId="77777777" w:rsidR="00BB5DAE" w:rsidRPr="00BB5DAE" w:rsidRDefault="00BB5DAE" w:rsidP="00BB5DA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“Other vertebrae” class: 0.93% </w:t>
      </w:r>
    </w:p>
    <w:p w14:paraId="220D2CE1" w14:textId="77777777" w:rsidR="00BB5DAE" w:rsidRPr="00BB5DAE" w:rsidRDefault="00BB5DAE" w:rsidP="00BB5DA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Key observations: </w:t>
      </w:r>
    </w:p>
    <w:p w14:paraId="6E7F73E0" w14:textId="77777777" w:rsidR="00BB5DAE" w:rsidRPr="00BB5DAE" w:rsidRDefault="00BB5DAE" w:rsidP="00BB5DA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Extreme imbalance between background and foreground (~36:1) </w:t>
      </w:r>
    </w:p>
    <w:p w14:paraId="2A8D44CC" w14:textId="77777777" w:rsidR="00BB5DAE" w:rsidRPr="00BB5DAE" w:rsidRDefault="00BB5DAE" w:rsidP="00BB5DA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Severe sparsity for individual vertebra classes </w:t>
      </w:r>
    </w:p>
    <w:p w14:paraId="089519A8" w14:textId="77777777" w:rsidR="00BB5DAE" w:rsidRPr="00BB5DAE" w:rsidRDefault="00BB5DAE" w:rsidP="00BB5DA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Implications: </w:t>
      </w:r>
    </w:p>
    <w:p w14:paraId="5B0609D0" w14:textId="77777777" w:rsidR="00BB5DAE" w:rsidRPr="00BB5DAE" w:rsidRDefault="00BB5DAE" w:rsidP="00BB5DA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Standard loss functions (e.g., cross-entropy) will heavily favour background </w:t>
      </w:r>
    </w:p>
    <w:p w14:paraId="11B34ADB" w14:textId="77777777" w:rsidR="00BB5DAE" w:rsidRPr="00BB5DAE" w:rsidRDefault="00BB5DAE" w:rsidP="00BB5DA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Risk of trivial solutions (predicting mostly background) </w:t>
      </w:r>
    </w:p>
    <w:p w14:paraId="56630BDF" w14:textId="7D43FE22" w:rsidR="00BB5DAE" w:rsidRDefault="00792D74" w:rsidP="00BB5DAE">
      <w:pPr>
        <w:rPr>
          <w:rFonts w:ascii="Times New Roman" w:eastAsia="Times New Roman" w:hAnsi="Times New Roman" w:cs="Times New Roman"/>
          <w:lang w:eastAsia="en-GB"/>
        </w:rPr>
      </w:pPr>
      <w:r>
        <w:rPr>
          <w:noProof/>
        </w:rPr>
        <w:lastRenderedPageBreak/>
        <w:drawing>
          <wp:inline distT="0" distB="0" distL="0" distR="0" wp14:anchorId="3479545D" wp14:editId="0C88CECD">
            <wp:extent cx="5731510" cy="4203700"/>
            <wp:effectExtent l="0" t="0" r="0" b="0"/>
            <wp:docPr id="4" name="Picture 4" descr="A close-up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close-up of a graph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9C943" w14:textId="77777777" w:rsidR="00792D74" w:rsidRPr="00BB5DAE" w:rsidRDefault="00792D74" w:rsidP="00BB5DAE">
      <w:pPr>
        <w:rPr>
          <w:rFonts w:ascii="Times New Roman" w:eastAsia="Times New Roman" w:hAnsi="Times New Roman" w:cs="Times New Roman"/>
          <w:lang w:eastAsia="en-GB"/>
        </w:rPr>
      </w:pPr>
    </w:p>
    <w:p w14:paraId="30CB5D1A" w14:textId="625F08A0" w:rsidR="00BB5DAE" w:rsidRPr="00BB5DAE" w:rsidRDefault="00792D74" w:rsidP="00BB5D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</w:t>
      </w:r>
      <w:r w:rsidR="00BB5DAE" w:rsidRPr="00BB5DA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. Data Volume and Slice Distribution</w:t>
      </w:r>
    </w:p>
    <w:p w14:paraId="04BF884A" w14:textId="77777777" w:rsidR="00BB5DAE" w:rsidRPr="00BB5DAE" w:rsidRDefault="00BB5DAE" w:rsidP="00BB5DA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Total studies with imaging: 2,019 </w:t>
      </w:r>
    </w:p>
    <w:p w14:paraId="42DC2A31" w14:textId="77777777" w:rsidR="00BB5DAE" w:rsidRPr="00BB5DAE" w:rsidRDefault="00BB5DAE" w:rsidP="00BB5DA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Slice statistics: </w:t>
      </w:r>
    </w:p>
    <w:p w14:paraId="134B7331" w14:textId="77777777" w:rsidR="00BB5DAE" w:rsidRPr="00BB5DAE" w:rsidRDefault="00BB5DAE" w:rsidP="00BB5DA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Min: 69 </w:t>
      </w:r>
    </w:p>
    <w:p w14:paraId="508EED06" w14:textId="77777777" w:rsidR="00BB5DAE" w:rsidRPr="00BB5DAE" w:rsidRDefault="00BB5DAE" w:rsidP="00BB5DA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Max: 1,082 </w:t>
      </w:r>
    </w:p>
    <w:p w14:paraId="1627F14C" w14:textId="77777777" w:rsidR="00BB5DAE" w:rsidRPr="00BB5DAE" w:rsidRDefault="00BB5DAE" w:rsidP="00BB5DA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Median: 314 </w:t>
      </w:r>
    </w:p>
    <w:p w14:paraId="1560BC97" w14:textId="77777777" w:rsidR="00BB5DAE" w:rsidRPr="00BB5DAE" w:rsidRDefault="00BB5DAE" w:rsidP="00BB5DA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Mean: 352.5 </w:t>
      </w:r>
    </w:p>
    <w:p w14:paraId="3B2FA760" w14:textId="77777777" w:rsidR="00BB5DAE" w:rsidRPr="00BB5DAE" w:rsidRDefault="00BB5DAE" w:rsidP="00BB5DA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Segmentation-aligned slices (81 studies): </w:t>
      </w:r>
    </w:p>
    <w:p w14:paraId="2E34E265" w14:textId="77777777" w:rsidR="00BB5DAE" w:rsidRPr="00BB5DAE" w:rsidRDefault="00BB5DAE" w:rsidP="00BB5DA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Min: 152 </w:t>
      </w:r>
    </w:p>
    <w:p w14:paraId="3DDE1256" w14:textId="77777777" w:rsidR="00BB5DAE" w:rsidRPr="00BB5DAE" w:rsidRDefault="00BB5DAE" w:rsidP="00BB5DA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Max: 673 </w:t>
      </w:r>
    </w:p>
    <w:p w14:paraId="0B723853" w14:textId="77777777" w:rsidR="00BB5DAE" w:rsidRPr="00BB5DAE" w:rsidRDefault="00BB5DAE" w:rsidP="00BB5DA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Median: 298 </w:t>
      </w:r>
    </w:p>
    <w:p w14:paraId="37E77BC7" w14:textId="77777777" w:rsidR="00BB5DAE" w:rsidRPr="00BB5DAE" w:rsidRDefault="00BB5DAE" w:rsidP="00BB5DA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Key observations: </w:t>
      </w:r>
    </w:p>
    <w:p w14:paraId="468460E7" w14:textId="77777777" w:rsidR="00BB5DAE" w:rsidRPr="00BB5DAE" w:rsidRDefault="00BB5DAE" w:rsidP="00BB5DA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High variability in scan length across studies </w:t>
      </w:r>
    </w:p>
    <w:p w14:paraId="5F864F10" w14:textId="77777777" w:rsidR="00BB5DAE" w:rsidRPr="00BB5DAE" w:rsidRDefault="00BB5DAE" w:rsidP="00BB5DA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Potential inconsistency in spatial coverage and resolution </w:t>
      </w:r>
    </w:p>
    <w:p w14:paraId="3E940E27" w14:textId="77777777" w:rsidR="00BB5DAE" w:rsidRPr="00BB5DAE" w:rsidRDefault="00BB5DAE" w:rsidP="00BB5DA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Implications: </w:t>
      </w:r>
    </w:p>
    <w:p w14:paraId="50EFB2E0" w14:textId="77777777" w:rsidR="00BB5DAE" w:rsidRPr="00BB5DAE" w:rsidRDefault="00BB5DAE" w:rsidP="00BB5DA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Models must handle variable input sizes </w:t>
      </w:r>
    </w:p>
    <w:p w14:paraId="16AE2ADF" w14:textId="77777777" w:rsidR="00BB5DAE" w:rsidRPr="00BB5DAE" w:rsidRDefault="00BB5DAE" w:rsidP="00BB5DA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May require: </w:t>
      </w:r>
    </w:p>
    <w:p w14:paraId="32AF6B47" w14:textId="77777777" w:rsidR="00BB5DAE" w:rsidRPr="00BB5DAE" w:rsidRDefault="00BB5DAE" w:rsidP="00BB5DAE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 xml:space="preserve">Resampling or normalization </w:t>
      </w:r>
    </w:p>
    <w:p w14:paraId="0EB35A76" w14:textId="77777777" w:rsidR="00BB5DAE" w:rsidRPr="00BB5DAE" w:rsidRDefault="00BB5DAE" w:rsidP="00BB5DAE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B5DAE">
        <w:rPr>
          <w:rFonts w:ascii="Times New Roman" w:eastAsia="Times New Roman" w:hAnsi="Times New Roman" w:cs="Times New Roman"/>
          <w:lang w:eastAsia="en-GB"/>
        </w:rPr>
        <w:t>Slice selection or 3D standardisation strategies</w:t>
      </w:r>
    </w:p>
    <w:p w14:paraId="06D2F32C" w14:textId="4FE8DA87" w:rsidR="00BB5DAE" w:rsidRDefault="00BB5DAE"/>
    <w:p w14:paraId="33145EDC" w14:textId="77777777" w:rsidR="00BB5DAE" w:rsidRDefault="00BB5DAE">
      <w:r>
        <w:br w:type="page"/>
      </w:r>
    </w:p>
    <w:p w14:paraId="77F367FA" w14:textId="77777777" w:rsidR="00BB5DAE" w:rsidRDefault="00BB5DAE"/>
    <w:p w14:paraId="36F6ABC3" w14:textId="77777777" w:rsidR="00BB5DAE" w:rsidRDefault="00BB5DAE"/>
    <w:p w14:paraId="0DB3D82B" w14:textId="77777777" w:rsidR="00BB5DAE" w:rsidRDefault="00BB5DAE"/>
    <w:p w14:paraId="79D7E863" w14:textId="30281B80" w:rsidR="00BB5DAE" w:rsidRDefault="00BB5DAE">
      <w:r>
        <w:rPr>
          <w:noProof/>
        </w:rPr>
        <w:drawing>
          <wp:inline distT="0" distB="0" distL="0" distR="0" wp14:anchorId="59F195A9" wp14:editId="10A0D2BB">
            <wp:extent cx="5731510" cy="3178810"/>
            <wp:effectExtent l="0" t="0" r="0" b="0"/>
            <wp:docPr id="1" name="Picture 1" descr="A graph of a number of slic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aph of a number of slices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D1B52" w14:textId="65DEAFDF" w:rsidR="00BB5DAE" w:rsidRDefault="00BB5DAE"/>
    <w:p w14:paraId="6CE85A72" w14:textId="6E7AEF87" w:rsidR="00BB5DAE" w:rsidRDefault="00BB5DAE"/>
    <w:sectPr w:rsidR="00BB5D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0339B"/>
    <w:multiLevelType w:val="multilevel"/>
    <w:tmpl w:val="10AE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B5B7D"/>
    <w:multiLevelType w:val="multilevel"/>
    <w:tmpl w:val="38D4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00502"/>
    <w:multiLevelType w:val="multilevel"/>
    <w:tmpl w:val="7BD6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C92F96"/>
    <w:multiLevelType w:val="multilevel"/>
    <w:tmpl w:val="746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9C42B3"/>
    <w:multiLevelType w:val="multilevel"/>
    <w:tmpl w:val="353C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5B6A43"/>
    <w:multiLevelType w:val="multilevel"/>
    <w:tmpl w:val="C16C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5834863">
    <w:abstractNumId w:val="4"/>
  </w:num>
  <w:num w:numId="2" w16cid:durableId="1374429199">
    <w:abstractNumId w:val="0"/>
  </w:num>
  <w:num w:numId="3" w16cid:durableId="368385386">
    <w:abstractNumId w:val="5"/>
  </w:num>
  <w:num w:numId="4" w16cid:durableId="712315596">
    <w:abstractNumId w:val="3"/>
  </w:num>
  <w:num w:numId="5" w16cid:durableId="1363214976">
    <w:abstractNumId w:val="2"/>
  </w:num>
  <w:num w:numId="6" w16cid:durableId="688334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DAE"/>
    <w:rsid w:val="00792D74"/>
    <w:rsid w:val="00BB5DAE"/>
    <w:rsid w:val="00C06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C4E15"/>
  <w15:chartTrackingRefBased/>
  <w15:docId w15:val="{101CBC62-F7A2-EF48-8967-C069F0B46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B5DA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B5DAE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BB5D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15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NGOC TUONG DOAN</dc:creator>
  <cp:keywords/>
  <dc:description/>
  <cp:lastModifiedBy>VAN NGOC TUONG DOAN</cp:lastModifiedBy>
  <cp:revision>1</cp:revision>
  <dcterms:created xsi:type="dcterms:W3CDTF">2026-03-31T23:47:00Z</dcterms:created>
  <dcterms:modified xsi:type="dcterms:W3CDTF">2026-04-01T00:08:00Z</dcterms:modified>
</cp:coreProperties>
</file>