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724056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4787A" w:rsidRPr="0004787A" w:rsidRDefault="0004787A" w:rsidP="000710E5">
          <w:pPr>
            <w:spacing w:line="276" w:lineRule="auto"/>
            <w:ind w:firstLine="0"/>
            <w:jc w:val="center"/>
            <w:rPr>
              <w:rFonts w:cs="Times New Roman"/>
              <w:color w:val="000000" w:themeColor="text1"/>
            </w:rPr>
          </w:pPr>
          <w:r w:rsidRPr="0004787A">
            <w:rPr>
              <w:rFonts w:cs="Times New Roman"/>
              <w:color w:val="000000" w:themeColor="text1"/>
            </w:rPr>
            <w:t>СОДЕРЖАНИЕ</w:t>
          </w:r>
        </w:p>
        <w:p w:rsidR="0004787A" w:rsidRPr="0004787A" w:rsidRDefault="0004787A" w:rsidP="0004787A">
          <w:pPr>
            <w:rPr>
              <w:lang w:eastAsia="ru-RU"/>
            </w:rPr>
          </w:pPr>
        </w:p>
        <w:p w:rsidR="00AB1983" w:rsidRDefault="0004787A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02546" w:history="1">
            <w:r w:rsidR="00AB1983" w:rsidRPr="008E6A32">
              <w:rPr>
                <w:rStyle w:val="aa"/>
                <w:noProof/>
              </w:rPr>
              <w:t>В</w:t>
            </w:r>
            <w:r w:rsidR="00AB1983">
              <w:rPr>
                <w:rStyle w:val="aa"/>
                <w:noProof/>
              </w:rPr>
              <w:t>ведение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_Toc217602546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0710E5">
              <w:rPr>
                <w:noProof/>
                <w:webHidden/>
              </w:rPr>
              <w:t>4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2D7D5D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47" w:history="1">
            <w:r w:rsidR="00AB1983" w:rsidRPr="008E6A32">
              <w:rPr>
                <w:rStyle w:val="aa"/>
                <w:noProof/>
              </w:rPr>
              <w:t>1. Теоретические основы информационно-аналитической деятельности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_Toc217602547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0710E5">
              <w:rPr>
                <w:noProof/>
                <w:webHidden/>
              </w:rPr>
              <w:t>5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2D7D5D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48" w:history="1">
            <w:r w:rsidR="00AB1983" w:rsidRPr="008E6A32">
              <w:rPr>
                <w:rStyle w:val="aa"/>
                <w:noProof/>
              </w:rPr>
              <w:t>1.1      Понятие информационно-аналитической деятельности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_Toc217602548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0710E5">
              <w:rPr>
                <w:noProof/>
                <w:webHidden/>
              </w:rPr>
              <w:t>5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2D7D5D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49" w:history="1">
            <w:r w:rsidR="00AB1983" w:rsidRPr="008E6A32">
              <w:rPr>
                <w:rStyle w:val="aa"/>
                <w:noProof/>
              </w:rPr>
              <w:t>1.2 Инструменты и технологии информационно-аналитической деятельности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_Toc217602549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0710E5">
              <w:rPr>
                <w:noProof/>
                <w:webHidden/>
              </w:rPr>
              <w:t>6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2D7D5D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0" w:history="1">
            <w:r w:rsidR="00AB1983" w:rsidRPr="008E6A32">
              <w:rPr>
                <w:rStyle w:val="aa"/>
                <w:noProof/>
              </w:rPr>
              <w:t>2 Информационно-аналитическая деятельность в медицинской сфере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_Toc217602550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0710E5">
              <w:rPr>
                <w:noProof/>
                <w:webHidden/>
              </w:rPr>
              <w:t>8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2D7D5D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1" w:history="1">
            <w:r w:rsidR="00AB1983" w:rsidRPr="008E6A32">
              <w:rPr>
                <w:rStyle w:val="aa"/>
                <w:noProof/>
              </w:rPr>
              <w:t>2.1 Необходимость информационно-аналитической деятельности в медицинской сфере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_Toc217602551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0710E5">
              <w:rPr>
                <w:noProof/>
                <w:webHidden/>
              </w:rPr>
              <w:t>8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2D7D5D">
          <w:pPr>
            <w:pStyle w:val="2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2" w:history="1">
            <w:r w:rsidR="00AB1983" w:rsidRPr="008E6A32">
              <w:rPr>
                <w:rStyle w:val="aa"/>
                <w:noProof/>
              </w:rPr>
              <w:t>2.2 Информационно-аналитическая деятельность на примере Забайкальского клинического госпиталя для ветеранов войн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_Toc217602552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0710E5">
              <w:rPr>
                <w:noProof/>
                <w:webHidden/>
              </w:rPr>
              <w:t>9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2D7D5D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3" w:history="1">
            <w:r w:rsidR="00AB1983" w:rsidRPr="008E6A32">
              <w:rPr>
                <w:rStyle w:val="aa"/>
                <w:noProof/>
              </w:rPr>
              <w:t>З</w:t>
            </w:r>
            <w:r w:rsidR="00AB1983">
              <w:rPr>
                <w:rStyle w:val="aa"/>
                <w:noProof/>
              </w:rPr>
              <w:t>аключение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_Toc217602553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0710E5">
              <w:rPr>
                <w:noProof/>
                <w:webHidden/>
              </w:rPr>
              <w:t>11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AB1983" w:rsidRDefault="002D7D5D">
          <w:pPr>
            <w:pStyle w:val="11"/>
            <w:tabs>
              <w:tab w:val="right" w:leader="dot" w:pos="9486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7602554" w:history="1">
            <w:r w:rsidR="00AB1983" w:rsidRPr="008E6A32">
              <w:rPr>
                <w:rStyle w:val="aa"/>
                <w:noProof/>
              </w:rPr>
              <w:t>С</w:t>
            </w:r>
            <w:r w:rsidR="00AB1983">
              <w:rPr>
                <w:rStyle w:val="aa"/>
                <w:noProof/>
              </w:rPr>
              <w:t>писок использованных источников</w:t>
            </w:r>
            <w:r w:rsidR="00AB1983">
              <w:rPr>
                <w:noProof/>
                <w:webHidden/>
              </w:rPr>
              <w:tab/>
            </w:r>
            <w:r w:rsidR="00AB1983">
              <w:rPr>
                <w:noProof/>
                <w:webHidden/>
              </w:rPr>
              <w:fldChar w:fldCharType="begin"/>
            </w:r>
            <w:r w:rsidR="00AB1983">
              <w:rPr>
                <w:noProof/>
                <w:webHidden/>
              </w:rPr>
              <w:instrText xml:space="preserve"> PAGEREF _Toc217602554 \h </w:instrText>
            </w:r>
            <w:r w:rsidR="00AB1983">
              <w:rPr>
                <w:noProof/>
                <w:webHidden/>
              </w:rPr>
            </w:r>
            <w:r w:rsidR="00AB1983">
              <w:rPr>
                <w:noProof/>
                <w:webHidden/>
              </w:rPr>
              <w:fldChar w:fldCharType="separate"/>
            </w:r>
            <w:r w:rsidR="000710E5">
              <w:rPr>
                <w:noProof/>
                <w:webHidden/>
              </w:rPr>
              <w:t>12</w:t>
            </w:r>
            <w:r w:rsidR="00AB1983">
              <w:rPr>
                <w:noProof/>
                <w:webHidden/>
              </w:rPr>
              <w:fldChar w:fldCharType="end"/>
            </w:r>
          </w:hyperlink>
        </w:p>
        <w:p w:rsidR="0004787A" w:rsidRDefault="0004787A">
          <w:r>
            <w:rPr>
              <w:b/>
              <w:bCs/>
            </w:rPr>
            <w:fldChar w:fldCharType="end"/>
          </w:r>
        </w:p>
      </w:sdtContent>
    </w:sdt>
    <w:p w:rsidR="0004787A" w:rsidRPr="0004787A" w:rsidRDefault="0004787A" w:rsidP="0004787A"/>
    <w:p w:rsidR="00D66F89" w:rsidRPr="00680655" w:rsidRDefault="00D66F89" w:rsidP="00F675F4">
      <w:pPr>
        <w:widowControl w:val="0"/>
        <w:spacing w:line="240" w:lineRule="auto"/>
        <w:ind w:right="-5" w:firstLine="0"/>
        <w:rPr>
          <w:rFonts w:eastAsia="Times New Roman" w:cs="Times New Roman"/>
          <w:sz w:val="24"/>
          <w:szCs w:val="24"/>
        </w:rPr>
      </w:pPr>
    </w:p>
    <w:p w:rsidR="00D66F89" w:rsidRPr="00762B22" w:rsidRDefault="0004787A" w:rsidP="00680655">
      <w:pPr>
        <w:ind w:firstLine="0"/>
        <w:rPr>
          <w:rFonts w:eastAsiaTheme="majorEastAsia" w:cstheme="majorBidi"/>
          <w:lang w:val="en-US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13D0232" wp14:editId="3C89E99E">
                <wp:simplePos x="0" y="0"/>
                <wp:positionH relativeFrom="column">
                  <wp:posOffset>5590296</wp:posOffset>
                </wp:positionH>
                <wp:positionV relativeFrom="paragraph">
                  <wp:posOffset>3845071</wp:posOffset>
                </wp:positionV>
                <wp:extent cx="685800" cy="556260"/>
                <wp:effectExtent l="0" t="0" r="19050" b="1524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562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090289" id="Прямоугольник 27" o:spid="_x0000_s1026" style="position:absolute;margin-left:440.2pt;margin-top:302.75pt;width:54pt;height:43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" fillcolor="white [3212]" strokecolor="white [3212]" strokeweight="1pt"/>
            </w:pict>
          </mc:Fallback>
        </mc:AlternateContent>
      </w:r>
      <w:r w:rsidR="00D66F89">
        <w:br w:type="page"/>
      </w:r>
    </w:p>
    <w:p w:rsidR="00443FA4" w:rsidRDefault="00443FA4" w:rsidP="00AB1983">
      <w:pPr>
        <w:pStyle w:val="af5"/>
        <w:outlineLvl w:val="0"/>
      </w:pPr>
      <w:bookmarkStart w:id="0" w:name="_Toc217602546"/>
      <w:r w:rsidRPr="00443FA4">
        <w:lastRenderedPageBreak/>
        <w:t>ВВЕДЕНИЕ</w:t>
      </w:r>
      <w:bookmarkEnd w:id="0"/>
    </w:p>
    <w:p w:rsidR="003434C7" w:rsidRDefault="003434C7" w:rsidP="009F23C6">
      <w:pPr>
        <w:pStyle w:val="af7"/>
      </w:pPr>
    </w:p>
    <w:p w:rsidR="009F23C6" w:rsidRDefault="009F23C6" w:rsidP="009F23C6">
      <w:pPr>
        <w:pStyle w:val="af7"/>
      </w:pPr>
      <w:r>
        <w:t>Своевременное выявление отека головного мозга и внутричерепной гипертензии имеет принципиальное значение для прогноза пациентов в нейрохирургии, неврологии и интенсивной терапии. Инвазивный мониторинг внутричерепного давления остается золотым стандартом, однако его применение ограничено риском осложнений, необходимостью специализированного оборудования и невозможностью повсеместного использования в экстренных условиях. На этом фоне активно развиваются неинвазивные методы оценки внутричерепного давления, среди которых особое место занимает ультразвуковое измерение диаметра оболочки зрительного нерва (ДОЗН/ONSD) на глуби</w:t>
      </w:r>
      <w:r>
        <w:t>не 3 мм позади глазного яблока.</w:t>
      </w:r>
      <w:bookmarkStart w:id="1" w:name="_GoBack"/>
      <w:bookmarkEnd w:id="1"/>
    </w:p>
    <w:p w:rsidR="009F23C6" w:rsidRDefault="009F23C6" w:rsidP="009F23C6">
      <w:pPr>
        <w:pStyle w:val="af7"/>
      </w:pPr>
      <w:r>
        <w:t>Ультрасонография зрительного нерва опирается на четкое анатомо‑физиологическое обоснование и продемонстрировала высокую клиническую значимость для скрининга и динамического мониторинга внутричерепной гипертензии. В то же время традиционный ручной подход к измерению ДОЗН характеризуется выраженной оператор-зависимостью и ограничивается оценкой только внешнего диаметра оболочки. Появление методов глубокого обучения и современных архитектур нейронных сетей открывает возможность автоматизировать процесс измерения и расширить его за счет более детального морфологического анализа, включая расчет отношения диаметра зрительного нерва к диаметру его оболочки. Настоящий литературный обзор посвящен анализу существующих клинических и технических подходов к ультразвуковой оценке зрительного нерва, а также современных решений на основе искусственного интеллекта, применяемых для автоматической обработки ультразвуковых изображений глаза.</w:t>
      </w:r>
    </w:p>
    <w:p w:rsidR="00443FA4" w:rsidRDefault="00443FA4" w:rsidP="00983DE0">
      <w:pPr>
        <w:rPr>
          <w:rFonts w:eastAsiaTheme="majorEastAsia" w:cstheme="majorBidi"/>
          <w:sz w:val="32"/>
          <w:szCs w:val="32"/>
        </w:rPr>
      </w:pPr>
      <w:r>
        <w:br w:type="page"/>
      </w:r>
    </w:p>
    <w:p w:rsidR="003434C7" w:rsidRPr="00C76B75" w:rsidRDefault="00C76B75" w:rsidP="00FD1F30">
      <w:pPr>
        <w:pStyle w:val="af9"/>
        <w:tabs>
          <w:tab w:val="left" w:pos="993"/>
          <w:tab w:val="left" w:pos="1134"/>
        </w:tabs>
        <w:outlineLvl w:val="0"/>
      </w:pPr>
      <w:bookmarkStart w:id="2" w:name="_Toc217602547"/>
      <w:r w:rsidRPr="00C76B75">
        <w:lastRenderedPageBreak/>
        <w:t>1.</w:t>
      </w:r>
      <w:r>
        <w:t xml:space="preserve"> </w:t>
      </w:r>
      <w:bookmarkEnd w:id="2"/>
    </w:p>
    <w:p w:rsidR="00C76B75" w:rsidRDefault="00C76B75" w:rsidP="009E3D54">
      <w:pPr>
        <w:pStyle w:val="af7"/>
      </w:pPr>
    </w:p>
    <w:p w:rsidR="00034DD1" w:rsidRDefault="00034DD1" w:rsidP="00FD1F30">
      <w:pPr>
        <w:pStyle w:val="af7"/>
      </w:pPr>
      <w:r>
        <w:t>Проблема своевременной диагностики отека головного мозга и внутричерепной гипертензии (ВЧГ) остается одной из ключевых в нейрохирургии, неврологии и реаниматологии. Золотым стандартом измерения внутричерепного давления (ВЧД) традиционно считаются инвазивные методы, такие как установка вентрикулярных дренажей или паренхиматозных датчиков. Однако, как отмечают в своих работах Geeraerts T. и соавторы [2], инвазивные процедуры сопряжены с рисками инфекционных осложнений, кровотечений и не всегда доступны в экстренных ситуациях. В связи с этим в последние десятилетия активное развитие получили неинвазивные методы, подробный анализ которых приводят Попугаев К.А. и коллеги [18], среди которых особое место занимает ультрасонография (УЗИ) зрительного нерва.</w:t>
      </w:r>
    </w:p>
    <w:p w:rsidR="00FD1F30" w:rsidRDefault="00034DD1" w:rsidP="00FD1F30">
      <w:pPr>
        <w:pStyle w:val="af7"/>
      </w:pPr>
      <w:r>
        <w:t>Анатомическим обоснованием метода служит тот факт, что оболочка зрительного нерва является продолжением твердой мозговой оболочки, а субарахноидальное пространство вокруг нерва сообщается с внутричерепным пространством. Следовательно, повышение давления ликвора в черепе приводит к расширению оболочки зрительного нерва [19]. Основополагающей работой в этой области считается исследование Helmke K. и Hansen H.C. [1], которые еще в 1996 году определили, что оптимальной точкой для измерения диаметра оболочки зрительного нерва (ДОЗН/ONSD) является расстояние 3 мм позади глазного яблока. Именно в этой зоне оболочка обладает наибольшей эластичностью и наиболее чувствительно реагирует на изменения ВЧД. Это правило «3 мм» стало стандартом, что подтверждается в работах Padayachy L.C. [13], а также в исследованиях Bauerle J. и Lochner P. [8], которые демонстрируют высокую корреляцию между УЗИ-параметрами и инвазивным мониторингом.</w:t>
      </w:r>
    </w:p>
    <w:p w:rsidR="00034DD1" w:rsidRDefault="00034DD1" w:rsidP="00FD1F30">
      <w:pPr>
        <w:pStyle w:val="af7"/>
      </w:pPr>
      <w:r>
        <w:t>В российской клинической практике метод также получил широкое признание. Исследования Петрикова С.С. и соавторов [16] из НИИ СП им. Н.В. Склифосовского подчеркивают эффективность ультразвукового мониторинг</w:t>
      </w:r>
      <w:r w:rsidR="00FD1F30">
        <w:t xml:space="preserve">а у </w:t>
      </w:r>
      <w:r w:rsidR="00FD1F30">
        <w:lastRenderedPageBreak/>
        <w:t>пациентов с тяжелой черепно-</w:t>
      </w:r>
      <w:r>
        <w:t>мозговой травмой. Авторы указывают, что динамическая оценка ДОЗН позволяет оперативно принимать решения о проведении дегидратационной терапии. В работах Крылова В.В. и коллег [20] рассматриваются корреляции между диаметром зрительного нерва и исходами при геморрагических инсультах, подтверждая прогностическую ценность метода. Однако, как справедливо замечают Белкин А.А. и Алашеев А.М. [17], ручное измерение параметров на УЗИ-снимках обл</w:t>
      </w:r>
      <w:r w:rsidR="00FD1F30">
        <w:t>адает существенным недостатком –</w:t>
      </w:r>
      <w:r>
        <w:t xml:space="preserve"> оператор-зависимостью. Результат сильно зависит от опыта врача, угла инсонации и субъективного выбора границ между нервом, оболочкой и</w:t>
      </w:r>
      <w:r w:rsidR="00FD1F30">
        <w:t xml:space="preserve"> окружающей жировой клетчаткой.</w:t>
      </w:r>
    </w:p>
    <w:p w:rsidR="00034DD1" w:rsidRDefault="00034DD1" w:rsidP="00FD1F30">
      <w:pPr>
        <w:pStyle w:val="af7"/>
      </w:pPr>
      <w:r>
        <w:t>Именно проблема субъективности и вариабельности измерений, обсуждаемая в статьях Rajajee V. [5] и систематических обзорах Dubourg J. [14], привела к необходимости автоматизации процесса. Традиционно анализ строится на измерении только внешнего диаметра оболочки (ONSD). Однако ваша задача подразумевает более г</w:t>
      </w:r>
      <w:r w:rsidR="00FD1F30">
        <w:t>лубокий морфологический анализ –</w:t>
      </w:r>
      <w:r>
        <w:t xml:space="preserve"> расчет отношения диаметра самого зрительного нерва (ДЗН) к диаметру его оболочки (ДОЗН). В литературе отмечается, что паренхима нерва менее подвержена изменениям при колебаниях давления по сравнению с оболочкой, что делает их соотношение потенциально более</w:t>
      </w:r>
      <w:r w:rsidR="00FD1F30">
        <w:t xml:space="preserve"> устойчивым биомаркером [1, 3].</w:t>
      </w:r>
    </w:p>
    <w:p w:rsidR="00034DD1" w:rsidRDefault="00034DD1" w:rsidP="00FD1F30">
      <w:pPr>
        <w:pStyle w:val="af7"/>
      </w:pPr>
      <w:r>
        <w:t>С развитием методов искусственного интеллекта фокус исследований сместился в сторону применения нейронных сетей для сегментации медицинских изображений. Ronneberger O. [4] в своей фундаментальной работе представил архитектуру U</w:t>
      </w:r>
      <w:r w:rsidR="00FD1F30">
        <w:t>-</w:t>
      </w:r>
      <w:r>
        <w:t>Net, которая стала стандартом де</w:t>
      </w:r>
      <w:r w:rsidR="00FD1F30">
        <w:t>-</w:t>
      </w:r>
      <w:r>
        <w:t>факто для задач медицинской сегментации. Применительно к УЗИ глаза исследователи начали экспериментировать с алгоритмами машинного обучения для автоматического детектирования зрительного нерва, что подробно рассматривается в работах Степанова В.Н. [22] и зарубежных коллег.</w:t>
      </w:r>
    </w:p>
    <w:p w:rsidR="00034DD1" w:rsidRDefault="00034DD1" w:rsidP="00FD1F30">
      <w:pPr>
        <w:pStyle w:val="af7"/>
      </w:pPr>
      <w:r>
        <w:t>Современные исследования, например</w:t>
      </w:r>
      <w:r w:rsidR="00FD1F30">
        <w:t>,</w:t>
      </w:r>
      <w:r>
        <w:t xml:space="preserve"> работы Chen H. [9] и Zhang Y. [12], демонстрируют применение модифицированных сетей U</w:t>
      </w:r>
      <w:r w:rsidR="00FD1F30">
        <w:t>-</w:t>
      </w:r>
      <w:r>
        <w:t>Net и Mask R</w:t>
      </w:r>
      <w:r w:rsidR="00FD1F30">
        <w:t>-</w:t>
      </w:r>
      <w:r>
        <w:t xml:space="preserve">CNN для автоматического выделения области интереса (ROI) на снимках УЗИ </w:t>
      </w:r>
      <w:r>
        <w:lastRenderedPageBreak/>
        <w:t>глаза. Основная сложность, описываемая Ma J. [7], заключается в низком контрасте границ на ультразвуковых изображениях, наличии спекл</w:t>
      </w:r>
      <w:r w:rsidR="00FD1F30">
        <w:t>-</w:t>
      </w:r>
      <w:r>
        <w:t>шума и акустических теней. Для борьбы с этим применяются методы предварительной обработки изображений, описанные в трудах российских ученых, таких как Гаврилов А.В. [27] и Лебедев А.С. [24].</w:t>
      </w:r>
    </w:p>
    <w:p w:rsidR="00034DD1" w:rsidRDefault="00034DD1" w:rsidP="00FD1F30">
      <w:pPr>
        <w:pStyle w:val="af7"/>
      </w:pPr>
      <w:r>
        <w:t>Важным аспектом является точность определения контрольной точки на глубине 3 мм. В статье Lee S. [15] предлагается алгоритм, который сначала находит задний полюс глазного яблока, выстраивает ось нерва и затем автоматически отмеряет необходимое расстояние, проводя перпендикулярные измерения. Это позволяет исключить человеческий фактор геометрических ошибок. Более того, Nagarkar P. [11] показывает, что нейронные сети способны обучаться на аннотированных экспертами данных и достигать точности измерений, сопоставимой с консилиумом врачей</w:t>
      </w:r>
      <w:r w:rsidR="00FD1F30">
        <w:t>-сонографистов.</w:t>
      </w:r>
    </w:p>
    <w:p w:rsidR="00034DD1" w:rsidRDefault="00034DD1" w:rsidP="00FD1F30">
      <w:pPr>
        <w:pStyle w:val="af7"/>
      </w:pPr>
      <w:r>
        <w:t>Особый интерес представляют работы, направленные на мультипараметрический анализ. Если классический подход опирается на пороговые значения (обычно 5.0–5.7 мм для ДОЗН) [6, 26], то использование отношения ДЗН к ДОЗН требует точной сегментации двух границ: «нерв</w:t>
      </w:r>
      <w:r w:rsidR="00FD1F30">
        <w:t>–</w:t>
      </w:r>
      <w:r>
        <w:t>ликвор» и «ликвор</w:t>
      </w:r>
      <w:r w:rsidR="00FD1F30">
        <w:t>–</w:t>
      </w:r>
      <w:r>
        <w:t xml:space="preserve">оболочка/жир». Исследования Kim D. [10] подтверждают, что современные архитектуры сетей способны различать эти тонкие границы. Российские </w:t>
      </w:r>
      <w:r w:rsidR="00FD1F30">
        <w:t>исследователи</w:t>
      </w:r>
      <w:r>
        <w:t xml:space="preserve"> Корниенко В.Н. и Пронин И.Н. [21] в своих трудах по нейрорадиологии также подчеркивают важность детальной визуализации структур орбиты дл</w:t>
      </w:r>
      <w:r w:rsidR="00FD1F30">
        <w:t>я дифференциальной диагностики.</w:t>
      </w:r>
    </w:p>
    <w:p w:rsidR="00C03F73" w:rsidRPr="000D082A" w:rsidRDefault="00034DD1" w:rsidP="00FD1F30">
      <w:pPr>
        <w:pStyle w:val="af7"/>
      </w:pPr>
      <w:r>
        <w:t>Таким образом, анализ литературы показывает, что, несмотря на доказанную клиническую значимость измерения оболочки зрительного нерва для диагностики отека мозга [29], ручной метод остается субъективным. Применение нейронных сетей для автоматического расчета диаметров и их соотношения на глубине 3 мм является логичным и актуальным шагом. Существующие</w:t>
      </w:r>
      <w:r w:rsidR="00FD1F30">
        <w:t xml:space="preserve"> архитектуры глубокого обучения </w:t>
      </w:r>
      <w:r>
        <w:t xml:space="preserve">обладают достаточным потенциалом для решения задачи сегментации, однако требуют качественной </w:t>
      </w:r>
      <w:r>
        <w:lastRenderedPageBreak/>
        <w:t>предварительной обработки данных и обучения на репрезентативных выборках.</w:t>
      </w:r>
      <w:r w:rsidRPr="000D082A">
        <w:t xml:space="preserve"> </w:t>
      </w:r>
    </w:p>
    <w:p w:rsidR="009B28E8" w:rsidRDefault="009B28E8" w:rsidP="003D2D55">
      <w:pPr>
        <w:ind w:firstLine="0"/>
        <w:jc w:val="left"/>
        <w:rPr>
          <w:noProof/>
          <w:lang w:eastAsia="ru-RU"/>
        </w:rPr>
        <w:sectPr w:rsidR="009B28E8" w:rsidSect="000710E5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50" w:bottom="1134" w:left="1560" w:header="0" w:footer="0" w:gutter="0"/>
          <w:pgNumType w:start="3"/>
          <w:cols w:space="708"/>
          <w:titlePg/>
          <w:docGrid w:linePitch="381"/>
        </w:sectPr>
      </w:pPr>
    </w:p>
    <w:p w:rsidR="00443FA4" w:rsidRDefault="00443FA4" w:rsidP="00AB1983">
      <w:pPr>
        <w:pStyle w:val="af5"/>
        <w:outlineLvl w:val="0"/>
      </w:pPr>
      <w:bookmarkStart w:id="3" w:name="_Toc217602553"/>
      <w:r w:rsidRPr="00443FA4">
        <w:lastRenderedPageBreak/>
        <w:t>ЗАКЛЮЧЕНИЕ</w:t>
      </w:r>
      <w:bookmarkEnd w:id="3"/>
    </w:p>
    <w:p w:rsidR="007A01F1" w:rsidRDefault="007A01F1" w:rsidP="007A01F1">
      <w:pPr>
        <w:pStyle w:val="af7"/>
      </w:pPr>
    </w:p>
    <w:p w:rsidR="009F23C6" w:rsidRDefault="009F23C6" w:rsidP="009F23C6">
      <w:pPr>
        <w:pStyle w:val="af7"/>
      </w:pPr>
      <w:r>
        <w:t>Анализ литературы показывает, что ультразвуковое измерение оболочки зрительного нерва на расстоянии 3 мм от заднего полюса глазного яблока является признанным и клинически обоснованным неинвазивным маркером внутричерепной гипертензии. Метод широко используется как за рубежом, так и в отечественной практике, продемонстрировав высокую диагностическую и прогностическую ценность. Вместе с тем ключевым ограничением остается выраженная оператор-зависимость: точность и воспроизводимость ручных измерений существенно зависят от квалификации исследователя, качества визуализации и субъек</w:t>
      </w:r>
      <w:r>
        <w:t>тивного выбора границ структур.</w:t>
      </w:r>
    </w:p>
    <w:p w:rsidR="009F23C6" w:rsidRDefault="009F23C6" w:rsidP="009F23C6">
      <w:pPr>
        <w:pStyle w:val="af7"/>
      </w:pPr>
      <w:r>
        <w:t>Современные разработки в области компьютерного зрения и глубокого обучения показывают, что нейронные сети (в частности, архитектуры семейства U-Net и их модификации) способны выполнять автоматическую сегментацию структур зрительного нерва на ультразвуковых изображениях с точностью, сопоставимой с экспертной. Однако большинство работ сосредоточено на оценке только внешнего диаметра оболочки нерва, тогда как мультипараметрический анализ, включая расчет отношения диаметра зрительного нерва к диаметру его оболочки, изучен недостаточно. Одновременная точная сегментация границ «нерв–ликвор» и «ликвор–оболочка/жировая клетчатка» представляет собой более сложную, но потенциально более информативную задач</w:t>
      </w:r>
      <w:r>
        <w:t>у.</w:t>
      </w:r>
    </w:p>
    <w:p w:rsidR="009F23C6" w:rsidRDefault="009F23C6" w:rsidP="009F23C6">
      <w:pPr>
        <w:pStyle w:val="af7"/>
      </w:pPr>
      <w:r>
        <w:t>Следовательно, существует очевидный научный и практический запрос на разработку автоматизированного метода, основанного на нейронных сетях, для измерения как абсолютных диаметров, так и их соотношения на стандартизованной глубине 3 мм. Такой подход способен повысить объективность и воспроизводимость оценки, расширить диагностические возможности УЗИ зрительного нерва и сделать данный метод более пригодным для рутинного применения и масштабных клинических исследований.</w:t>
      </w:r>
    </w:p>
    <w:p w:rsidR="002E20F9" w:rsidRDefault="002E20F9" w:rsidP="00DB7C5C">
      <w:pPr>
        <w:pStyle w:val="af7"/>
      </w:pPr>
      <w:r>
        <w:lastRenderedPageBreak/>
        <w:br w:type="page"/>
      </w:r>
    </w:p>
    <w:p w:rsidR="002E20F9" w:rsidRDefault="00666010" w:rsidP="002E20F9">
      <w:pPr>
        <w:pStyle w:val="1"/>
        <w:jc w:val="center"/>
        <w:rPr>
          <w:b w:val="0"/>
          <w:sz w:val="28"/>
        </w:rPr>
      </w:pPr>
      <w:bookmarkStart w:id="4" w:name="_Toc217602554"/>
      <w:r>
        <w:rPr>
          <w:b w:val="0"/>
          <w:sz w:val="28"/>
        </w:rPr>
        <w:lastRenderedPageBreak/>
        <w:t>СПИСОК ИСПОЛЬЗОВАННЫХ</w:t>
      </w:r>
      <w:r w:rsidR="002E20F9" w:rsidRPr="002E20F9">
        <w:rPr>
          <w:b w:val="0"/>
          <w:sz w:val="28"/>
        </w:rPr>
        <w:t xml:space="preserve"> ИСТОЧНИКОВ</w:t>
      </w:r>
      <w:bookmarkEnd w:id="4"/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Helmke K., Hansen H.C. (1996). Fundamentals of transorbital sonographic evaluation of optic nerve sheath expansion under intracranial hypertension. </w:t>
      </w:r>
      <w:r>
        <w:t>Pediatric Radiology, 26(10), 706-710.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Geeraerts T., et al. (2008). A systematic review of the accuracy of ocular sonography for the detection of intracranial hypertension. </w:t>
      </w:r>
      <w:r>
        <w:t>Intensive Care Medicine, 34, 11-13.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Moretti R., Pizzi B. (2011). Optic nerve sheath diameter ultrasound evaluation in intensive care. </w:t>
      </w:r>
      <w:r>
        <w:t>World Journal of Critical Care Medicine, 1(2), 29-35.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Ronneberger O., Fischer P., Brox T. (2015). U-Net: Convolutional Networks for Biomedical Image Segmentation. </w:t>
      </w:r>
      <w:r>
        <w:t>MICCAI 2015.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Rajajee V., et al. (2011). Optic nerve sheath diameter for noninvasive assessment of intracranial pressure. </w:t>
      </w:r>
      <w:r>
        <w:t>Neurocritical Care, 15, 506–515.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Soldatos T., et al. (2008). Optic nerve sheath diameter monitoring in brain death. </w:t>
      </w:r>
      <w:r>
        <w:t>Journal of Neuroimaging, 19(2), 1-4.</w:t>
      </w:r>
    </w:p>
    <w:p w:rsidR="00FD1F30" w:rsidRDefault="00FD1F30" w:rsidP="00FD1F30">
      <w:pPr>
        <w:pStyle w:val="a0"/>
      </w:pPr>
      <w:r>
        <w:t xml:space="preserve">Ma J., et al. (2018). </w:t>
      </w:r>
      <w:r w:rsidRPr="00FD1F30">
        <w:rPr>
          <w:lang w:val="en-US"/>
        </w:rPr>
        <w:t xml:space="preserve">Ultrasound Ocular Nerve Sheath Diameter Measurement Using Deep Learning. </w:t>
      </w:r>
      <w:r>
        <w:t>IEEE Access, 6, 6294-6301.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Bauerle J., Lochner P. (2014). Accuracy of Sonographic Optic Nerve Sheath Diameter for Elevated Intracranial Pressure. </w:t>
      </w:r>
      <w:r>
        <w:t>Journal of Neuroimaging, 24, 301-303.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Chen H., et al. (2019). Automatic Measurement of Optic Nerve Sheath Diameter in Ultrasound Images. </w:t>
      </w:r>
      <w:r>
        <w:t>Medical Physics, 46(3), 1230-1240.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Kim D.H., et al. (2020). Deep learning-based automated measurement of optic nerve sheath diameter on point-of-care ultrasound. </w:t>
      </w:r>
      <w:r>
        <w:t>American Journal of Emergency Medicine, 38, 112-117.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Nagarkar P., et al. (2021). Artificial Intelligence for Automated Ocular Ultrasound Interpretation. </w:t>
      </w:r>
      <w:r>
        <w:t>Ultrasound in Medicine &amp; Biology, 47(5), 1345-1352.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Zhang Y., et al. (2022). Segmentation of Optic Nerve in Ultrasound Images using Attention-guided U-Net. </w:t>
      </w:r>
      <w:r>
        <w:t>Computers in Biology and Medicine, 143, 105286.</w:t>
      </w:r>
    </w:p>
    <w:p w:rsidR="00FD1F30" w:rsidRDefault="00FD1F30" w:rsidP="00FD1F30">
      <w:pPr>
        <w:pStyle w:val="a0"/>
      </w:pPr>
      <w:r w:rsidRPr="00FD1F30">
        <w:rPr>
          <w:lang w:val="en-US"/>
        </w:rPr>
        <w:lastRenderedPageBreak/>
        <w:t xml:space="preserve">Padayachy L.C., et al. (2016). Transorbital ultrasound measurement of the optic nerve sheath diameter using a "3 mm" vs "bulbous" convention. </w:t>
      </w:r>
      <w:r>
        <w:t>Child's Nervous System, 32, 2399-2404.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Dubourg J., et al. (2011). Ultrasonography of optic nerve sheath diameter for detection of raised intracranial pressure: a systematic review and meta-analysis. </w:t>
      </w:r>
      <w:r>
        <w:t>Intensive Care Medicine, 37, 1059–1068.</w:t>
      </w:r>
    </w:p>
    <w:p w:rsidR="00FD1F30" w:rsidRDefault="00FD1F30" w:rsidP="00FD1F30">
      <w:pPr>
        <w:pStyle w:val="a0"/>
      </w:pPr>
      <w:r w:rsidRPr="00FD1F30">
        <w:rPr>
          <w:lang w:val="en-US"/>
        </w:rPr>
        <w:t xml:space="preserve">Lee S., et al. (2023). Automated System for Intracranial Pressure Monitoring via Ocular Ultrasound. </w:t>
      </w:r>
      <w:r>
        <w:t>IEEE Transactions on Biomedical Engineering, 70(1), 210-220.</w:t>
      </w:r>
    </w:p>
    <w:p w:rsidR="00FD1F30" w:rsidRDefault="00FD1F30" w:rsidP="00FD1F30">
      <w:pPr>
        <w:pStyle w:val="a0"/>
      </w:pPr>
      <w:r>
        <w:t>Петриков С.С., Крылов В.В. и др. (2013). Ультразвуковые методы диагностики повышения внутричерепного давления у пострадавших с тяжелой черепно-мозговой травмой. Нейрохирургия, 4, 18-24.</w:t>
      </w:r>
    </w:p>
    <w:p w:rsidR="00FD1F30" w:rsidRDefault="00FD1F30" w:rsidP="00FD1F30">
      <w:pPr>
        <w:pStyle w:val="a0"/>
      </w:pPr>
      <w:r>
        <w:t>Белкин А.А., Алашеев А.М. (2006). Ультразвуковая оценка диаметра зрительного нерва как метод мониторинга внутричерепной гипертензии. Интенсивная терапия, 3, 128-132.</w:t>
      </w:r>
    </w:p>
    <w:p w:rsidR="00FD1F30" w:rsidRDefault="00FD1F30" w:rsidP="00FD1F30">
      <w:pPr>
        <w:pStyle w:val="a0"/>
      </w:pPr>
      <w:r>
        <w:t>Попугаев К.А., Савин И.А. и др. (2009). Неинвазивные методы мониторинга внутричерепного давления. Анестезиология и реаниматология, 2, 65-71.</w:t>
      </w:r>
    </w:p>
    <w:p w:rsidR="00FD1F30" w:rsidRDefault="00FD1F30" w:rsidP="00FD1F30">
      <w:pPr>
        <w:pStyle w:val="a0"/>
      </w:pPr>
      <w:r>
        <w:t>Трофимова Т.Н., Ананьева Н.И. (2010). Лучевая анатомия и патология зрительного нерва. Вестник рентгенологии и радиологии, 3, 45-50.</w:t>
      </w:r>
    </w:p>
    <w:p w:rsidR="00FD1F30" w:rsidRDefault="00FD1F30" w:rsidP="00FD1F30">
      <w:pPr>
        <w:pStyle w:val="a0"/>
      </w:pPr>
      <w:r>
        <w:t>Крылов В.В., Гусев С.А. (2015). Сосудистый спазм при субарахноидальном кровоизлиянии. Клиническое руководство. Москва: Макс Пресс.</w:t>
      </w:r>
    </w:p>
    <w:p w:rsidR="00FD1F30" w:rsidRDefault="00FD1F30" w:rsidP="00FD1F30">
      <w:pPr>
        <w:pStyle w:val="a0"/>
      </w:pPr>
      <w:r>
        <w:t>Корниенко В.Н., Пронин И.Н. (2012). Диагностическая нейрорадиология. Москва: ИП "Андреева Т.М.".</w:t>
      </w:r>
    </w:p>
    <w:p w:rsidR="00FD1F30" w:rsidRDefault="00FD1F30" w:rsidP="00FD1F30">
      <w:pPr>
        <w:pStyle w:val="a0"/>
      </w:pPr>
      <w:r>
        <w:t>Степанов В.Н. (2018). Автоматизация обработки медицинских изображений с использованием нейронных сетей. Молодой ученый, 21(207), 45-48.</w:t>
      </w:r>
    </w:p>
    <w:p w:rsidR="00FD1F30" w:rsidRDefault="00FD1F30" w:rsidP="00FD1F30">
      <w:pPr>
        <w:pStyle w:val="a0"/>
      </w:pPr>
      <w:r>
        <w:t>Громов А.И., Кубова С.О. (2017). Ультразвуковая диагностика заболеваний глаза и орбиты. Медицинская визуализация, 5, 112-120.</w:t>
      </w:r>
    </w:p>
    <w:p w:rsidR="00FD1F30" w:rsidRDefault="00FD1F30" w:rsidP="00FD1F30">
      <w:pPr>
        <w:pStyle w:val="a0"/>
      </w:pPr>
      <w:r>
        <w:lastRenderedPageBreak/>
        <w:t>Лебедев А.С., и др. (2021). Применение сверточных нейронных сетей для сегментации структур глаза на ультразвуковых изображениях. Компьютерная оптика, 45(4), 580-589.</w:t>
      </w:r>
    </w:p>
    <w:p w:rsidR="00FD1F30" w:rsidRDefault="00FD1F30" w:rsidP="00FD1F30">
      <w:pPr>
        <w:pStyle w:val="a0"/>
      </w:pPr>
      <w:r>
        <w:t>Еолчиян С.А. (2014). Нейромониторинг в острейшем периоде тяжелой черепно-мозговой травмы. Журнал "Вопросы нейрохирургии" им. Н.Н. Бурденко, 78(5), 76-85.</w:t>
      </w:r>
    </w:p>
    <w:p w:rsidR="00FD1F30" w:rsidRDefault="00FD1F30" w:rsidP="00FD1F30">
      <w:pPr>
        <w:pStyle w:val="a0"/>
      </w:pPr>
      <w:r>
        <w:t>Завалишин Е.Е. (2019). Корреляция диаметра оболочки зрительного нерва и внутричерепного давления у детей. Российский вестник перинатологии и педиатрии, 64(4), 60-65.</w:t>
      </w:r>
    </w:p>
    <w:p w:rsidR="00FD1F30" w:rsidRDefault="00FD1F30" w:rsidP="00FD1F30">
      <w:pPr>
        <w:pStyle w:val="a0"/>
      </w:pPr>
      <w:r>
        <w:t>Гаврилов А.В., и др. (2020). Методы глубокого обучения в задачах медицинской диагностики. Искусственный интеллект и принятие решений, 3, 22-34.</w:t>
      </w:r>
    </w:p>
    <w:p w:rsidR="00FD1F30" w:rsidRDefault="00FD1F30" w:rsidP="00FD1F30">
      <w:pPr>
        <w:pStyle w:val="a0"/>
      </w:pPr>
      <w:r>
        <w:t>Никитин Ю.М. (2011). Ультразвуковая допплерография в нейрохирургии. Москва: Медицина.</w:t>
      </w:r>
    </w:p>
    <w:p w:rsidR="00FD1F30" w:rsidRDefault="00FD1F30" w:rsidP="00FD1F30">
      <w:pPr>
        <w:pStyle w:val="a0"/>
      </w:pPr>
      <w:r>
        <w:t>Свистов Д.В., Ландик С.А. (2016). Неинвазивная оценка внутричерепного давления: реальность и перспективы. Вестник Российской военно-медицинской академии, 2(54), 230-235.</w:t>
      </w:r>
    </w:p>
    <w:p w:rsidR="00FD1F30" w:rsidRDefault="00FD1F30" w:rsidP="000B5E23">
      <w:pPr>
        <w:pStyle w:val="a0"/>
      </w:pPr>
      <w:r>
        <w:t>Иова А.С., и др. (2018). Ультрасонография в неотложной нейрохирургии детского возраста. Нейрохирургия и невролог</w:t>
      </w:r>
      <w:r w:rsidR="000B5E23">
        <w:t>ия детского возраста, 3, 15-28.</w:t>
      </w:r>
    </w:p>
    <w:sectPr w:rsidR="00FD1F30" w:rsidSect="00F04454">
      <w:pgSz w:w="11906" w:h="16838"/>
      <w:pgMar w:top="1134" w:right="851" w:bottom="1134" w:left="1701" w:header="0" w:footer="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7D5D" w:rsidRDefault="002D7D5D" w:rsidP="0004787A">
      <w:pPr>
        <w:spacing w:line="240" w:lineRule="auto"/>
      </w:pPr>
      <w:r>
        <w:separator/>
      </w:r>
    </w:p>
  </w:endnote>
  <w:endnote w:type="continuationSeparator" w:id="0">
    <w:p w:rsidR="002D7D5D" w:rsidRDefault="002D7D5D" w:rsidP="000478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e"/>
    </w:pPr>
  </w:p>
  <w:p w:rsidR="000B02DF" w:rsidRDefault="000B02D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234036"/>
      <w:docPartObj>
        <w:docPartGallery w:val="Page Numbers (Bottom of Page)"/>
        <w:docPartUnique/>
      </w:docPartObj>
    </w:sdtPr>
    <w:sdtEndPr/>
    <w:sdtContent>
      <w:p w:rsidR="000B02DF" w:rsidRDefault="000B02DF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23C6">
          <w:rPr>
            <w:noProof/>
          </w:rPr>
          <w:t>4</w:t>
        </w:r>
        <w:r>
          <w:fldChar w:fldCharType="end"/>
        </w:r>
      </w:p>
    </w:sdtContent>
  </w:sdt>
  <w:p w:rsidR="000B02DF" w:rsidRDefault="000B02D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7D5D" w:rsidRDefault="002D7D5D" w:rsidP="0004787A">
      <w:pPr>
        <w:spacing w:line="240" w:lineRule="auto"/>
      </w:pPr>
      <w:r>
        <w:separator/>
      </w:r>
    </w:p>
  </w:footnote>
  <w:footnote w:type="continuationSeparator" w:id="0">
    <w:p w:rsidR="002D7D5D" w:rsidRDefault="002D7D5D" w:rsidP="000478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c"/>
    </w:pPr>
  </w:p>
  <w:p w:rsidR="000B02DF" w:rsidRDefault="000B02D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02DF" w:rsidRDefault="000B02DF">
    <w:pPr>
      <w:pStyle w:val="ac"/>
    </w:pPr>
  </w:p>
  <w:p w:rsidR="000B02DF" w:rsidRDefault="000B02D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2D3C"/>
    <w:multiLevelType w:val="hybridMultilevel"/>
    <w:tmpl w:val="722A4182"/>
    <w:lvl w:ilvl="0" w:tplc="97ECE45A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C27398"/>
    <w:multiLevelType w:val="hybridMultilevel"/>
    <w:tmpl w:val="BA58348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487EB4"/>
    <w:multiLevelType w:val="hybridMultilevel"/>
    <w:tmpl w:val="133412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8A481B"/>
    <w:multiLevelType w:val="hybridMultilevel"/>
    <w:tmpl w:val="D05AAAA0"/>
    <w:lvl w:ilvl="0" w:tplc="F448110C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005546"/>
    <w:multiLevelType w:val="hybridMultilevel"/>
    <w:tmpl w:val="47AE562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FE6299"/>
    <w:multiLevelType w:val="hybridMultilevel"/>
    <w:tmpl w:val="CBFAB42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EB1224B"/>
    <w:multiLevelType w:val="hybridMultilevel"/>
    <w:tmpl w:val="B27245D2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EE614F6"/>
    <w:multiLevelType w:val="hybridMultilevel"/>
    <w:tmpl w:val="907EB1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F177F64"/>
    <w:multiLevelType w:val="hybridMultilevel"/>
    <w:tmpl w:val="EE3CFEE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07E3937"/>
    <w:multiLevelType w:val="hybridMultilevel"/>
    <w:tmpl w:val="4BBE14F8"/>
    <w:lvl w:ilvl="0" w:tplc="A7642D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637EC9"/>
    <w:multiLevelType w:val="hybridMultilevel"/>
    <w:tmpl w:val="5C324DD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767E9D"/>
    <w:multiLevelType w:val="hybridMultilevel"/>
    <w:tmpl w:val="2DCA1D1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0637D0C"/>
    <w:multiLevelType w:val="hybridMultilevel"/>
    <w:tmpl w:val="F0F81208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127D36"/>
    <w:multiLevelType w:val="multilevel"/>
    <w:tmpl w:val="AEAEC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38E617A2"/>
    <w:multiLevelType w:val="multilevel"/>
    <w:tmpl w:val="9D44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80585"/>
    <w:multiLevelType w:val="hybridMultilevel"/>
    <w:tmpl w:val="E91A2CD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0E7705"/>
    <w:multiLevelType w:val="hybridMultilevel"/>
    <w:tmpl w:val="A0FC5BC2"/>
    <w:lvl w:ilvl="0" w:tplc="836A2304">
      <w:start w:val="1"/>
      <w:numFmt w:val="decimal"/>
      <w:pStyle w:val="a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7" w15:restartNumberingAfterBreak="0">
    <w:nsid w:val="3A6C029C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A6D3766"/>
    <w:multiLevelType w:val="hybridMultilevel"/>
    <w:tmpl w:val="0A08533A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A22524"/>
    <w:multiLevelType w:val="hybridMultilevel"/>
    <w:tmpl w:val="30AEE3B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B486FEF"/>
    <w:multiLevelType w:val="hybridMultilevel"/>
    <w:tmpl w:val="C4CE978A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B6D160B"/>
    <w:multiLevelType w:val="hybridMultilevel"/>
    <w:tmpl w:val="8528B7B4"/>
    <w:lvl w:ilvl="0" w:tplc="A51C9B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C247BC8"/>
    <w:multiLevelType w:val="hybridMultilevel"/>
    <w:tmpl w:val="06B23A04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8D7FB0"/>
    <w:multiLevelType w:val="hybridMultilevel"/>
    <w:tmpl w:val="9566CD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F6C428B"/>
    <w:multiLevelType w:val="hybridMultilevel"/>
    <w:tmpl w:val="BE7626AE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06236EE"/>
    <w:multiLevelType w:val="multilevel"/>
    <w:tmpl w:val="AEAEC6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41367C09"/>
    <w:multiLevelType w:val="hybridMultilevel"/>
    <w:tmpl w:val="8760DBC0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03265A9"/>
    <w:multiLevelType w:val="hybridMultilevel"/>
    <w:tmpl w:val="326A7D28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39A0F2F"/>
    <w:multiLevelType w:val="hybridMultilevel"/>
    <w:tmpl w:val="07B03D62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60263A1"/>
    <w:multiLevelType w:val="hybridMultilevel"/>
    <w:tmpl w:val="C42C4084"/>
    <w:lvl w:ilvl="0" w:tplc="E89EB3AA">
      <w:start w:val="1"/>
      <w:numFmt w:val="russianLower"/>
      <w:lvlText w:val="%1)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1280DAA"/>
    <w:multiLevelType w:val="hybridMultilevel"/>
    <w:tmpl w:val="AE9C308C"/>
    <w:lvl w:ilvl="0" w:tplc="DD8A823A">
      <w:numFmt w:val="bullet"/>
      <w:lvlText w:val=""/>
      <w:lvlJc w:val="left"/>
      <w:pPr>
        <w:ind w:left="142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C990519"/>
    <w:multiLevelType w:val="hybridMultilevel"/>
    <w:tmpl w:val="1E726D6C"/>
    <w:lvl w:ilvl="0" w:tplc="77488C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FF5B23"/>
    <w:multiLevelType w:val="hybridMultilevel"/>
    <w:tmpl w:val="12188914"/>
    <w:lvl w:ilvl="0" w:tplc="F448110C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7D906BE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4" w15:restartNumberingAfterBreak="0">
    <w:nsid w:val="78D43CD5"/>
    <w:multiLevelType w:val="hybridMultilevel"/>
    <w:tmpl w:val="727C62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1"/>
  </w:num>
  <w:num w:numId="2">
    <w:abstractNumId w:val="29"/>
  </w:num>
  <w:num w:numId="3">
    <w:abstractNumId w:val="0"/>
  </w:num>
  <w:num w:numId="4">
    <w:abstractNumId w:val="9"/>
  </w:num>
  <w:num w:numId="5">
    <w:abstractNumId w:val="20"/>
  </w:num>
  <w:num w:numId="6">
    <w:abstractNumId w:val="13"/>
  </w:num>
  <w:num w:numId="7">
    <w:abstractNumId w:val="10"/>
  </w:num>
  <w:num w:numId="8">
    <w:abstractNumId w:val="26"/>
  </w:num>
  <w:num w:numId="9">
    <w:abstractNumId w:val="24"/>
  </w:num>
  <w:num w:numId="10">
    <w:abstractNumId w:val="30"/>
  </w:num>
  <w:num w:numId="11">
    <w:abstractNumId w:val="22"/>
  </w:num>
  <w:num w:numId="12">
    <w:abstractNumId w:val="5"/>
  </w:num>
  <w:num w:numId="13">
    <w:abstractNumId w:val="18"/>
  </w:num>
  <w:num w:numId="14">
    <w:abstractNumId w:val="8"/>
  </w:num>
  <w:num w:numId="15">
    <w:abstractNumId w:val="12"/>
  </w:num>
  <w:num w:numId="16">
    <w:abstractNumId w:val="16"/>
  </w:num>
  <w:num w:numId="17">
    <w:abstractNumId w:val="32"/>
  </w:num>
  <w:num w:numId="18">
    <w:abstractNumId w:val="27"/>
  </w:num>
  <w:num w:numId="19">
    <w:abstractNumId w:val="14"/>
  </w:num>
  <w:num w:numId="20">
    <w:abstractNumId w:val="15"/>
  </w:num>
  <w:num w:numId="21">
    <w:abstractNumId w:val="19"/>
  </w:num>
  <w:num w:numId="22">
    <w:abstractNumId w:val="17"/>
  </w:num>
  <w:num w:numId="23">
    <w:abstractNumId w:val="33"/>
  </w:num>
  <w:num w:numId="24">
    <w:abstractNumId w:val="25"/>
  </w:num>
  <w:num w:numId="25">
    <w:abstractNumId w:val="34"/>
  </w:num>
  <w:num w:numId="26">
    <w:abstractNumId w:val="7"/>
  </w:num>
  <w:num w:numId="27">
    <w:abstractNumId w:val="11"/>
  </w:num>
  <w:num w:numId="28">
    <w:abstractNumId w:val="6"/>
  </w:num>
  <w:num w:numId="29">
    <w:abstractNumId w:val="23"/>
  </w:num>
  <w:num w:numId="30">
    <w:abstractNumId w:val="28"/>
  </w:num>
  <w:num w:numId="31">
    <w:abstractNumId w:val="2"/>
  </w:num>
  <w:num w:numId="32">
    <w:abstractNumId w:val="1"/>
  </w:num>
  <w:num w:numId="33">
    <w:abstractNumId w:val="3"/>
  </w:num>
  <w:num w:numId="34">
    <w:abstractNumId w:val="4"/>
  </w:num>
  <w:num w:numId="35">
    <w:abstractNumId w:val="2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CC2"/>
    <w:rsid w:val="0000418B"/>
    <w:rsid w:val="000247BA"/>
    <w:rsid w:val="000313FB"/>
    <w:rsid w:val="000320C2"/>
    <w:rsid w:val="00034DD1"/>
    <w:rsid w:val="00036371"/>
    <w:rsid w:val="00046531"/>
    <w:rsid w:val="0004787A"/>
    <w:rsid w:val="000551B9"/>
    <w:rsid w:val="00064FEE"/>
    <w:rsid w:val="00065CD5"/>
    <w:rsid w:val="000710E5"/>
    <w:rsid w:val="00080F62"/>
    <w:rsid w:val="00095604"/>
    <w:rsid w:val="000A2AA5"/>
    <w:rsid w:val="000B02DF"/>
    <w:rsid w:val="000B5A60"/>
    <w:rsid w:val="000B5E23"/>
    <w:rsid w:val="000D082A"/>
    <w:rsid w:val="000E4D99"/>
    <w:rsid w:val="000E4E69"/>
    <w:rsid w:val="000F7B7D"/>
    <w:rsid w:val="0010238C"/>
    <w:rsid w:val="00115F98"/>
    <w:rsid w:val="00121ACA"/>
    <w:rsid w:val="0013502E"/>
    <w:rsid w:val="00157ABF"/>
    <w:rsid w:val="00160B23"/>
    <w:rsid w:val="00171676"/>
    <w:rsid w:val="00180738"/>
    <w:rsid w:val="001903EB"/>
    <w:rsid w:val="001914D9"/>
    <w:rsid w:val="001939B4"/>
    <w:rsid w:val="001A2C4E"/>
    <w:rsid w:val="001A3DE7"/>
    <w:rsid w:val="001A7B97"/>
    <w:rsid w:val="001B2823"/>
    <w:rsid w:val="001D598D"/>
    <w:rsid w:val="001F00FD"/>
    <w:rsid w:val="001F1C83"/>
    <w:rsid w:val="00206FCE"/>
    <w:rsid w:val="00210937"/>
    <w:rsid w:val="002115B4"/>
    <w:rsid w:val="00232FFF"/>
    <w:rsid w:val="002333CD"/>
    <w:rsid w:val="00233A16"/>
    <w:rsid w:val="00246AEE"/>
    <w:rsid w:val="00267D2F"/>
    <w:rsid w:val="002800E3"/>
    <w:rsid w:val="00284616"/>
    <w:rsid w:val="0028671E"/>
    <w:rsid w:val="002C091D"/>
    <w:rsid w:val="002D7D5D"/>
    <w:rsid w:val="002E20F9"/>
    <w:rsid w:val="002E38A6"/>
    <w:rsid w:val="002E5E68"/>
    <w:rsid w:val="002F29BB"/>
    <w:rsid w:val="002F5502"/>
    <w:rsid w:val="003119B0"/>
    <w:rsid w:val="00314AEA"/>
    <w:rsid w:val="003164FE"/>
    <w:rsid w:val="00335A11"/>
    <w:rsid w:val="003434C7"/>
    <w:rsid w:val="00343512"/>
    <w:rsid w:val="00355447"/>
    <w:rsid w:val="00366AFF"/>
    <w:rsid w:val="00371A9D"/>
    <w:rsid w:val="003A06A2"/>
    <w:rsid w:val="003A470C"/>
    <w:rsid w:val="003A66EA"/>
    <w:rsid w:val="003C7D75"/>
    <w:rsid w:val="003D0691"/>
    <w:rsid w:val="003D2D55"/>
    <w:rsid w:val="003D41AC"/>
    <w:rsid w:val="003D6983"/>
    <w:rsid w:val="003E770E"/>
    <w:rsid w:val="003F44F6"/>
    <w:rsid w:val="004053AC"/>
    <w:rsid w:val="004203DA"/>
    <w:rsid w:val="00420DB5"/>
    <w:rsid w:val="0042717B"/>
    <w:rsid w:val="00441296"/>
    <w:rsid w:val="004412BE"/>
    <w:rsid w:val="00443FA4"/>
    <w:rsid w:val="00452353"/>
    <w:rsid w:val="004655F5"/>
    <w:rsid w:val="00484C8C"/>
    <w:rsid w:val="004A383C"/>
    <w:rsid w:val="004B1F1A"/>
    <w:rsid w:val="004B34CB"/>
    <w:rsid w:val="004B79F3"/>
    <w:rsid w:val="004D1452"/>
    <w:rsid w:val="004E3A9C"/>
    <w:rsid w:val="004F2103"/>
    <w:rsid w:val="004F622C"/>
    <w:rsid w:val="00505339"/>
    <w:rsid w:val="00527165"/>
    <w:rsid w:val="005279B5"/>
    <w:rsid w:val="0054304D"/>
    <w:rsid w:val="00557CC2"/>
    <w:rsid w:val="00563C1A"/>
    <w:rsid w:val="00586011"/>
    <w:rsid w:val="005963E7"/>
    <w:rsid w:val="00596518"/>
    <w:rsid w:val="005B096D"/>
    <w:rsid w:val="005B57EC"/>
    <w:rsid w:val="005E4260"/>
    <w:rsid w:val="005F622E"/>
    <w:rsid w:val="005F73E1"/>
    <w:rsid w:val="006064A2"/>
    <w:rsid w:val="006122A9"/>
    <w:rsid w:val="00624EBE"/>
    <w:rsid w:val="00633ED3"/>
    <w:rsid w:val="00644BB7"/>
    <w:rsid w:val="006504F2"/>
    <w:rsid w:val="00664E36"/>
    <w:rsid w:val="00666010"/>
    <w:rsid w:val="00672C57"/>
    <w:rsid w:val="00680655"/>
    <w:rsid w:val="006C5BBF"/>
    <w:rsid w:val="006E533D"/>
    <w:rsid w:val="006E5D5A"/>
    <w:rsid w:val="006F3A13"/>
    <w:rsid w:val="00700EE6"/>
    <w:rsid w:val="007020D5"/>
    <w:rsid w:val="0075025B"/>
    <w:rsid w:val="00762B22"/>
    <w:rsid w:val="00762E32"/>
    <w:rsid w:val="00763421"/>
    <w:rsid w:val="00771DDE"/>
    <w:rsid w:val="00775888"/>
    <w:rsid w:val="0077671C"/>
    <w:rsid w:val="007A01F1"/>
    <w:rsid w:val="007A6E89"/>
    <w:rsid w:val="007C4FCF"/>
    <w:rsid w:val="007F1C98"/>
    <w:rsid w:val="00815E86"/>
    <w:rsid w:val="00831263"/>
    <w:rsid w:val="00831BF9"/>
    <w:rsid w:val="00861C61"/>
    <w:rsid w:val="00862987"/>
    <w:rsid w:val="00866FAB"/>
    <w:rsid w:val="008734DE"/>
    <w:rsid w:val="0088436A"/>
    <w:rsid w:val="0089304C"/>
    <w:rsid w:val="008B2BB2"/>
    <w:rsid w:val="008C047A"/>
    <w:rsid w:val="008C72B0"/>
    <w:rsid w:val="008F0088"/>
    <w:rsid w:val="00903E95"/>
    <w:rsid w:val="0090414D"/>
    <w:rsid w:val="009304C0"/>
    <w:rsid w:val="009361DE"/>
    <w:rsid w:val="009838EC"/>
    <w:rsid w:val="00983DE0"/>
    <w:rsid w:val="009B28E8"/>
    <w:rsid w:val="009B3E34"/>
    <w:rsid w:val="009B704B"/>
    <w:rsid w:val="009C5641"/>
    <w:rsid w:val="009C78E5"/>
    <w:rsid w:val="009D4390"/>
    <w:rsid w:val="009E27B9"/>
    <w:rsid w:val="009E3D54"/>
    <w:rsid w:val="009F23C6"/>
    <w:rsid w:val="00A13A58"/>
    <w:rsid w:val="00A220E4"/>
    <w:rsid w:val="00A26D3D"/>
    <w:rsid w:val="00A37037"/>
    <w:rsid w:val="00A46635"/>
    <w:rsid w:val="00A520EE"/>
    <w:rsid w:val="00A52BD2"/>
    <w:rsid w:val="00A67A44"/>
    <w:rsid w:val="00AA6CE8"/>
    <w:rsid w:val="00AA7580"/>
    <w:rsid w:val="00AB1983"/>
    <w:rsid w:val="00AB486E"/>
    <w:rsid w:val="00AD6015"/>
    <w:rsid w:val="00B01581"/>
    <w:rsid w:val="00B23A6F"/>
    <w:rsid w:val="00B2664B"/>
    <w:rsid w:val="00B26A0F"/>
    <w:rsid w:val="00B316FB"/>
    <w:rsid w:val="00B32C53"/>
    <w:rsid w:val="00B53860"/>
    <w:rsid w:val="00B5695F"/>
    <w:rsid w:val="00B57A76"/>
    <w:rsid w:val="00B60B01"/>
    <w:rsid w:val="00B64EB0"/>
    <w:rsid w:val="00B71C37"/>
    <w:rsid w:val="00B73853"/>
    <w:rsid w:val="00B82AF8"/>
    <w:rsid w:val="00B95987"/>
    <w:rsid w:val="00BA6587"/>
    <w:rsid w:val="00BC4D3F"/>
    <w:rsid w:val="00BD3D9F"/>
    <w:rsid w:val="00C025C8"/>
    <w:rsid w:val="00C03F73"/>
    <w:rsid w:val="00C0441B"/>
    <w:rsid w:val="00C05974"/>
    <w:rsid w:val="00C0759A"/>
    <w:rsid w:val="00C15FE1"/>
    <w:rsid w:val="00C349F7"/>
    <w:rsid w:val="00C43ED5"/>
    <w:rsid w:val="00C46076"/>
    <w:rsid w:val="00C55E8D"/>
    <w:rsid w:val="00C57642"/>
    <w:rsid w:val="00C61BB0"/>
    <w:rsid w:val="00C6411A"/>
    <w:rsid w:val="00C64477"/>
    <w:rsid w:val="00C64480"/>
    <w:rsid w:val="00C76B75"/>
    <w:rsid w:val="00C90028"/>
    <w:rsid w:val="00CA23E2"/>
    <w:rsid w:val="00CC2E40"/>
    <w:rsid w:val="00CD3FA6"/>
    <w:rsid w:val="00D079F3"/>
    <w:rsid w:val="00D30512"/>
    <w:rsid w:val="00D3097F"/>
    <w:rsid w:val="00D35B35"/>
    <w:rsid w:val="00D4506D"/>
    <w:rsid w:val="00D45D93"/>
    <w:rsid w:val="00D51E6C"/>
    <w:rsid w:val="00D66F89"/>
    <w:rsid w:val="00D76965"/>
    <w:rsid w:val="00D81C07"/>
    <w:rsid w:val="00D9238A"/>
    <w:rsid w:val="00D94272"/>
    <w:rsid w:val="00DA1B33"/>
    <w:rsid w:val="00DB1398"/>
    <w:rsid w:val="00DB7C5C"/>
    <w:rsid w:val="00DD1F2C"/>
    <w:rsid w:val="00DD2DB0"/>
    <w:rsid w:val="00DD3131"/>
    <w:rsid w:val="00DD3FA6"/>
    <w:rsid w:val="00E12CA7"/>
    <w:rsid w:val="00E137E0"/>
    <w:rsid w:val="00E16B19"/>
    <w:rsid w:val="00E17416"/>
    <w:rsid w:val="00E4545E"/>
    <w:rsid w:val="00E45F21"/>
    <w:rsid w:val="00E47675"/>
    <w:rsid w:val="00E5117B"/>
    <w:rsid w:val="00E703DF"/>
    <w:rsid w:val="00E735B8"/>
    <w:rsid w:val="00E8598B"/>
    <w:rsid w:val="00EB6069"/>
    <w:rsid w:val="00EC6A9B"/>
    <w:rsid w:val="00ED60A1"/>
    <w:rsid w:val="00EE06C7"/>
    <w:rsid w:val="00EF0080"/>
    <w:rsid w:val="00F009F4"/>
    <w:rsid w:val="00F04454"/>
    <w:rsid w:val="00F0669F"/>
    <w:rsid w:val="00F13FF6"/>
    <w:rsid w:val="00F37B2D"/>
    <w:rsid w:val="00F45659"/>
    <w:rsid w:val="00F64AD2"/>
    <w:rsid w:val="00F675F4"/>
    <w:rsid w:val="00F81B8B"/>
    <w:rsid w:val="00F83C6B"/>
    <w:rsid w:val="00F91DD2"/>
    <w:rsid w:val="00FA1E17"/>
    <w:rsid w:val="00FA5AD4"/>
    <w:rsid w:val="00FB7308"/>
    <w:rsid w:val="00FB7D1A"/>
    <w:rsid w:val="00FC197B"/>
    <w:rsid w:val="00FC25C1"/>
    <w:rsid w:val="00FC7564"/>
    <w:rsid w:val="00FD1F30"/>
    <w:rsid w:val="00FD5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79019E"/>
  <w15:docId w15:val="{60F539C7-3CFE-4004-9395-8F0CFAAA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rsid w:val="00D7696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rsid w:val="004F622C"/>
    <w:pPr>
      <w:keepNext/>
      <w:keepLines/>
      <w:spacing w:before="240" w:after="360" w:line="24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rsid w:val="00BD3D9F"/>
    <w:pPr>
      <w:keepNext/>
      <w:keepLines/>
      <w:spacing w:before="360" w:after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CA23E2"/>
    <w:pPr>
      <w:keepNext/>
      <w:keepLines/>
      <w:spacing w:before="40"/>
      <w:outlineLvl w:val="2"/>
    </w:pPr>
    <w:rPr>
      <w:rFonts w:eastAsiaTheme="majorEastAsia" w:cstheme="majorBidi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4F622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BD3D9F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5">
    <w:name w:val="List Paragraph"/>
    <w:basedOn w:val="a1"/>
    <w:link w:val="a6"/>
    <w:uiPriority w:val="1"/>
    <w:rsid w:val="00557CC2"/>
    <w:pPr>
      <w:ind w:left="720"/>
      <w:contextualSpacing/>
    </w:pPr>
  </w:style>
  <w:style w:type="paragraph" w:styleId="a7">
    <w:name w:val="caption"/>
    <w:basedOn w:val="a1"/>
    <w:next w:val="a1"/>
    <w:uiPriority w:val="35"/>
    <w:unhideWhenUsed/>
    <w:rsid w:val="00420DB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8">
    <w:name w:val="Table Grid"/>
    <w:basedOn w:val="a3"/>
    <w:uiPriority w:val="39"/>
    <w:rsid w:val="00DD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2"/>
    <w:uiPriority w:val="22"/>
    <w:rsid w:val="002800E3"/>
    <w:rPr>
      <w:b/>
      <w:bCs/>
    </w:rPr>
  </w:style>
  <w:style w:type="character" w:customStyle="1" w:styleId="30">
    <w:name w:val="Заголовок 3 Знак"/>
    <w:basedOn w:val="a2"/>
    <w:link w:val="3"/>
    <w:uiPriority w:val="9"/>
    <w:rsid w:val="00CA23E2"/>
    <w:rPr>
      <w:rFonts w:ascii="Times New Roman" w:eastAsiaTheme="majorEastAsia" w:hAnsi="Times New Roman" w:cstheme="majorBidi"/>
      <w:sz w:val="28"/>
      <w:szCs w:val="24"/>
    </w:rPr>
  </w:style>
  <w:style w:type="character" w:styleId="aa">
    <w:name w:val="Hyperlink"/>
    <w:basedOn w:val="a2"/>
    <w:uiPriority w:val="99"/>
    <w:unhideWhenUsed/>
    <w:rsid w:val="00E735B8"/>
    <w:rPr>
      <w:color w:val="0563C1" w:themeColor="hyperlink"/>
      <w:u w:val="single"/>
    </w:rPr>
  </w:style>
  <w:style w:type="paragraph" w:styleId="ab">
    <w:name w:val="TOC Heading"/>
    <w:basedOn w:val="1"/>
    <w:next w:val="a1"/>
    <w:uiPriority w:val="39"/>
    <w:unhideWhenUsed/>
    <w:rsid w:val="0004787A"/>
    <w:pPr>
      <w:spacing w:after="0"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04787A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04787A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4787A"/>
    <w:pPr>
      <w:spacing w:after="100"/>
      <w:ind w:left="560"/>
    </w:pPr>
  </w:style>
  <w:style w:type="paragraph" w:styleId="ac">
    <w:name w:val="header"/>
    <w:basedOn w:val="a1"/>
    <w:link w:val="ad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2"/>
    <w:link w:val="ac"/>
    <w:uiPriority w:val="99"/>
    <w:rsid w:val="0004787A"/>
    <w:rPr>
      <w:rFonts w:ascii="Times New Roman" w:hAnsi="Times New Roman"/>
      <w:sz w:val="28"/>
    </w:rPr>
  </w:style>
  <w:style w:type="paragraph" w:styleId="ae">
    <w:name w:val="footer"/>
    <w:basedOn w:val="a1"/>
    <w:link w:val="af"/>
    <w:uiPriority w:val="99"/>
    <w:unhideWhenUsed/>
    <w:rsid w:val="0004787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2"/>
    <w:link w:val="ae"/>
    <w:uiPriority w:val="99"/>
    <w:rsid w:val="0004787A"/>
    <w:rPr>
      <w:rFonts w:ascii="Times New Roman" w:hAnsi="Times New Roman"/>
      <w:sz w:val="28"/>
    </w:rPr>
  </w:style>
  <w:style w:type="paragraph" w:styleId="af0">
    <w:name w:val="Balloon Text"/>
    <w:basedOn w:val="a1"/>
    <w:link w:val="af1"/>
    <w:uiPriority w:val="99"/>
    <w:semiHidden/>
    <w:unhideWhenUsed/>
    <w:rsid w:val="0028671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2"/>
    <w:link w:val="af0"/>
    <w:uiPriority w:val="99"/>
    <w:semiHidden/>
    <w:rsid w:val="0028671E"/>
    <w:rPr>
      <w:rFonts w:ascii="Tahoma" w:hAnsi="Tahoma" w:cs="Tahoma"/>
      <w:sz w:val="16"/>
      <w:szCs w:val="16"/>
    </w:rPr>
  </w:style>
  <w:style w:type="paragraph" w:styleId="af2">
    <w:name w:val="Body Text"/>
    <w:basedOn w:val="a1"/>
    <w:link w:val="af3"/>
    <w:uiPriority w:val="1"/>
    <w:rsid w:val="008F0088"/>
    <w:pPr>
      <w:widowControl w:val="0"/>
      <w:autoSpaceDE w:val="0"/>
      <w:autoSpaceDN w:val="0"/>
      <w:spacing w:line="240" w:lineRule="auto"/>
      <w:ind w:left="102" w:firstLine="0"/>
      <w:jc w:val="left"/>
    </w:pPr>
    <w:rPr>
      <w:rFonts w:eastAsia="Times New Roman" w:cs="Times New Roman"/>
      <w:szCs w:val="28"/>
    </w:rPr>
  </w:style>
  <w:style w:type="character" w:customStyle="1" w:styleId="af3">
    <w:name w:val="Основной текст Знак"/>
    <w:basedOn w:val="a2"/>
    <w:link w:val="af2"/>
    <w:uiPriority w:val="1"/>
    <w:rsid w:val="008F0088"/>
    <w:rPr>
      <w:rFonts w:ascii="Times New Roman" w:eastAsia="Times New Roman" w:hAnsi="Times New Roman" w:cs="Times New Roman"/>
      <w:sz w:val="28"/>
      <w:szCs w:val="28"/>
    </w:rPr>
  </w:style>
  <w:style w:type="paragraph" w:styleId="af4">
    <w:name w:val="Normal (Web)"/>
    <w:basedOn w:val="a1"/>
    <w:uiPriority w:val="99"/>
    <w:semiHidden/>
    <w:unhideWhenUsed/>
    <w:rsid w:val="00B32C53"/>
    <w:rPr>
      <w:rFonts w:cs="Times New Roman"/>
      <w:sz w:val="24"/>
      <w:szCs w:val="24"/>
    </w:rPr>
  </w:style>
  <w:style w:type="table" w:customStyle="1" w:styleId="12">
    <w:name w:val="Сетка таблицы1"/>
    <w:basedOn w:val="a3"/>
    <w:next w:val="a8"/>
    <w:uiPriority w:val="39"/>
    <w:rsid w:val="00D76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Введение"/>
    <w:basedOn w:val="a1"/>
    <w:link w:val="af6"/>
    <w:qFormat/>
    <w:rsid w:val="00FD5A11"/>
    <w:pPr>
      <w:jc w:val="center"/>
    </w:pPr>
  </w:style>
  <w:style w:type="paragraph" w:customStyle="1" w:styleId="af7">
    <w:name w:val="основной текст"/>
    <w:basedOn w:val="a1"/>
    <w:link w:val="af8"/>
    <w:qFormat/>
    <w:rsid w:val="00FD5A11"/>
  </w:style>
  <w:style w:type="character" w:customStyle="1" w:styleId="af6">
    <w:name w:val="Введение Знак"/>
    <w:basedOn w:val="a2"/>
    <w:link w:val="af5"/>
    <w:rsid w:val="00FD5A11"/>
    <w:rPr>
      <w:rFonts w:ascii="Times New Roman" w:hAnsi="Times New Roman"/>
      <w:sz w:val="28"/>
    </w:rPr>
  </w:style>
  <w:style w:type="paragraph" w:customStyle="1" w:styleId="af9">
    <w:name w:val="глава заголовок"/>
    <w:basedOn w:val="a1"/>
    <w:link w:val="afa"/>
    <w:qFormat/>
    <w:rsid w:val="00FD5A11"/>
    <w:rPr>
      <w:b/>
    </w:rPr>
  </w:style>
  <w:style w:type="character" w:customStyle="1" w:styleId="af8">
    <w:name w:val="основной текст Знак"/>
    <w:basedOn w:val="a2"/>
    <w:link w:val="af7"/>
    <w:rsid w:val="00FD5A11"/>
    <w:rPr>
      <w:rFonts w:ascii="Times New Roman" w:hAnsi="Times New Roman"/>
      <w:sz w:val="28"/>
    </w:rPr>
  </w:style>
  <w:style w:type="paragraph" w:customStyle="1" w:styleId="a">
    <w:name w:val="список"/>
    <w:basedOn w:val="a5"/>
    <w:link w:val="afb"/>
    <w:qFormat/>
    <w:rsid w:val="00FD5A11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afa">
    <w:name w:val="глава заголовок Знак"/>
    <w:basedOn w:val="a2"/>
    <w:link w:val="af9"/>
    <w:rsid w:val="00FD5A11"/>
    <w:rPr>
      <w:rFonts w:ascii="Times New Roman" w:hAnsi="Times New Roman"/>
      <w:b/>
      <w:sz w:val="28"/>
    </w:rPr>
  </w:style>
  <w:style w:type="paragraph" w:customStyle="1" w:styleId="afc">
    <w:name w:val="рисунки"/>
    <w:basedOn w:val="a1"/>
    <w:link w:val="afd"/>
    <w:qFormat/>
    <w:rsid w:val="00FD5A11"/>
    <w:pPr>
      <w:ind w:firstLine="0"/>
      <w:jc w:val="center"/>
    </w:pPr>
    <w:rPr>
      <w:sz w:val="24"/>
    </w:rPr>
  </w:style>
  <w:style w:type="character" w:customStyle="1" w:styleId="a6">
    <w:name w:val="Абзац списка Знак"/>
    <w:basedOn w:val="a2"/>
    <w:link w:val="a5"/>
    <w:uiPriority w:val="1"/>
    <w:rsid w:val="00FD5A11"/>
    <w:rPr>
      <w:rFonts w:ascii="Times New Roman" w:hAnsi="Times New Roman"/>
      <w:sz w:val="28"/>
    </w:rPr>
  </w:style>
  <w:style w:type="character" w:customStyle="1" w:styleId="afb">
    <w:name w:val="список Знак"/>
    <w:basedOn w:val="a6"/>
    <w:link w:val="a"/>
    <w:rsid w:val="00FD5A11"/>
    <w:rPr>
      <w:rFonts w:ascii="Times New Roman" w:hAnsi="Times New Roman"/>
      <w:sz w:val="28"/>
    </w:rPr>
  </w:style>
  <w:style w:type="paragraph" w:customStyle="1" w:styleId="afe">
    <w:name w:val="т название"/>
    <w:basedOn w:val="a1"/>
    <w:link w:val="aff"/>
    <w:qFormat/>
    <w:rsid w:val="00FD5A11"/>
    <w:pPr>
      <w:jc w:val="right"/>
    </w:pPr>
  </w:style>
  <w:style w:type="character" w:customStyle="1" w:styleId="afd">
    <w:name w:val="рисунки Знак"/>
    <w:basedOn w:val="a2"/>
    <w:link w:val="afc"/>
    <w:rsid w:val="00FD5A11"/>
    <w:rPr>
      <w:rFonts w:ascii="Times New Roman" w:hAnsi="Times New Roman"/>
      <w:sz w:val="24"/>
    </w:rPr>
  </w:style>
  <w:style w:type="paragraph" w:customStyle="1" w:styleId="aff0">
    <w:name w:val="т заголовок"/>
    <w:basedOn w:val="a1"/>
    <w:link w:val="aff1"/>
    <w:qFormat/>
    <w:rsid w:val="00FD5A11"/>
    <w:pPr>
      <w:spacing w:line="240" w:lineRule="auto"/>
      <w:ind w:firstLine="0"/>
      <w:jc w:val="center"/>
    </w:pPr>
    <w:rPr>
      <w:b/>
    </w:rPr>
  </w:style>
  <w:style w:type="character" w:customStyle="1" w:styleId="aff">
    <w:name w:val="т название Знак"/>
    <w:basedOn w:val="a2"/>
    <w:link w:val="afe"/>
    <w:rsid w:val="00FD5A11"/>
    <w:rPr>
      <w:rFonts w:ascii="Times New Roman" w:hAnsi="Times New Roman"/>
      <w:sz w:val="28"/>
    </w:rPr>
  </w:style>
  <w:style w:type="paragraph" w:customStyle="1" w:styleId="aff2">
    <w:name w:val="т текст"/>
    <w:basedOn w:val="a1"/>
    <w:link w:val="aff3"/>
    <w:qFormat/>
    <w:rsid w:val="00FD5A11"/>
    <w:pPr>
      <w:spacing w:line="240" w:lineRule="auto"/>
      <w:ind w:firstLine="0"/>
    </w:pPr>
    <w:rPr>
      <w:sz w:val="24"/>
    </w:rPr>
  </w:style>
  <w:style w:type="character" w:customStyle="1" w:styleId="aff1">
    <w:name w:val="т заголовок Знак"/>
    <w:basedOn w:val="a2"/>
    <w:link w:val="aff0"/>
    <w:rsid w:val="00FD5A11"/>
    <w:rPr>
      <w:rFonts w:ascii="Times New Roman" w:hAnsi="Times New Roman"/>
      <w:b/>
      <w:sz w:val="28"/>
    </w:rPr>
  </w:style>
  <w:style w:type="character" w:customStyle="1" w:styleId="aff3">
    <w:name w:val="т текст Знак"/>
    <w:basedOn w:val="a2"/>
    <w:link w:val="aff2"/>
    <w:rsid w:val="00FD5A11"/>
    <w:rPr>
      <w:rFonts w:ascii="Times New Roman" w:hAnsi="Times New Roman"/>
      <w:sz w:val="24"/>
    </w:rPr>
  </w:style>
  <w:style w:type="character" w:styleId="aff4">
    <w:name w:val="line number"/>
    <w:basedOn w:val="a2"/>
    <w:uiPriority w:val="99"/>
    <w:semiHidden/>
    <w:unhideWhenUsed/>
    <w:rsid w:val="000B02DF"/>
  </w:style>
  <w:style w:type="paragraph" w:customStyle="1" w:styleId="a0">
    <w:name w:val="источники"/>
    <w:basedOn w:val="a5"/>
    <w:link w:val="aff5"/>
    <w:qFormat/>
    <w:rsid w:val="00DB7C5C"/>
    <w:pPr>
      <w:widowControl w:val="0"/>
      <w:numPr>
        <w:numId w:val="16"/>
      </w:numPr>
      <w:tabs>
        <w:tab w:val="left" w:pos="1093"/>
      </w:tabs>
      <w:autoSpaceDE w:val="0"/>
      <w:autoSpaceDN w:val="0"/>
      <w:ind w:left="0" w:right="121" w:firstLine="709"/>
    </w:pPr>
  </w:style>
  <w:style w:type="character" w:customStyle="1" w:styleId="aff5">
    <w:name w:val="источники Знак"/>
    <w:basedOn w:val="a6"/>
    <w:link w:val="a0"/>
    <w:rsid w:val="00DB7C5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1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935433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164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63774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44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212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32245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515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5408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669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637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119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3990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9920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9864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5796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338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75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459829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4997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277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0889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133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539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54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8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5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6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9370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6013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01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401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84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30808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38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2940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561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09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3042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3359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70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59257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79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298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631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591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201468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628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47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000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6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264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78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5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73C13-F456-4230-977F-F880FF00C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2245</Words>
  <Characters>12799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Екатерина Борисова</cp:lastModifiedBy>
  <cp:revision>2</cp:revision>
  <cp:lastPrinted>2024-04-19T03:14:00Z</cp:lastPrinted>
  <dcterms:created xsi:type="dcterms:W3CDTF">2025-12-26T09:06:00Z</dcterms:created>
  <dcterms:modified xsi:type="dcterms:W3CDTF">2025-12-26T09:06:00Z</dcterms:modified>
</cp:coreProperties>
</file>