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56"/>
          <w:szCs w:val="56"/>
        </w:rPr>
        <w:t xml:space="preserve">Scope of Work</w:t>
      </w:r>
    </w:p>
    <w:p>
      <w:pPr>
        <w:spacing w:after="60"/>
      </w:pPr>
    </w:p>
    <w:p>
      <w:pPr>
        <w:spacing w:after="120"/>
        <w:jc w:val="center"/>
      </w:pPr>
      <w:r>
        <w:rPr>
          <w:rFonts w:ascii="Arial" w:cs="Arial" w:eastAsia="Arial" w:hAnsi="Arial"/>
          <w:color w:val="2E75B6"/>
          <w:sz w:val="32"/>
          <w:szCs w:val="32"/>
        </w:rPr>
        <w:t xml:space="preserve">Mountain Province Assessor’s Office</w:t>
      </w:r>
    </w:p>
    <w:p>
      <w:pPr>
        <w:spacing w:after="120"/>
        <w:jc w:val="center"/>
      </w:pPr>
      <w:r>
        <w:rPr>
          <w:rFonts w:ascii="Arial" w:cs="Arial" w:eastAsia="Arial" w:hAnsi="Arial"/>
          <w:color w:val="2E75B6"/>
          <w:sz w:val="32"/>
          <w:szCs w:val="32"/>
        </w:rPr>
        <w:t xml:space="preserve">Management Information System (MPAOMIS)</w:t>
      </w:r>
    </w:p>
    <w:p>
      <w:pPr>
        <w:spacing w:after="60"/>
      </w:pPr>
    </w:p>
    <w:p>
      <w:pPr>
        <w:spacing w:after="60"/>
      </w:pPr>
    </w:p>
    <w:p>
      <w:pPr>
        <w:pBdr>
          <w:top w:val="single" w:color="2E75B6" w:sz="2" w:space="8"/>
        </w:pBdr>
        <w:spacing w:after="120" w:before="2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666666"/>
                <w:sz w:val="22"/>
                <w:szCs w:val="22"/>
              </w:rPr>
              <w:t xml:space="preserve">Client:</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22"/>
                <w:szCs w:val="22"/>
              </w:rPr>
              <w:t xml:space="preserve">Mountain Province Provincial Assessor’s Office</w:t>
            </w:r>
          </w:p>
        </w:tc>
      </w:tr>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666666"/>
                <w:sz w:val="22"/>
                <w:szCs w:val="22"/>
              </w:rPr>
              <w:t xml:space="preserve">Date:</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22"/>
                <w:szCs w:val="22"/>
              </w:rPr>
              <w:t xml:space="preserve">March 16, 2026</w:t>
            </w:r>
          </w:p>
        </w:tc>
      </w:tr>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666666"/>
                <w:sz w:val="22"/>
                <w:szCs w:val="22"/>
              </w:rPr>
              <w:t xml:space="preserve">Prepared by:</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22"/>
                <w:szCs w:val="22"/>
              </w:rPr>
              <w:t xml:space="preserve">Development Team</w:t>
            </w:r>
          </w:p>
        </w:tc>
      </w:tr>
    </w:tbl>
    <w:p>
      <w:r>
        <w:br w:type="page"/>
      </w:r>
    </w:p>
    <w:p>
      <w:pPr>
        <w:pStyle w:val="Heading1"/>
      </w:pPr>
      <w:r>
        <w:t xml:space="preserve">1. Project Overview</w:t>
      </w:r>
    </w:p>
    <w:p>
      <w:pPr>
        <w:spacing w:after="120"/>
      </w:pPr>
      <w:r>
        <w:rPr>
          <w:rFonts w:ascii="Arial" w:cs="Arial" w:eastAsia="Arial" w:hAnsi="Arial"/>
          <w:color w:val="333333"/>
          <w:sz w:val="22"/>
          <w:szCs w:val="22"/>
        </w:rPr>
        <w:t xml:space="preserve">The Mountain Province Assessor’s Office Management Information System (MPAOMIS) is a comprehensive web-based management system for the Provincial Assessor’s Office of Mountain Province, Philippines. It covers all 10 municipalities: Barlig, Bauko, Besao, Bontoc, Natonin, Paracelis, Sabangan, Sadanga, Sagada, and Tadian.</w:t>
      </w:r>
    </w:p>
    <w:p>
      <w:pPr>
        <w:spacing w:after="120"/>
      </w:pPr>
      <w:r>
        <w:rPr>
          <w:rFonts w:ascii="Arial" w:cs="Arial" w:eastAsia="Arial" w:hAnsi="Arial"/>
          <w:color w:val="333333"/>
          <w:sz w:val="22"/>
          <w:szCs w:val="22"/>
        </w:rPr>
        <w:t xml:space="preserve">The system digitizes and manages the full operations of the Provincial Assessor’s Office, including real property field appraisal and assessment (RPFAAS), tax declarations, certifications, property ownership registry, tax mapping, sworn statements, inter-agency coordination, administrative records, and office resource management.</w:t>
      </w:r>
    </w:p>
    <w:p>
      <w:pPr>
        <w:spacing w:after="120"/>
      </w:pPr>
      <w:r>
        <w:rPr>
          <w:rFonts w:ascii="Arial" w:cs="Arial" w:eastAsia="Arial" w:hAnsi="Arial"/>
          <w:color w:val="333333"/>
          <w:sz w:val="22"/>
          <w:szCs w:val="22"/>
        </w:rPr>
        <w:t xml:space="preserve">The system is centrally hosted at the Provincial Assessor’s Office in Bontoc. Municipal staff across all 10 municipalities access the system via browser over a secured VPN connection. No local servers are deployed at municipal offices. The system is built in phases, starting with a mini server for Phase 1 and 2, transitioning to a full dedicated production server setup in Phase 3.</w:t>
      </w:r>
    </w:p>
    <w:p>
      <w:pPr>
        <w:pBdr>
          <w:bottom w:val="single" w:color="2E75B6" w:sz="4" w:space="1"/>
        </w:pBdr>
        <w:spacing w:after="200" w:before="200"/>
      </w:pP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63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Frontend</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Next.js, TypeScript, Tailwind CSS, shadcn/ui</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Backend</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Next.js API Routes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Database</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PostgreSQL (self-hosted, single instance, multi-tenant)</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ORM</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Prisma</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Authentication</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Role-based with session management</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Offline Support</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Progressive Web App (PWA): drafts saved locally, synced on reconnect</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PDF / Print</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Browser print with CSS print layout</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Operating System</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Windows Server 2019 / 2025 Standard</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Infrastructure (Phase 1–2)</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Mini server: single shared database</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Infrastructure (Phase 3+)</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Dedicated production servers: primary + hot standby</w:t>
            </w:r>
          </w:p>
        </w:tc>
      </w:tr>
    </w:tbl>
    <w:p>
      <w:pPr>
        <w:pBdr>
          <w:bottom w:val="single" w:color="2E75B6" w:sz="4" w:space="1"/>
        </w:pBdr>
        <w:spacing w:after="200" w:before="200"/>
      </w:pPr>
    </w:p>
    <w:p>
      <w:pPr>
        <w:pStyle w:val="Heading1"/>
      </w:pPr>
      <w: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58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Super Admin</w:t>
            </w:r>
          </w:p>
        </w:tc>
        <w:tc>
          <w:tcPr>
            <w:tcW w:type="dxa" w:w="58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Full system access</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IT Admin</w:t>
            </w:r>
          </w:p>
        </w:tc>
        <w:tc>
          <w:tcPr>
            <w:tcW w:type="dxa" w:w="58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Server management, user provisioning, monitoring</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Admin</w:t>
            </w:r>
          </w:p>
        </w:tc>
        <w:tc>
          <w:tcPr>
            <w:tcW w:type="dxa" w:w="58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Administrative functions</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Tax Mapper</w:t>
            </w:r>
          </w:p>
        </w:tc>
        <w:tc>
          <w:tcPr>
            <w:tcW w:type="dxa" w:w="58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Field data entry, form creation, field inspections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LAOO (Levels 1–4)</w:t>
            </w:r>
          </w:p>
        </w:tc>
        <w:tc>
          <w:tcPr>
            <w:tcW w:type="dxa" w:w="58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Local Assessment Operations Officer, form review per level</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Municipal Assessor</w:t>
            </w:r>
          </w:p>
        </w:tc>
        <w:tc>
          <w:tcPr>
            <w:tcW w:type="dxa" w:w="58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Municipal-level oversight</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Assistant Provincial Assessor</w:t>
            </w:r>
          </w:p>
        </w:tc>
        <w:tc>
          <w:tcPr>
            <w:tcW w:type="dxa" w:w="58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Provincial-level review assistance</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Provincial Assessor</w:t>
            </w:r>
          </w:p>
        </w:tc>
        <w:tc>
          <w:tcPr>
            <w:tcW w:type="dxa" w:w="58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Final approval authority, digital signature</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Treasurer</w:t>
            </w:r>
          </w:p>
        </w:tc>
        <w:tc>
          <w:tcPr>
            <w:tcW w:type="dxa" w:w="58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Collection monitoring, payment recording</w:t>
            </w:r>
          </w:p>
        </w:tc>
      </w:tr>
    </w:tbl>
    <w:p>
      <w:pPr>
        <w:spacing w:after="60"/>
      </w:pPr>
    </w:p>
    <w:p>
      <w:pPr>
        <w:spacing w:after="120"/>
      </w:pPr>
      <w:r>
        <w:rPr>
          <w:rFonts w:ascii="Arial" w:cs="Arial" w:eastAsia="Arial" w:hAnsi="Arial"/>
          <w:i/>
          <w:iCs/>
          <w:color w:val="666666"/>
          <w:sz w:val="22"/>
          <w:szCs w:val="22"/>
        </w:rPr>
        <w:t xml:space="preserve">Estimated users: 3–5 per municipality x 10 municipalities = 30–50 total users system-wide.</w:t>
      </w:r>
    </w:p>
    <w:p>
      <w:pPr>
        <w:pBdr>
          <w:bottom w:val="single" w:color="2E75B6" w:sz="4" w:space="1"/>
        </w:pBdr>
        <w:spacing w:after="200" w:before="200"/>
      </w:pPr>
    </w:p>
    <w:p>
      <w:pPr>
        <w:pStyle w:val="Heading1"/>
      </w:pPr>
      <w:r>
        <w:t xml:space="preserve">4. Supported Municipalities</w:t>
      </w:r>
    </w:p>
    <w:p>
      <w:pPr>
        <w:spacing w:after="120"/>
      </w:pPr>
      <w:r>
        <w:rPr>
          <w:rFonts w:ascii="Arial" w:cs="Arial" w:eastAsia="Arial" w:hAnsi="Arial"/>
          <w:color w:val="333333"/>
          <w:sz w:val="22"/>
          <w:szCs w:val="22"/>
        </w:rPr>
        <w:t xml:space="preserve">All 10 Mountain Province municipalities:</w:t>
      </w:r>
    </w:p>
    <w:p>
      <w:pPr>
        <w:pStyle w:val="ListParagraph"/>
        <w:numPr>
          <w:ilvl w:val="0"/>
          <w:numId w:val="2"/>
        </w:numPr>
        <w:spacing w:after="60"/>
      </w:pPr>
      <w:r>
        <w:rPr>
          <w:rFonts w:ascii="Arial" w:cs="Arial" w:eastAsia="Arial" w:hAnsi="Arial"/>
          <w:color w:val="333333"/>
          <w:sz w:val="22"/>
          <w:szCs w:val="22"/>
        </w:rPr>
        <w:t xml:space="preserve">Barlig</w:t>
      </w:r>
    </w:p>
    <w:p>
      <w:pPr>
        <w:pStyle w:val="ListParagraph"/>
        <w:numPr>
          <w:ilvl w:val="0"/>
          <w:numId w:val="2"/>
        </w:numPr>
        <w:spacing w:after="60"/>
      </w:pPr>
      <w:r>
        <w:rPr>
          <w:rFonts w:ascii="Arial" w:cs="Arial" w:eastAsia="Arial" w:hAnsi="Arial"/>
          <w:color w:val="333333"/>
          <w:sz w:val="22"/>
          <w:szCs w:val="22"/>
        </w:rPr>
        <w:t xml:space="preserve">Bauko</w:t>
      </w:r>
    </w:p>
    <w:p>
      <w:pPr>
        <w:pStyle w:val="ListParagraph"/>
        <w:numPr>
          <w:ilvl w:val="0"/>
          <w:numId w:val="2"/>
        </w:numPr>
        <w:spacing w:after="60"/>
      </w:pPr>
      <w:r>
        <w:rPr>
          <w:rFonts w:ascii="Arial" w:cs="Arial" w:eastAsia="Arial" w:hAnsi="Arial"/>
          <w:color w:val="333333"/>
          <w:sz w:val="22"/>
          <w:szCs w:val="22"/>
        </w:rPr>
        <w:t xml:space="preserve">Besao</w:t>
      </w:r>
    </w:p>
    <w:p>
      <w:pPr>
        <w:pStyle w:val="ListParagraph"/>
        <w:numPr>
          <w:ilvl w:val="0"/>
          <w:numId w:val="2"/>
        </w:numPr>
        <w:spacing w:after="60"/>
      </w:pPr>
      <w:r>
        <w:rPr>
          <w:rFonts w:ascii="Arial" w:cs="Arial" w:eastAsia="Arial" w:hAnsi="Arial"/>
          <w:color w:val="333333"/>
          <w:sz w:val="22"/>
          <w:szCs w:val="22"/>
        </w:rPr>
        <w:t xml:space="preserve">Bontoc</w:t>
      </w:r>
    </w:p>
    <w:p>
      <w:pPr>
        <w:pStyle w:val="ListParagraph"/>
        <w:numPr>
          <w:ilvl w:val="0"/>
          <w:numId w:val="2"/>
        </w:numPr>
        <w:spacing w:after="60"/>
      </w:pPr>
      <w:r>
        <w:rPr>
          <w:rFonts w:ascii="Arial" w:cs="Arial" w:eastAsia="Arial" w:hAnsi="Arial"/>
          <w:color w:val="333333"/>
          <w:sz w:val="22"/>
          <w:szCs w:val="22"/>
        </w:rPr>
        <w:t xml:space="preserve">Natonin</w:t>
      </w:r>
    </w:p>
    <w:p>
      <w:pPr>
        <w:pStyle w:val="ListParagraph"/>
        <w:numPr>
          <w:ilvl w:val="0"/>
          <w:numId w:val="2"/>
        </w:numPr>
        <w:spacing w:after="60"/>
      </w:pPr>
      <w:r>
        <w:rPr>
          <w:rFonts w:ascii="Arial" w:cs="Arial" w:eastAsia="Arial" w:hAnsi="Arial"/>
          <w:color w:val="333333"/>
          <w:sz w:val="22"/>
          <w:szCs w:val="22"/>
        </w:rPr>
        <w:t xml:space="preserve">Paracelis</w:t>
      </w:r>
    </w:p>
    <w:p>
      <w:pPr>
        <w:pStyle w:val="ListParagraph"/>
        <w:numPr>
          <w:ilvl w:val="0"/>
          <w:numId w:val="2"/>
        </w:numPr>
        <w:spacing w:after="60"/>
      </w:pPr>
      <w:r>
        <w:rPr>
          <w:rFonts w:ascii="Arial" w:cs="Arial" w:eastAsia="Arial" w:hAnsi="Arial"/>
          <w:color w:val="333333"/>
          <w:sz w:val="22"/>
          <w:szCs w:val="22"/>
        </w:rPr>
        <w:t xml:space="preserve">Sabangan</w:t>
      </w:r>
    </w:p>
    <w:p>
      <w:pPr>
        <w:pStyle w:val="ListParagraph"/>
        <w:numPr>
          <w:ilvl w:val="0"/>
          <w:numId w:val="2"/>
        </w:numPr>
        <w:spacing w:after="60"/>
      </w:pPr>
      <w:r>
        <w:rPr>
          <w:rFonts w:ascii="Arial" w:cs="Arial" w:eastAsia="Arial" w:hAnsi="Arial"/>
          <w:color w:val="333333"/>
          <w:sz w:val="22"/>
          <w:szCs w:val="22"/>
        </w:rPr>
        <w:t xml:space="preserve">Sadanga</w:t>
      </w:r>
    </w:p>
    <w:p>
      <w:pPr>
        <w:pStyle w:val="ListParagraph"/>
        <w:numPr>
          <w:ilvl w:val="0"/>
          <w:numId w:val="2"/>
        </w:numPr>
        <w:spacing w:after="60"/>
      </w:pPr>
      <w:r>
        <w:rPr>
          <w:rFonts w:ascii="Arial" w:cs="Arial" w:eastAsia="Arial" w:hAnsi="Arial"/>
          <w:color w:val="333333"/>
          <w:sz w:val="22"/>
          <w:szCs w:val="22"/>
        </w:rPr>
        <w:t xml:space="preserve">Sagada</w:t>
      </w:r>
    </w:p>
    <w:p>
      <w:pPr>
        <w:pStyle w:val="ListParagraph"/>
        <w:numPr>
          <w:ilvl w:val="0"/>
          <w:numId w:val="2"/>
        </w:numPr>
        <w:spacing w:after="60"/>
      </w:pPr>
      <w:r>
        <w:rPr>
          <w:rFonts w:ascii="Arial" w:cs="Arial" w:eastAsia="Arial" w:hAnsi="Arial"/>
          <w:color w:val="333333"/>
          <w:sz w:val="22"/>
          <w:szCs w:val="22"/>
        </w:rPr>
        <w:t xml:space="preserve">Tadian</w:t>
      </w:r>
    </w:p>
    <w:p>
      <w:pPr>
        <w:pBdr>
          <w:bottom w:val="single" w:color="2E75B6" w:sz="4" w:space="1"/>
        </w:pBdr>
        <w:spacing w:after="200" w:before="200"/>
      </w:pPr>
    </w:p>
    <w:p>
      <w:pPr>
        <w:pStyle w:val="Heading1"/>
      </w:pPr>
      <w:r>
        <w:t xml:space="preserve">5. System Architecture</w:t>
      </w:r>
    </w:p>
    <w:p>
      <w:pPr>
        <w:pStyle w:val="Heading2"/>
      </w:pPr>
      <w:r>
        <w:t xml:space="preserve">Centralized Setup: Provincial Office, Bontoc</w:t>
      </w:r>
    </w:p>
    <w:p>
      <w:pPr>
        <w:spacing w:after="120"/>
      </w:pPr>
      <w:r>
        <w:rPr>
          <w:rFonts w:ascii="Arial" w:cs="Arial" w:eastAsia="Arial" w:hAnsi="Arial"/>
          <w:color w:val="333333"/>
          <w:sz w:val="22"/>
          <w:szCs w:val="22"/>
        </w:rPr>
        <w:t xml:space="preserve">All servers are located in one secured server room at the Provincial Assessor’s Office. No hardware is deployed at any municipal office. Municipal staff connect remotely via VPN.</w:t>
      </w:r>
    </w:p>
    <w:p>
      <w:pPr>
        <w:spacing w:after="60"/>
      </w:pPr>
    </w:p>
    <w:p>
      <w:pPr>
        <w:shd w:fill="F5F5F5" w:val="clear"/>
        <w:spacing w:after="0"/>
        <w:ind w:left="360"/>
      </w:pPr>
      <w:r>
        <w:rPr>
          <w:rFonts w:ascii="Consolas" w:cs="Consolas" w:eastAsia="Consolas" w:hAnsi="Consolas"/>
          <w:color w:val="333333"/>
          <w:sz w:val="18"/>
          <w:szCs w:val="18"/>
        </w:rPr>
        <w:t xml:space="preserve">Provincial Office: Bontoc (Server Room)</w:t>
      </w:r>
    </w:p>
    <w:p>
      <w:pPr>
        <w:shd w:fill="F5F5F5" w:val="clear"/>
        <w:spacing w:after="0"/>
        <w:ind w:left="360"/>
      </w:pPr>
      <w:r>
        <w:rPr>
          <w:rFonts w:ascii="Consolas" w:cs="Consolas" w:eastAsia="Consolas" w:hAnsi="Consolas"/>
          <w:color w:val="333333"/>
          <w:sz w:val="18"/>
          <w:szCs w:val="18"/>
        </w:rPr>
        <w:t xml:space="preserve">  R250 #1: Primary Server (Windows Server 2025)</w:t>
      </w:r>
    </w:p>
    <w:p>
      <w:pPr>
        <w:shd w:fill="F5F5F5" w:val="clear"/>
        <w:spacing w:after="0"/>
        <w:ind w:left="360"/>
      </w:pPr>
      <w:r>
        <w:rPr>
          <w:rFonts w:ascii="Consolas" w:cs="Consolas" w:eastAsia="Consolas" w:hAnsi="Consolas"/>
          <w:color w:val="333333"/>
          <w:sz w:val="18"/>
          <w:szCs w:val="18"/>
        </w:rPr>
        <w:t xml:space="preserve">    PostgreSQL: single DB, all municipalities</w:t>
      </w:r>
    </w:p>
    <w:p>
      <w:pPr>
        <w:shd w:fill="F5F5F5" w:val="clear"/>
        <w:spacing w:after="0"/>
        <w:ind w:left="360"/>
      </w:pPr>
      <w:r>
        <w:rPr>
          <w:rFonts w:ascii="Consolas" w:cs="Consolas" w:eastAsia="Consolas" w:hAnsi="Consolas"/>
          <w:color w:val="333333"/>
          <w:sz w:val="18"/>
          <w:szCs w:val="18"/>
        </w:rPr>
        <w:t xml:space="preserve">    Next.js App</w:t>
      </w:r>
    </w:p>
    <w:p>
      <w:pPr>
        <w:shd w:fill="F5F5F5" w:val="clear"/>
        <w:spacing w:after="0"/>
        <w:ind w:left="360"/>
      </w:pPr>
      <w:r>
        <w:rPr>
          <w:rFonts w:ascii="Consolas" w:cs="Consolas" w:eastAsia="Consolas" w:hAnsi="Consolas"/>
          <w:color w:val="333333"/>
          <w:sz w:val="18"/>
          <w:szCs w:val="18"/>
        </w:rPr>
        <w:t xml:space="preserve">  R250 #2: Hot Standby (Hyper-V Replica from R250 #1)</w:t>
      </w:r>
    </w:p>
    <w:p>
      <w:pPr>
        <w:shd w:fill="F5F5F5" w:val="clear"/>
        <w:spacing w:after="0"/>
        <w:ind w:left="360"/>
      </w:pPr>
      <w:r>
        <w:rPr>
          <w:rFonts w:ascii="Consolas" w:cs="Consolas" w:eastAsia="Consolas" w:hAnsi="Consolas"/>
          <w:color w:val="333333"/>
          <w:sz w:val="18"/>
          <w:szCs w:val="18"/>
        </w:rPr>
        <w:t xml:space="preserve">  R250 #3: Staging / Testing Environment</w:t>
      </w:r>
    </w:p>
    <w:p>
      <w:pPr>
        <w:shd w:fill="F5F5F5" w:val="clear"/>
        <w:spacing w:after="0"/>
        <w:ind w:left="360"/>
      </w:pPr>
      <w:r>
        <w:rPr>
          <w:rFonts w:ascii="Consolas" w:cs="Consolas" w:eastAsia="Consolas" w:hAnsi="Consolas"/>
          <w:color w:val="333333"/>
          <w:sz w:val="18"/>
          <w:szCs w:val="18"/>
        </w:rPr>
        <w:t xml:space="preserve">  R250 #4: Spare / Disaster Recovery</w:t>
      </w:r>
    </w:p>
    <w:p>
      <w:pPr>
        <w:shd w:fill="F5F5F5" w:val="clear"/>
        <w:spacing w:after="0"/>
        <w:ind w:left="360"/>
      </w:pPr>
      <w:r>
        <w:rPr>
          <w:rFonts w:ascii="Consolas" w:cs="Consolas" w:eastAsia="Consolas" w:hAnsi="Consolas"/>
          <w:color w:val="333333"/>
          <w:sz w:val="18"/>
          <w:szCs w:val="18"/>
        </w:rPr>
        <w:t xml:space="preserve">  DFL-870M Firewall: VPN tunnels + perimeter security</w:t>
      </w:r>
    </w:p>
    <w:p>
      <w:pPr>
        <w:shd w:fill="F5F5F5" w:val="clear"/>
        <w:spacing w:after="0"/>
        <w:ind w:left="360"/>
      </w:pPr>
      <w:r>
        <w:rPr>
          <w:rFonts w:ascii="Consolas" w:cs="Consolas" w:eastAsia="Consolas" w:hAnsi="Consolas"/>
          <w:color w:val="333333"/>
          <w:sz w:val="18"/>
          <w:szCs w:val="18"/>
        </w:rPr>
        <w:t xml:space="preserve">  DGS-3630-28TC Switch: internal server network</w:t>
      </w:r>
    </w:p>
    <w:p>
      <w:pPr>
        <w:shd w:fill="F5F5F5" w:val="clear"/>
        <w:spacing w:after="0"/>
        <w:ind w:left="360"/>
      </w:pPr>
      <w:r>
        <w:rPr>
          <w:rFonts w:ascii="Consolas" w:cs="Consolas" w:eastAsia="Consolas" w:hAnsi="Consolas"/>
          <w:color w:val="333333"/>
          <w:sz w:val="18"/>
          <w:szCs w:val="18"/>
        </w:rPr>
        <w:t xml:space="preserve"/>
      </w:r>
    </w:p>
    <w:p>
      <w:pPr>
        <w:shd w:fill="F5F5F5" w:val="clear"/>
        <w:spacing w:after="0"/>
        <w:ind w:left="360"/>
      </w:pPr>
      <w:r>
        <w:rPr>
          <w:rFonts w:ascii="Consolas" w:cs="Consolas" w:eastAsia="Consolas" w:hAnsi="Consolas"/>
          <w:color w:val="333333"/>
          <w:sz w:val="18"/>
          <w:szCs w:val="18"/>
        </w:rPr>
        <w:t xml:space="preserve">Municipal Offices (browser only, no local server)</w:t>
      </w:r>
    </w:p>
    <w:p>
      <w:pPr>
        <w:shd w:fill="F5F5F5" w:val="clear"/>
        <w:spacing w:after="0"/>
        <w:ind w:left="360"/>
      </w:pPr>
      <w:r>
        <w:rPr>
          <w:rFonts w:ascii="Consolas" w:cs="Consolas" w:eastAsia="Consolas" w:hAnsi="Consolas"/>
          <w:color w:val="333333"/>
          <w:sz w:val="18"/>
          <w:szCs w:val="18"/>
        </w:rPr>
        <w:t xml:space="preserve">  Staff &gt; Internet &gt; VPN tunnel (DFL-870M) &gt; Central Server</w:t>
      </w:r>
    </w:p>
    <w:p>
      <w:pPr>
        <w:spacing w:after="60"/>
      </w:pPr>
    </w:p>
    <w:p>
      <w:pPr>
        <w:pStyle w:val="Heading2"/>
      </w:pPr>
      <w:r>
        <w:t xml:space="preserve">Database Design</w:t>
      </w:r>
    </w:p>
    <w:p>
      <w:pPr>
        <w:spacing w:after="120"/>
      </w:pPr>
      <w:r>
        <w:rPr>
          <w:rFonts w:ascii="Arial" w:cs="Arial" w:eastAsia="Arial" w:hAnsi="Arial"/>
          <w:color w:val="333333"/>
          <w:sz w:val="22"/>
          <w:szCs w:val="22"/>
        </w:rPr>
        <w:t xml:space="preserve">Single PostgreSQL instance with municipality-level data isolation enforced at the application level. All 10 municipalities share one database with row-level filtering per user’s assigned municipality. Non-admin users can only view and edit records belonging to their municipality.</w:t>
      </w:r>
    </w:p>
    <w:p>
      <w:pPr>
        <w:pStyle w:val="Heading2"/>
      </w:pPr>
      <w:r>
        <w:t xml:space="preserve">Offline Capability (PWA)</w:t>
      </w:r>
    </w:p>
    <w:p>
      <w:pPr>
        <w:spacing w:after="120"/>
      </w:pPr>
      <w:r>
        <w:rPr>
          <w:rFonts w:ascii="Arial" w:cs="Arial" w:eastAsia="Arial" w:hAnsi="Arial"/>
          <w:color w:val="333333"/>
          <w:sz w:val="22"/>
          <w:szCs w:val="22"/>
        </w:rPr>
        <w:t xml:space="preserve">The system is deployed as a Progressive Web App. When a municipal office loses internet connectivity:</w:t>
      </w:r>
    </w:p>
    <w:p>
      <w:pPr>
        <w:pStyle w:val="ListParagraph"/>
        <w:numPr>
          <w:ilvl w:val="0"/>
          <w:numId w:val="2"/>
        </w:numPr>
        <w:spacing w:after="60"/>
      </w:pPr>
      <w:r>
        <w:rPr>
          <w:rFonts w:ascii="Arial" w:cs="Arial" w:eastAsia="Arial" w:hAnsi="Arial"/>
          <w:color w:val="333333"/>
          <w:sz w:val="22"/>
          <w:szCs w:val="22"/>
        </w:rPr>
        <w:t xml:space="preserve">The app remains accessible from the browser (cached)</w:t>
      </w:r>
    </w:p>
    <w:p>
      <w:pPr>
        <w:pStyle w:val="ListParagraph"/>
        <w:numPr>
          <w:ilvl w:val="0"/>
          <w:numId w:val="2"/>
        </w:numPr>
        <w:spacing w:after="60"/>
      </w:pPr>
      <w:r>
        <w:rPr>
          <w:rFonts w:ascii="Arial" w:cs="Arial" w:eastAsia="Arial" w:hAnsi="Arial"/>
          <w:color w:val="333333"/>
          <w:sz w:val="22"/>
          <w:szCs w:val="22"/>
        </w:rPr>
        <w:t xml:space="preserve">Staff can continue filling and saving form drafts (stored locally in browser)</w:t>
      </w:r>
    </w:p>
    <w:p>
      <w:pPr>
        <w:pStyle w:val="ListParagraph"/>
        <w:numPr>
          <w:ilvl w:val="0"/>
          <w:numId w:val="2"/>
        </w:numPr>
        <w:spacing w:after="60"/>
      </w:pPr>
      <w:r>
        <w:rPr>
          <w:rFonts w:ascii="Arial" w:cs="Arial" w:eastAsia="Arial" w:hAnsi="Arial"/>
          <w:color w:val="333333"/>
          <w:sz w:val="22"/>
          <w:szCs w:val="22"/>
        </w:rPr>
        <w:t xml:space="preserve">Drafts are synced to the server automatically when the connection is restored</w:t>
      </w:r>
    </w:p>
    <w:p>
      <w:pPr>
        <w:pStyle w:val="ListParagraph"/>
        <w:numPr>
          <w:ilvl w:val="0"/>
          <w:numId w:val="2"/>
        </w:numPr>
        <w:spacing w:after="60"/>
      </w:pPr>
      <w:r>
        <w:rPr>
          <w:rFonts w:ascii="Arial" w:cs="Arial" w:eastAsia="Arial" w:hAnsi="Arial"/>
          <w:color w:val="333333"/>
          <w:sz w:val="22"/>
          <w:szCs w:val="22"/>
        </w:rPr>
        <w:t xml:space="preserve">Submission, review, and approval require an active connection</w:t>
      </w:r>
    </w:p>
    <w:p>
      <w:pPr>
        <w:pStyle w:val="Heading2"/>
      </w:pPr>
      <w:r>
        <w:t xml:space="preserve">Hot Standby</w:t>
      </w:r>
    </w:p>
    <w:p>
      <w:pPr>
        <w:spacing w:after="120"/>
      </w:pPr>
      <w:r>
        <w:rPr>
          <w:rFonts w:ascii="Arial" w:cs="Arial" w:eastAsia="Arial" w:hAnsi="Arial"/>
          <w:color w:val="333333"/>
          <w:sz w:val="22"/>
          <w:szCs w:val="22"/>
        </w:rPr>
        <w:t xml:space="preserve">R250 #2 mirrors R250 #1 continuously using Windows Server Hyper-V Replica. In the event of primary server failure, IT Admin promotes R250 #2 to active within 5–15 minutes. No additional licensing cost: included in Windows Server 2025 Standard ROK.</w:t>
      </w:r>
    </w:p>
    <w:p>
      <w:pPr>
        <w:pBdr>
          <w:bottom w:val="single" w:color="2E75B6" w:sz="4" w:space="1"/>
        </w:pBdr>
        <w:spacing w:after="200" w:before="200"/>
      </w:pPr>
    </w:p>
    <w:p>
      <w:pPr>
        <w:pStyle w:val="Heading1"/>
      </w:pPr>
      <w:r>
        <w:t xml:space="preserve">6. Hardware Specifications</w:t>
      </w:r>
    </w:p>
    <w:p>
      <w:pPr>
        <w:pStyle w:val="Heading2"/>
      </w:pPr>
      <w:r>
        <w:t xml:space="preserve">Current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5460"/>
        <w:gridCol w:w="2500"/>
      </w:tblGrid>
      <w:tr>
        <w:trPr>
          <w:tblHeader/>
        </w:trPr>
        <w:tc>
          <w:tcPr>
            <w:tcW w:type="dxa" w:w="7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QTY</w:t>
            </w:r>
          </w:p>
        </w:tc>
        <w:tc>
          <w:tcPr>
            <w:tcW w:type="dxa" w:w="7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54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Units</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Dell R250 Server: Windows Server 2019/2025 Standard ROK, 16-core license</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Primary, hot standby, staging, spare</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Units</w:t>
            </w:r>
          </w:p>
        </w:tc>
        <w:tc>
          <w:tcPr>
            <w:tcW w:type="dxa" w:w="54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VERTIV 2kVA 230V 2U Rack/Tower UPS with Batteries</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Power protection for servers and network equipment</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D-Link DGS-3630-28TC Layer 3 Managed Switch</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Internal server network</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54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D-Link DFL-870M Firewall Appliance</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VPN tunnels, perimeter security</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Box</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Belden UTP Cat5e / Cat6</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Server room cabling (upgrade from Cat5)</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54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Rack Server Cabinet</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Houses all server equipment</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Pc</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Crimp Tool</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Network cable preparation</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Pc</w:t>
            </w:r>
          </w:p>
        </w:tc>
        <w:tc>
          <w:tcPr>
            <w:tcW w:type="dxa" w:w="54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LAN Network Tester</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Cable testing</w:t>
            </w:r>
          </w:p>
        </w:tc>
      </w:tr>
    </w:tbl>
    <w:p>
      <w:pPr>
        <w:spacing w:after="60"/>
      </w:pPr>
    </w:p>
    <w:p>
      <w:pPr>
        <w:pStyle w:val="Heading2"/>
      </w:pPr>
      <w:r>
        <w:t xml:space="preserve">Recommended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5460"/>
        <w:gridCol w:w="2500"/>
      </w:tblGrid>
      <w:tr>
        <w:trPr>
          <w:tblHeader/>
        </w:trPr>
        <w:tc>
          <w:tcPr>
            <w:tcW w:type="dxa" w:w="7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QTY</w:t>
            </w:r>
          </w:p>
        </w:tc>
        <w:tc>
          <w:tcPr>
            <w:tcW w:type="dxa" w:w="7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54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NAS (e.g., Synology DS223) + 2x 4TB HDD</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Critical: automated nightly DB backup</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Pcs</w:t>
            </w:r>
          </w:p>
        </w:tc>
        <w:tc>
          <w:tcPr>
            <w:tcW w:type="dxa" w:w="54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External USB HDD 2TB</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Critical: weekly offsite backup rotation</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LTE Backup Router (Globe/Smart)</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Critical: redundant internet for server room</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54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4-port KVM Switch</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Recommended: manage all 4 servers from one keyboard/monitor</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Set</w:t>
            </w:r>
          </w:p>
        </w:tc>
        <w:tc>
          <w:tcPr>
            <w:tcW w:type="dxa" w:w="54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Monitor + Keyboard + Mouse</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Recommended: server room management</w:t>
            </w:r>
          </w:p>
        </w:tc>
      </w:tr>
    </w:tbl>
    <w:p>
      <w:pPr>
        <w:spacing w:after="60"/>
      </w:pPr>
    </w:p>
    <w:p>
      <w:pPr>
        <w:pStyle w:val="Heading2"/>
      </w:pPr>
      <w:r>
        <w:t xml:space="preserve">Capacity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R250 Capability</w:t>
            </w:r>
          </w:p>
        </w:tc>
        <w:tc>
          <w:tcPr>
            <w:tcW w:type="dxa" w:w="2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Requirement</w:t>
            </w:r>
          </w:p>
        </w:tc>
        <w:tc>
          <w:tcPr>
            <w:tcW w:type="dxa" w:w="23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Concurrent users</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500+</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10–20 peak</w:t>
            </w:r>
          </w:p>
        </w:tc>
        <w:tc>
          <w:tcPr>
            <w:tcW w:type="dxa" w:w="2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Well within capacity</w:t>
            </w:r>
          </w:p>
        </w:tc>
      </w:tr>
      <w:tr>
        <w:tc>
          <w:tcPr>
            <w:tcW w:type="dxa" w:w="2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Database records</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Hundreds of millions</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280k historical + ongoing</w:t>
            </w:r>
          </w:p>
        </w:tc>
        <w:tc>
          <w:tcPr>
            <w:tcW w:type="dxa" w:w="2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Well within capacity</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RAM</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32GB max</w:t>
            </w:r>
          </w:p>
        </w:tc>
        <w:tc>
          <w:tcPr>
            <w:tcW w:type="dxa" w:w="2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~20–24GB for PostgreSQL</w:t>
            </w:r>
          </w:p>
        </w:tc>
        <w:tc>
          <w:tcPr>
            <w:tcW w:type="dxa" w:w="2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Max out RAM on R250 #1</w:t>
            </w:r>
          </w:p>
        </w:tc>
      </w:tr>
      <w:tr>
        <w:tc>
          <w:tcPr>
            <w:tcW w:type="dxa" w:w="2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Storage</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4x 3.5" SATA</w:t>
            </w:r>
          </w:p>
        </w:tc>
        <w:tc>
          <w:tcPr>
            <w:tcW w:type="dxa" w:w="2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DB + backups + logs</w:t>
            </w:r>
          </w:p>
        </w:tc>
        <w:tc>
          <w:tcPr>
            <w:tcW w:type="dxa" w:w="2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Configure RAID 1 minimum</w:t>
            </w:r>
          </w:p>
        </w:tc>
      </w:tr>
    </w:tbl>
    <w:p>
      <w:pPr>
        <w:spacing w:after="120"/>
      </w:pPr>
      <w:r>
        <w:rPr>
          <w:rFonts w:ascii="Arial" w:cs="Arial" w:eastAsia="Arial" w:hAnsi="Arial"/>
          <w:i/>
          <w:iCs/>
          <w:color w:val="333333"/>
          <w:sz w:val="22"/>
          <w:szCs w:val="22"/>
        </w:rPr>
        <w:t xml:space="preserve">Additional servers will be procured as needed when Phase 3 begins.</w:t>
      </w:r>
    </w:p>
    <w:p>
      <w:pPr>
        <w:pBdr>
          <w:bottom w:val="single" w:color="2E75B6" w:sz="4" w:space="1"/>
        </w:pBdr>
        <w:spacing w:after="200" w:before="200"/>
      </w:pPr>
    </w:p>
    <w:p>
      <w:pPr>
        <w:pStyle w:val="Heading1"/>
      </w:pPr>
      <w:r>
        <w:t xml:space="preserve">7. Phases of Development</w:t>
      </w:r>
    </w:p>
    <w:p>
      <w:pPr>
        <w:pStyle w:val="Heading2"/>
      </w:pPr>
      <w:r>
        <w:t xml:space="preserve">Phase 1: Mini Server Setup, Deployment &amp; New Record Input</w:t>
      </w:r>
    </w:p>
    <w:p>
      <w:pPr>
        <w:spacing w:after="120"/>
      </w:pPr>
      <w:r>
        <w:rPr>
          <w:rFonts w:ascii="Arial" w:cs="Arial" w:eastAsia="Arial" w:hAnsi="Arial"/>
          <w:i/>
          <w:iCs/>
          <w:color w:val="333333"/>
          <w:sz w:val="22"/>
          <w:szCs w:val="22"/>
        </w:rPr>
        <w:t xml:space="preserve">Server: Mini server (PC-based server, temporary infrastructure)</w:t>
      </w:r>
    </w:p>
    <w:p>
      <w:pPr>
        <w:spacing w:after="120"/>
      </w:pPr>
      <w:r>
        <w:rPr>
          <w:rFonts w:ascii="Arial" w:cs="Arial" w:eastAsia="Arial" w:hAnsi="Arial"/>
          <w:i/>
          <w:iCs/>
          <w:color w:val="333333"/>
          <w:sz w:val="22"/>
          <w:szCs w:val="22"/>
        </w:rPr>
        <w:t xml:space="preserve">Data: New data only (records from this point forward)</w:t>
      </w:r>
    </w:p>
    <w:p>
      <w:pPr>
        <w:pStyle w:val="Heading3"/>
      </w:pPr>
      <w:r>
        <w:t xml:space="preserve">7.1.1 Mini Server Setup &amp; Deployment</w:t>
      </w:r>
    </w:p>
    <w:p>
      <w:pPr>
        <w:pStyle w:val="ListParagraph"/>
        <w:numPr>
          <w:ilvl w:val="0"/>
          <w:numId w:val="3"/>
        </w:numPr>
        <w:spacing w:after="60"/>
      </w:pPr>
      <w:r>
        <w:rPr>
          <w:rFonts w:ascii="Arial" w:cs="Arial" w:eastAsia="Arial" w:hAnsi="Arial"/>
          <w:color w:val="333333"/>
          <w:sz w:val="22"/>
          <w:szCs w:val="22"/>
        </w:rPr>
        <w:t xml:space="preserve">Build and configure a PC-based mini server (temporary, pre-production)</w:t>
      </w:r>
    </w:p>
    <w:p>
      <w:pPr>
        <w:pStyle w:val="ListParagraph"/>
        <w:numPr>
          <w:ilvl w:val="0"/>
          <w:numId w:val="3"/>
        </w:numPr>
        <w:spacing w:after="60"/>
      </w:pPr>
      <w:r>
        <w:rPr>
          <w:rFonts w:ascii="Arial" w:cs="Arial" w:eastAsia="Arial" w:hAnsi="Arial"/>
          <w:color w:val="333333"/>
          <w:sz w:val="22"/>
          <w:szCs w:val="22"/>
        </w:rPr>
        <w:t xml:space="preserve">Install and configure Windows Server OS</w:t>
      </w:r>
    </w:p>
    <w:p>
      <w:pPr>
        <w:pStyle w:val="ListParagraph"/>
        <w:numPr>
          <w:ilvl w:val="0"/>
          <w:numId w:val="3"/>
        </w:numPr>
        <w:spacing w:after="60"/>
      </w:pPr>
      <w:r>
        <w:rPr>
          <w:rFonts w:ascii="Arial" w:cs="Arial" w:eastAsia="Arial" w:hAnsi="Arial"/>
          <w:color w:val="333333"/>
          <w:sz w:val="22"/>
          <w:szCs w:val="22"/>
        </w:rPr>
        <w:t xml:space="preserve">Install and configure PostgreSQL database</w:t>
      </w:r>
    </w:p>
    <w:p>
      <w:pPr>
        <w:pStyle w:val="ListParagraph"/>
        <w:numPr>
          <w:ilvl w:val="0"/>
          <w:numId w:val="3"/>
        </w:numPr>
        <w:spacing w:after="60"/>
      </w:pPr>
      <w:r>
        <w:rPr>
          <w:rFonts w:ascii="Arial" w:cs="Arial" w:eastAsia="Arial" w:hAnsi="Arial"/>
          <w:color w:val="333333"/>
          <w:sz w:val="22"/>
          <w:szCs w:val="22"/>
        </w:rPr>
        <w:t xml:space="preserve">Deploy the Next.js application on the mini server</w:t>
      </w:r>
    </w:p>
    <w:p>
      <w:pPr>
        <w:pStyle w:val="ListParagraph"/>
        <w:numPr>
          <w:ilvl w:val="0"/>
          <w:numId w:val="3"/>
        </w:numPr>
        <w:spacing w:after="60"/>
      </w:pPr>
      <w:r>
        <w:rPr>
          <w:rFonts w:ascii="Arial" w:cs="Arial" w:eastAsia="Arial" w:hAnsi="Arial"/>
          <w:color w:val="333333"/>
          <w:sz w:val="22"/>
          <w:szCs w:val="22"/>
        </w:rPr>
        <w:t xml:space="preserve">Configure local network access for Provincial Office staff</w:t>
      </w:r>
    </w:p>
    <w:p>
      <w:pPr>
        <w:pStyle w:val="ListParagraph"/>
        <w:numPr>
          <w:ilvl w:val="0"/>
          <w:numId w:val="3"/>
        </w:numPr>
        <w:spacing w:after="60"/>
      </w:pPr>
      <w:r>
        <w:rPr>
          <w:rFonts w:ascii="Arial" w:cs="Arial" w:eastAsia="Arial" w:hAnsi="Arial"/>
          <w:color w:val="333333"/>
          <w:sz w:val="22"/>
          <w:szCs w:val="22"/>
        </w:rPr>
        <w:t xml:space="preserve">Set up VPN access (DFL-870M) for municipal offices to connect remotely</w:t>
      </w:r>
    </w:p>
    <w:p>
      <w:pPr>
        <w:pStyle w:val="ListParagraph"/>
        <w:numPr>
          <w:ilvl w:val="0"/>
          <w:numId w:val="3"/>
        </w:numPr>
        <w:spacing w:after="60"/>
      </w:pPr>
      <w:r>
        <w:rPr>
          <w:rFonts w:ascii="Arial" w:cs="Arial" w:eastAsia="Arial" w:hAnsi="Arial"/>
          <w:color w:val="333333"/>
          <w:sz w:val="22"/>
          <w:szCs w:val="22"/>
        </w:rPr>
        <w:t xml:space="preserve">Create initial database schema and seed SMV reference data</w:t>
      </w:r>
    </w:p>
    <w:p>
      <w:pPr>
        <w:pStyle w:val="ListParagraph"/>
        <w:numPr>
          <w:ilvl w:val="0"/>
          <w:numId w:val="3"/>
        </w:numPr>
        <w:spacing w:after="60"/>
      </w:pPr>
      <w:r>
        <w:rPr>
          <w:rFonts w:ascii="Arial" w:cs="Arial" w:eastAsia="Arial" w:hAnsi="Arial"/>
          <w:color w:val="333333"/>
          <w:sz w:val="22"/>
          <w:szCs w:val="22"/>
        </w:rPr>
        <w:t xml:space="preserve">Provision user accounts per municipality for testing</w:t>
      </w:r>
    </w:p>
    <w:p>
      <w:pPr>
        <w:pStyle w:val="ListParagraph"/>
        <w:numPr>
          <w:ilvl w:val="0"/>
          <w:numId w:val="3"/>
        </w:numPr>
        <w:spacing w:after="60"/>
      </w:pPr>
      <w:r>
        <w:rPr>
          <w:rFonts w:ascii="Arial" w:cs="Arial" w:eastAsia="Arial" w:hAnsi="Arial"/>
          <w:color w:val="333333"/>
          <w:sz w:val="22"/>
          <w:szCs w:val="22"/>
        </w:rPr>
        <w:t xml:space="preserve">Conduct connectivity testing with each of the 10 municipalities</w:t>
      </w:r>
    </w:p>
    <w:p>
      <w:pPr>
        <w:pStyle w:val="ListParagraph"/>
        <w:numPr>
          <w:ilvl w:val="0"/>
          <w:numId w:val="3"/>
        </w:numPr>
        <w:spacing w:after="60"/>
      </w:pPr>
      <w:r>
        <w:rPr>
          <w:rFonts w:ascii="Arial" w:cs="Arial" w:eastAsia="Arial" w:hAnsi="Arial"/>
          <w:color w:val="333333"/>
          <w:sz w:val="22"/>
          <w:szCs w:val="22"/>
        </w:rPr>
        <w:t xml:space="preserve">Validate access and performance before go-live</w:t>
      </w:r>
    </w:p>
    <w:p>
      <w:pPr>
        <w:pStyle w:val="Heading3"/>
      </w:pPr>
      <w:r>
        <w:t xml:space="preserve">7.1.2 RPFAAS Forms: New Record Input</w:t>
      </w:r>
    </w:p>
    <w:p>
      <w:pPr>
        <w:spacing w:after="120"/>
      </w:pPr>
      <w:r>
        <w:rPr>
          <w:rFonts w:ascii="Arial" w:cs="Arial" w:eastAsia="Arial" w:hAnsi="Arial"/>
          <w:color w:val="333333"/>
          <w:sz w:val="22"/>
          <w:szCs w:val="22"/>
        </w:rPr>
        <w:t xml:space="preserve">Three types of Field Appraisal and Assessment Sheets filled by municipal staff:</w:t>
      </w:r>
    </w:p>
    <w:p>
      <w:pPr>
        <w:spacing w:after="120"/>
      </w:pPr>
      <w:r>
        <w:rPr>
          <w:rFonts w:ascii="Arial" w:cs="Arial" w:eastAsia="Arial" w:hAnsi="Arial"/>
          <w:b/>
          <w:bCs/>
          <w:color w:val="333333"/>
          <w:sz w:val="22"/>
          <w:szCs w:val="22"/>
        </w:rPr>
        <w:t xml:space="preserve">A. Building &amp; Other Structures FAAS</w:t>
      </w:r>
    </w:p>
    <w:p>
      <w:pPr>
        <w:pStyle w:val="ListParagraph"/>
        <w:numPr>
          <w:ilvl w:val="0"/>
          <w:numId w:val="4"/>
        </w:numPr>
        <w:spacing w:after="60"/>
      </w:pPr>
      <w:r>
        <w:rPr>
          <w:rFonts w:ascii="Arial" w:cs="Arial" w:eastAsia="Arial" w:hAnsi="Arial"/>
          <w:color w:val="333333"/>
          <w:sz w:val="22"/>
          <w:szCs w:val="22"/>
        </w:rPr>
        <w:t xml:space="preserve">6-step form: property information, building details, construction materials, systems &amp; deductions, assessment &amp; valuation, preview &amp; submission</w:t>
      </w:r>
    </w:p>
    <w:p>
      <w:pPr>
        <w:pStyle w:val="ListParagraph"/>
        <w:numPr>
          <w:ilvl w:val="0"/>
          <w:numId w:val="4"/>
        </w:numPr>
        <w:spacing w:after="60"/>
      </w:pPr>
      <w:r>
        <w:rPr>
          <w:rFonts w:ascii="Arial" w:cs="Arial" w:eastAsia="Arial" w:hAnsi="Arial"/>
          <w:color w:val="333333"/>
          <w:sz w:val="22"/>
          <w:szCs w:val="22"/>
        </w:rPr>
        <w:t xml:space="preserve">Automatic computation: market value, assessment level, assessed value, amount in words</w:t>
      </w:r>
    </w:p>
    <w:p>
      <w:pPr>
        <w:pStyle w:val="ListParagraph"/>
        <w:numPr>
          <w:ilvl w:val="0"/>
          <w:numId w:val="4"/>
        </w:numPr>
        <w:spacing w:after="60"/>
      </w:pPr>
      <w:r>
        <w:rPr>
          <w:rFonts w:ascii="Arial" w:cs="Arial" w:eastAsia="Arial" w:hAnsi="Arial"/>
          <w:color w:val="333333"/>
          <w:sz w:val="22"/>
          <w:szCs w:val="22"/>
        </w:rPr>
        <w:t xml:space="preserve">Per-step save (draft mode)</w:t>
      </w:r>
    </w:p>
    <w:p>
      <w:pPr>
        <w:pStyle w:val="ListParagraph"/>
        <w:numPr>
          <w:ilvl w:val="0"/>
          <w:numId w:val="4"/>
        </w:numPr>
        <w:spacing w:after="60"/>
      </w:pPr>
      <w:r>
        <w:rPr>
          <w:rFonts w:ascii="Arial" w:cs="Arial" w:eastAsia="Arial" w:hAnsi="Arial"/>
          <w:color w:val="333333"/>
          <w:sz w:val="22"/>
          <w:szCs w:val="22"/>
        </w:rPr>
        <w:t xml:space="preserve">Edit drafts at any step</w:t>
      </w:r>
    </w:p>
    <w:p>
      <w:pPr>
        <w:pStyle w:val="ListParagraph"/>
        <w:numPr>
          <w:ilvl w:val="0"/>
          <w:numId w:val="4"/>
        </w:numPr>
        <w:spacing w:after="60"/>
      </w:pPr>
      <w:r>
        <w:rPr>
          <w:rFonts w:ascii="Arial" w:cs="Arial" w:eastAsia="Arial" w:hAnsi="Arial"/>
          <w:color w:val="333333"/>
          <w:sz w:val="22"/>
          <w:szCs w:val="22"/>
        </w:rPr>
        <w:t xml:space="preserve">Print preview before submission</w:t>
      </w:r>
    </w:p>
    <w:p>
      <w:pPr>
        <w:spacing w:after="120"/>
      </w:pPr>
      <w:r>
        <w:rPr>
          <w:rFonts w:ascii="Arial" w:cs="Arial" w:eastAsia="Arial" w:hAnsi="Arial"/>
          <w:b/>
          <w:bCs/>
          <w:color w:val="333333"/>
          <w:sz w:val="22"/>
          <w:szCs w:val="22"/>
        </w:rPr>
        <w:t xml:space="preserve">B. Land &amp; Other Improvements FAAS</w:t>
      </w:r>
    </w:p>
    <w:p>
      <w:pPr>
        <w:pStyle w:val="ListParagraph"/>
        <w:numPr>
          <w:ilvl w:val="0"/>
          <w:numId w:val="5"/>
        </w:numPr>
        <w:spacing w:after="60"/>
      </w:pPr>
      <w:r>
        <w:rPr>
          <w:rFonts w:ascii="Arial" w:cs="Arial" w:eastAsia="Arial" w:hAnsi="Arial"/>
          <w:color w:val="333333"/>
          <w:sz w:val="22"/>
          <w:szCs w:val="22"/>
        </w:rPr>
        <w:t xml:space="preserve">5-step form: property information, improvement details, area &amp; unit measurements, deductions &amp; additional items, assessment &amp; final valuation</w:t>
      </w:r>
    </w:p>
    <w:p>
      <w:pPr>
        <w:pStyle w:val="ListParagraph"/>
        <w:numPr>
          <w:ilvl w:val="0"/>
          <w:numId w:val="5"/>
        </w:numPr>
        <w:spacing w:after="60"/>
      </w:pPr>
      <w:r>
        <w:rPr>
          <w:rFonts w:ascii="Arial" w:cs="Arial" w:eastAsia="Arial" w:hAnsi="Arial"/>
          <w:color w:val="333333"/>
          <w:sz w:val="22"/>
          <w:szCs w:val="22"/>
        </w:rPr>
        <w:t xml:space="preserve">Tables: improvements, additional items, total deductions</w:t>
      </w:r>
    </w:p>
    <w:p>
      <w:pPr>
        <w:pStyle w:val="ListParagraph"/>
        <w:numPr>
          <w:ilvl w:val="0"/>
          <w:numId w:val="5"/>
        </w:numPr>
        <w:spacing w:after="60"/>
      </w:pPr>
      <w:r>
        <w:rPr>
          <w:rFonts w:ascii="Arial" w:cs="Arial" w:eastAsia="Arial" w:hAnsi="Arial"/>
          <w:color w:val="333333"/>
          <w:sz w:val="22"/>
          <w:szCs w:val="22"/>
        </w:rPr>
        <w:t xml:space="preserve">Automatic computation: unit values, adjustments, and assessed values</w:t>
      </w:r>
    </w:p>
    <w:p>
      <w:pPr>
        <w:pStyle w:val="ListParagraph"/>
        <w:numPr>
          <w:ilvl w:val="0"/>
          <w:numId w:val="5"/>
        </w:numPr>
        <w:spacing w:after="60"/>
      </w:pPr>
      <w:r>
        <w:rPr>
          <w:rFonts w:ascii="Arial" w:cs="Arial" w:eastAsia="Arial" w:hAnsi="Arial"/>
          <w:color w:val="333333"/>
          <w:sz w:val="22"/>
          <w:szCs w:val="22"/>
        </w:rPr>
        <w:t xml:space="preserve">Per-step save (draft mode)</w:t>
      </w:r>
    </w:p>
    <w:p>
      <w:pPr>
        <w:pStyle w:val="ListParagraph"/>
        <w:numPr>
          <w:ilvl w:val="0"/>
          <w:numId w:val="5"/>
        </w:numPr>
        <w:spacing w:after="60"/>
      </w:pPr>
      <w:r>
        <w:rPr>
          <w:rFonts w:ascii="Arial" w:cs="Arial" w:eastAsia="Arial" w:hAnsi="Arial"/>
          <w:color w:val="333333"/>
          <w:sz w:val="22"/>
          <w:szCs w:val="22"/>
        </w:rPr>
        <w:t xml:space="preserve">Edit drafts at any step</w:t>
      </w:r>
    </w:p>
    <w:p>
      <w:pPr>
        <w:pStyle w:val="ListParagraph"/>
        <w:numPr>
          <w:ilvl w:val="0"/>
          <w:numId w:val="5"/>
        </w:numPr>
        <w:spacing w:after="60"/>
      </w:pPr>
      <w:r>
        <w:rPr>
          <w:rFonts w:ascii="Arial" w:cs="Arial" w:eastAsia="Arial" w:hAnsi="Arial"/>
          <w:color w:val="333333"/>
          <w:sz w:val="22"/>
          <w:szCs w:val="22"/>
        </w:rPr>
        <w:t xml:space="preserve">Print preview before submission</w:t>
      </w:r>
    </w:p>
    <w:p>
      <w:pPr>
        <w:spacing w:after="120"/>
      </w:pPr>
      <w:r>
        <w:rPr>
          <w:rFonts w:ascii="Arial" w:cs="Arial" w:eastAsia="Arial" w:hAnsi="Arial"/>
          <w:b/>
          <w:bCs/>
          <w:color w:val="333333"/>
          <w:sz w:val="22"/>
          <w:szCs w:val="22"/>
        </w:rPr>
        <w:t xml:space="preserve">C. Machinery FAAS</w:t>
      </w:r>
    </w:p>
    <w:p>
      <w:pPr>
        <w:pStyle w:val="ListParagraph"/>
        <w:numPr>
          <w:ilvl w:val="0"/>
          <w:numId w:val="6"/>
        </w:numPr>
        <w:spacing w:after="60"/>
      </w:pPr>
      <w:r>
        <w:rPr>
          <w:rFonts w:ascii="Arial" w:cs="Arial" w:eastAsia="Arial" w:hAnsi="Arial"/>
          <w:color w:val="333333"/>
          <w:sz w:val="22"/>
          <w:szCs w:val="22"/>
        </w:rPr>
        <w:t xml:space="preserve">Form for machinery and equipment assessments</w:t>
      </w:r>
    </w:p>
    <w:p>
      <w:pPr>
        <w:pStyle w:val="ListParagraph"/>
        <w:numPr>
          <w:ilvl w:val="0"/>
          <w:numId w:val="6"/>
        </w:numPr>
        <w:spacing w:after="60"/>
      </w:pPr>
      <w:r>
        <w:rPr>
          <w:rFonts w:ascii="Arial" w:cs="Arial" w:eastAsia="Arial" w:hAnsi="Arial"/>
          <w:color w:val="333333"/>
          <w:sz w:val="22"/>
          <w:szCs w:val="22"/>
        </w:rPr>
        <w:t xml:space="preserve">Linked to property and owner records</w:t>
      </w:r>
    </w:p>
    <w:p>
      <w:pPr>
        <w:pStyle w:val="Heading3"/>
      </w:pPr>
      <w:r>
        <w:t xml:space="preserve">7.1.3 Tax Declaration Management</w:t>
      </w:r>
    </w:p>
    <w:p>
      <w:pPr>
        <w:pStyle w:val="ListParagraph"/>
        <w:numPr>
          <w:ilvl w:val="0"/>
          <w:numId w:val="7"/>
        </w:numPr>
        <w:spacing w:after="60"/>
      </w:pPr>
      <w:r>
        <w:rPr>
          <w:rFonts w:ascii="Arial" w:cs="Arial" w:eastAsia="Arial" w:hAnsi="Arial"/>
          <w:color w:val="333333"/>
          <w:sz w:val="22"/>
          <w:szCs w:val="22"/>
        </w:rPr>
        <w:t xml:space="preserve">New Tax Declaration (TD) linked to approved FAAS</w:t>
      </w:r>
    </w:p>
    <w:p>
      <w:pPr>
        <w:pStyle w:val="ListParagraph"/>
        <w:numPr>
          <w:ilvl w:val="0"/>
          <w:numId w:val="7"/>
        </w:numPr>
        <w:spacing w:after="60"/>
      </w:pPr>
      <w:r>
        <w:rPr>
          <w:rFonts w:ascii="Arial" w:cs="Arial" w:eastAsia="Arial" w:hAnsi="Arial"/>
          <w:color w:val="333333"/>
          <w:sz w:val="22"/>
          <w:szCs w:val="22"/>
        </w:rPr>
        <w:t xml:space="preserve">Revision TD (when assessment changes)</w:t>
      </w:r>
    </w:p>
    <w:p>
      <w:pPr>
        <w:pStyle w:val="ListParagraph"/>
        <w:numPr>
          <w:ilvl w:val="0"/>
          <w:numId w:val="7"/>
        </w:numPr>
        <w:spacing w:after="60"/>
      </w:pPr>
      <w:r>
        <w:rPr>
          <w:rFonts w:ascii="Arial" w:cs="Arial" w:eastAsia="Arial" w:hAnsi="Arial"/>
          <w:color w:val="333333"/>
          <w:sz w:val="22"/>
          <w:szCs w:val="22"/>
        </w:rPr>
        <w:t xml:space="preserve">Cancellation TD (when property is cancelled)</w:t>
      </w:r>
    </w:p>
    <w:p>
      <w:pPr>
        <w:pStyle w:val="ListParagraph"/>
        <w:numPr>
          <w:ilvl w:val="0"/>
          <w:numId w:val="7"/>
        </w:numPr>
        <w:spacing w:after="60"/>
      </w:pPr>
      <w:r>
        <w:rPr>
          <w:rFonts w:ascii="Arial" w:cs="Arial" w:eastAsia="Arial" w:hAnsi="Arial"/>
          <w:color w:val="333333"/>
          <w:sz w:val="22"/>
          <w:szCs w:val="22"/>
        </w:rPr>
        <w:t xml:space="preserve">Property Transfer TD (change of ownership)</w:t>
      </w:r>
    </w:p>
    <w:p>
      <w:pPr>
        <w:pStyle w:val="ListParagraph"/>
        <w:numPr>
          <w:ilvl w:val="0"/>
          <w:numId w:val="7"/>
        </w:numPr>
        <w:spacing w:after="60"/>
      </w:pPr>
      <w:r>
        <w:rPr>
          <w:rFonts w:ascii="Arial" w:cs="Arial" w:eastAsia="Arial" w:hAnsi="Arial"/>
          <w:color w:val="333333"/>
          <w:sz w:val="22"/>
          <w:szCs w:val="22"/>
        </w:rPr>
        <w:t xml:space="preserve">Auto-generation of TD numbers per municipality</w:t>
      </w:r>
    </w:p>
    <w:p>
      <w:pPr>
        <w:pStyle w:val="ListParagraph"/>
        <w:numPr>
          <w:ilvl w:val="0"/>
          <w:numId w:val="7"/>
        </w:numPr>
        <w:spacing w:after="60"/>
      </w:pPr>
      <w:r>
        <w:rPr>
          <w:rFonts w:ascii="Arial" w:cs="Arial" w:eastAsia="Arial" w:hAnsi="Arial"/>
          <w:color w:val="333333"/>
          <w:sz w:val="22"/>
          <w:szCs w:val="22"/>
        </w:rPr>
        <w:t xml:space="preserve">Full chain-of-ownership history per property</w:t>
      </w:r>
    </w:p>
    <w:p>
      <w:pPr>
        <w:pStyle w:val="Heading3"/>
      </w:pPr>
      <w:r>
        <w:t xml:space="preserve">7.1.4 Schedule of Market Values (SMV) Reference Tables</w:t>
      </w:r>
    </w:p>
    <w:p>
      <w:pPr>
        <w:pStyle w:val="ListParagraph"/>
        <w:numPr>
          <w:ilvl w:val="0"/>
          <w:numId w:val="8"/>
        </w:numPr>
        <w:spacing w:after="60"/>
      </w:pPr>
      <w:r>
        <w:rPr>
          <w:rFonts w:ascii="Arial" w:cs="Arial" w:eastAsia="Arial" w:hAnsi="Arial"/>
          <w:color w:val="333333"/>
          <w:sz w:val="22"/>
          <w:szCs w:val="22"/>
        </w:rPr>
        <w:t xml:space="preserve">Read-only reference data used during form filling</w:t>
      </w:r>
    </w:p>
    <w:p>
      <w:pPr>
        <w:pStyle w:val="ListParagraph"/>
        <w:numPr>
          <w:ilvl w:val="0"/>
          <w:numId w:val="8"/>
        </w:numPr>
        <w:spacing w:after="60"/>
      </w:pPr>
      <w:r>
        <w:rPr>
          <w:rFonts w:ascii="Arial" w:cs="Arial" w:eastAsia="Arial" w:hAnsi="Arial"/>
          <w:color w:val="333333"/>
          <w:sz w:val="22"/>
          <w:szCs w:val="22"/>
        </w:rPr>
        <w:t xml:space="preserve">All 10 municipalities covered</w:t>
      </w:r>
    </w:p>
    <w:p>
      <w:pPr>
        <w:pStyle w:val="ListParagraph"/>
        <w:numPr>
          <w:ilvl w:val="0"/>
          <w:numId w:val="8"/>
        </w:numPr>
        <w:spacing w:after="60"/>
      </w:pPr>
      <w:r>
        <w:rPr>
          <w:rFonts w:ascii="Arial" w:cs="Arial" w:eastAsia="Arial" w:hAnsi="Arial"/>
          <w:color w:val="333333"/>
          <w:sz w:val="22"/>
          <w:szCs w:val="22"/>
        </w:rPr>
        <w:t xml:space="preserve">Land types: commercial, residential, agricultural</w:t>
      </w:r>
    </w:p>
    <w:p>
      <w:pPr>
        <w:pStyle w:val="ListParagraph"/>
        <w:numPr>
          <w:ilvl w:val="0"/>
          <w:numId w:val="8"/>
        </w:numPr>
        <w:spacing w:after="60"/>
      </w:pPr>
      <w:r>
        <w:rPr>
          <w:rFonts w:ascii="Arial" w:cs="Arial" w:eastAsia="Arial" w:hAnsi="Arial"/>
          <w:color w:val="333333"/>
          <w:sz w:val="22"/>
          <w:szCs w:val="22"/>
        </w:rPr>
        <w:t xml:space="preserve">Agricultural improvements: fruit trees, perennial crops</w:t>
      </w:r>
    </w:p>
    <w:p>
      <w:pPr>
        <w:pStyle w:val="ListParagraph"/>
        <w:numPr>
          <w:ilvl w:val="0"/>
          <w:numId w:val="8"/>
        </w:numPr>
        <w:spacing w:after="60"/>
      </w:pPr>
      <w:r>
        <w:rPr>
          <w:rFonts w:ascii="Arial" w:cs="Arial" w:eastAsia="Arial" w:hAnsi="Arial"/>
          <w:color w:val="333333"/>
          <w:sz w:val="22"/>
          <w:szCs w:val="22"/>
        </w:rPr>
        <w:t xml:space="preserve">Historical valuations: 2006 and 2012 data for comparison</w:t>
      </w:r>
    </w:p>
    <w:p>
      <w:pPr>
        <w:pStyle w:val="Heading3"/>
      </w:pPr>
      <w:r>
        <w:t xml:space="preserve">7.1.5 Submission, Review &amp; Approval Workflow</w:t>
      </w:r>
    </w:p>
    <w:p>
      <w:pPr>
        <w:spacing w:after="120"/>
      </w:pPr>
      <w:r>
        <w:rPr>
          <w:rFonts w:ascii="Arial" w:cs="Arial" w:eastAsia="Arial" w:hAnsi="Arial"/>
          <w:color w:val="333333"/>
          <w:sz w:val="22"/>
          <w:szCs w:val="22"/>
        </w:rPr>
        <w:t xml:space="preserve">Status flow:</w:t>
      </w:r>
    </w:p>
    <w:p>
      <w:pPr>
        <w:shd w:fill="F5F5F5" w:val="clear"/>
        <w:spacing w:after="0"/>
        <w:ind w:left="360"/>
      </w:pPr>
      <w:r>
        <w:rPr>
          <w:rFonts w:ascii="Consolas" w:cs="Consolas" w:eastAsia="Consolas" w:hAnsi="Consolas"/>
          <w:color w:val="333333"/>
          <w:sz w:val="18"/>
          <w:szCs w:val="18"/>
        </w:rPr>
        <w:t xml:space="preserve">Draft &gt; Submitted &gt; Under Review &gt; Approved / Returned / Rejected</w:t>
      </w:r>
    </w:p>
    <w:p>
      <w:pPr>
        <w:spacing w:after="60"/>
      </w:pPr>
    </w:p>
    <w:p>
      <w:pPr>
        <w:pStyle w:val="ListParagraph"/>
        <w:numPr>
          <w:ilvl w:val="0"/>
          <w:numId w:val="9"/>
        </w:numPr>
        <w:spacing w:after="60"/>
      </w:pPr>
      <w:r>
        <w:rPr>
          <w:rFonts w:ascii="Arial" w:cs="Arial" w:eastAsia="Arial" w:hAnsi="Arial"/>
          <w:color w:val="333333"/>
          <w:sz w:val="22"/>
          <w:szCs w:val="22"/>
        </w:rPr>
        <w:t xml:space="preserve">Municipal staff submits completed form for provincial review</w:t>
      </w:r>
    </w:p>
    <w:p>
      <w:pPr>
        <w:pStyle w:val="ListParagraph"/>
        <w:numPr>
          <w:ilvl w:val="0"/>
          <w:numId w:val="9"/>
        </w:numPr>
        <w:spacing w:after="60"/>
      </w:pPr>
      <w:r>
        <w:rPr>
          <w:rFonts w:ascii="Arial" w:cs="Arial" w:eastAsia="Arial" w:hAnsi="Arial"/>
          <w:color w:val="333333"/>
          <w:sz w:val="22"/>
          <w:szCs w:val="22"/>
        </w:rPr>
        <w:t xml:space="preserve">Provincial Assessor’s Office receives submission in review queue</w:t>
      </w:r>
    </w:p>
    <w:p>
      <w:pPr>
        <w:pStyle w:val="ListParagraph"/>
        <w:numPr>
          <w:ilvl w:val="0"/>
          <w:numId w:val="9"/>
        </w:numPr>
        <w:spacing w:after="60"/>
      </w:pPr>
      <w:r>
        <w:rPr>
          <w:rFonts w:ascii="Arial" w:cs="Arial" w:eastAsia="Arial" w:hAnsi="Arial"/>
          <w:color w:val="333333"/>
          <w:sz w:val="22"/>
          <w:szCs w:val="22"/>
        </w:rPr>
        <w:t xml:space="preserve">Reviewer writes comments and returns form for revision, or approves</w:t>
      </w:r>
    </w:p>
    <w:p>
      <w:pPr>
        <w:pStyle w:val="ListParagraph"/>
        <w:numPr>
          <w:ilvl w:val="0"/>
          <w:numId w:val="9"/>
        </w:numPr>
        <w:spacing w:after="60"/>
      </w:pPr>
      <w:r>
        <w:rPr>
          <w:rFonts w:ascii="Arial" w:cs="Arial" w:eastAsia="Arial" w:hAnsi="Arial"/>
          <w:color w:val="333333"/>
          <w:sz w:val="22"/>
          <w:szCs w:val="22"/>
        </w:rPr>
        <w:t xml:space="preserve">Municipal staff receives notification of comments, edits, and resubmits</w:t>
      </w:r>
    </w:p>
    <w:p>
      <w:pPr>
        <w:pStyle w:val="ListParagraph"/>
        <w:numPr>
          <w:ilvl w:val="0"/>
          <w:numId w:val="9"/>
        </w:numPr>
        <w:spacing w:after="60"/>
      </w:pPr>
      <w:r>
        <w:rPr>
          <w:rFonts w:ascii="Arial" w:cs="Arial" w:eastAsia="Arial" w:hAnsi="Arial"/>
          <w:color w:val="333333"/>
          <w:sz w:val="22"/>
          <w:szCs w:val="22"/>
        </w:rPr>
        <w:t xml:space="preserve">All status changes tracked with timestamps and user</w:t>
      </w:r>
    </w:p>
    <w:p>
      <w:pPr>
        <w:pStyle w:val="ListParagraph"/>
        <w:numPr>
          <w:ilvl w:val="0"/>
          <w:numId w:val="9"/>
        </w:numPr>
        <w:spacing w:after="60"/>
      </w:pPr>
      <w:r>
        <w:rPr>
          <w:rFonts w:ascii="Arial" w:cs="Arial" w:eastAsia="Arial" w:hAnsi="Arial"/>
          <w:color w:val="333333"/>
          <w:sz w:val="22"/>
          <w:szCs w:val="22"/>
        </w:rPr>
        <w:t xml:space="preserve">Full comment history visible per form</w:t>
      </w:r>
    </w:p>
    <w:p>
      <w:pPr>
        <w:pStyle w:val="Heading3"/>
      </w:pPr>
      <w:r>
        <w:t xml:space="preserve">7.1.6 Digital Signature</w:t>
      </w:r>
    </w:p>
    <w:p>
      <w:pPr>
        <w:pStyle w:val="ListParagraph"/>
        <w:numPr>
          <w:ilvl w:val="0"/>
          <w:numId w:val="10"/>
        </w:numPr>
        <w:spacing w:after="60"/>
      </w:pPr>
      <w:r>
        <w:rPr>
          <w:rFonts w:ascii="Arial" w:cs="Arial" w:eastAsia="Arial" w:hAnsi="Arial"/>
          <w:color w:val="333333"/>
          <w:sz w:val="22"/>
          <w:szCs w:val="22"/>
        </w:rPr>
        <w:t xml:space="preserve">Provincial Assessor applies digital signature to approved RPFAAS forms</w:t>
      </w:r>
    </w:p>
    <w:p>
      <w:pPr>
        <w:pStyle w:val="ListParagraph"/>
        <w:numPr>
          <w:ilvl w:val="0"/>
          <w:numId w:val="10"/>
        </w:numPr>
        <w:spacing w:after="60"/>
      </w:pPr>
      <w:r>
        <w:rPr>
          <w:rFonts w:ascii="Arial" w:cs="Arial" w:eastAsia="Arial" w:hAnsi="Arial"/>
          <w:color w:val="333333"/>
          <w:sz w:val="22"/>
          <w:szCs w:val="22"/>
        </w:rPr>
        <w:t xml:space="preserve">Signature is embedded into the printed/PDF document</w:t>
      </w:r>
    </w:p>
    <w:p>
      <w:pPr>
        <w:pStyle w:val="ListParagraph"/>
        <w:numPr>
          <w:ilvl w:val="0"/>
          <w:numId w:val="10"/>
        </w:numPr>
        <w:spacing w:after="60"/>
      </w:pPr>
      <w:r>
        <w:rPr>
          <w:rFonts w:ascii="Arial" w:cs="Arial" w:eastAsia="Arial" w:hAnsi="Arial"/>
          <w:color w:val="333333"/>
          <w:sz w:val="22"/>
          <w:szCs w:val="22"/>
        </w:rPr>
        <w:t xml:space="preserve">Signed document serves as the official approved record</w:t>
      </w:r>
    </w:p>
    <w:p>
      <w:pPr>
        <w:pStyle w:val="ListParagraph"/>
        <w:numPr>
          <w:ilvl w:val="0"/>
          <w:numId w:val="10"/>
        </w:numPr>
        <w:spacing w:after="60"/>
      </w:pPr>
      <w:r>
        <w:rPr>
          <w:rFonts w:ascii="Arial" w:cs="Arial" w:eastAsia="Arial" w:hAnsi="Arial"/>
          <w:color w:val="333333"/>
          <w:sz w:val="22"/>
          <w:szCs w:val="22"/>
        </w:rPr>
        <w:t xml:space="preserve">Validates authenticity of the approval</w:t>
      </w:r>
    </w:p>
    <w:p>
      <w:pPr>
        <w:pStyle w:val="Heading3"/>
      </w:pPr>
      <w:r>
        <w:t xml:space="preserve">7.1.7 Letter Generation</w:t>
      </w:r>
    </w:p>
    <w:p>
      <w:pPr>
        <w:spacing w:after="120"/>
      </w:pPr>
      <w:r>
        <w:rPr>
          <w:rFonts w:ascii="Arial" w:cs="Arial" w:eastAsia="Arial" w:hAnsi="Arial"/>
          <w:b/>
          <w:bCs/>
          <w:color w:val="333333"/>
          <w:sz w:val="22"/>
          <w:szCs w:val="22"/>
        </w:rPr>
        <w:t xml:space="preserve">Cancellation of Real Property Tax Letters</w:t>
      </w:r>
    </w:p>
    <w:p>
      <w:pPr>
        <w:pStyle w:val="ListParagraph"/>
        <w:numPr>
          <w:ilvl w:val="0"/>
          <w:numId w:val="11"/>
        </w:numPr>
        <w:spacing w:after="60"/>
      </w:pPr>
      <w:r>
        <w:rPr>
          <w:rFonts w:ascii="Arial" w:cs="Arial" w:eastAsia="Arial" w:hAnsi="Arial"/>
          <w:color w:val="333333"/>
          <w:sz w:val="22"/>
          <w:szCs w:val="22"/>
        </w:rPr>
        <w:t xml:space="preserve">Search for subject property by: ARP No., PIN, owner name, municipality, barangay</w:t>
      </w:r>
    </w:p>
    <w:p>
      <w:pPr>
        <w:pStyle w:val="ListParagraph"/>
        <w:numPr>
          <w:ilvl w:val="0"/>
          <w:numId w:val="11"/>
        </w:numPr>
        <w:spacing w:after="60"/>
      </w:pPr>
      <w:r>
        <w:rPr>
          <w:rFonts w:ascii="Arial" w:cs="Arial" w:eastAsia="Arial" w:hAnsi="Arial"/>
          <w:color w:val="333333"/>
          <w:sz w:val="22"/>
          <w:szCs w:val="22"/>
        </w:rPr>
        <w:t xml:space="preserve">Validate property record exists and is in approved status</w:t>
      </w:r>
    </w:p>
    <w:p>
      <w:pPr>
        <w:pStyle w:val="ListParagraph"/>
        <w:numPr>
          <w:ilvl w:val="0"/>
          <w:numId w:val="11"/>
        </w:numPr>
        <w:spacing w:after="60"/>
      </w:pPr>
      <w:r>
        <w:rPr>
          <w:rFonts w:ascii="Arial" w:cs="Arial" w:eastAsia="Arial" w:hAnsi="Arial"/>
          <w:color w:val="333333"/>
          <w:sz w:val="22"/>
          <w:szCs w:val="22"/>
        </w:rPr>
        <w:t xml:space="preserve">Auto-populate letter from FAAS record: owner name, address, ARP No., PIN, classification, assessed value</w:t>
      </w:r>
    </w:p>
    <w:p>
      <w:pPr>
        <w:spacing w:after="120"/>
      </w:pPr>
      <w:r>
        <w:rPr>
          <w:rFonts w:ascii="Arial" w:cs="Arial" w:eastAsia="Arial" w:hAnsi="Arial"/>
          <w:color w:val="333333"/>
          <w:sz w:val="22"/>
          <w:szCs w:val="22"/>
        </w:rPr>
        <w:t xml:space="preserve">Grounds for cancellation:</w:t>
      </w:r>
    </w:p>
    <w:p>
      <w:pPr>
        <w:pStyle w:val="ListParagraph"/>
        <w:numPr>
          <w:ilvl w:val="0"/>
          <w:numId w:val="12"/>
        </w:numPr>
        <w:spacing w:after="40"/>
      </w:pPr>
      <w:r>
        <w:rPr>
          <w:rFonts w:ascii="Arial" w:cs="Arial" w:eastAsia="Arial" w:hAnsi="Arial"/>
          <w:color w:val="333333"/>
          <w:sz w:val="20"/>
          <w:szCs w:val="20"/>
        </w:rPr>
        <w:t xml:space="preserve">Erroneous assessment</w:t>
      </w:r>
    </w:p>
    <w:p>
      <w:pPr>
        <w:pStyle w:val="ListParagraph"/>
        <w:numPr>
          <w:ilvl w:val="0"/>
          <w:numId w:val="12"/>
        </w:numPr>
        <w:spacing w:after="40"/>
      </w:pPr>
      <w:r>
        <w:rPr>
          <w:rFonts w:ascii="Arial" w:cs="Arial" w:eastAsia="Arial" w:hAnsi="Arial"/>
          <w:color w:val="333333"/>
          <w:sz w:val="20"/>
          <w:szCs w:val="20"/>
        </w:rPr>
        <w:t xml:space="preserve">Duplicate tax declaration</w:t>
      </w:r>
    </w:p>
    <w:p>
      <w:pPr>
        <w:pStyle w:val="ListParagraph"/>
        <w:numPr>
          <w:ilvl w:val="0"/>
          <w:numId w:val="12"/>
        </w:numPr>
        <w:spacing w:after="40"/>
      </w:pPr>
      <w:r>
        <w:rPr>
          <w:rFonts w:ascii="Arial" w:cs="Arial" w:eastAsia="Arial" w:hAnsi="Arial"/>
          <w:color w:val="333333"/>
          <w:sz w:val="20"/>
          <w:szCs w:val="20"/>
        </w:rPr>
        <w:t xml:space="preserve">Demolition / complete destruction</w:t>
      </w:r>
    </w:p>
    <w:p>
      <w:pPr>
        <w:pStyle w:val="ListParagraph"/>
        <w:numPr>
          <w:ilvl w:val="0"/>
          <w:numId w:val="12"/>
        </w:numPr>
        <w:spacing w:after="40"/>
      </w:pPr>
      <w:r>
        <w:rPr>
          <w:rFonts w:ascii="Arial" w:cs="Arial" w:eastAsia="Arial" w:hAnsi="Arial"/>
          <w:color w:val="333333"/>
          <w:sz w:val="20"/>
          <w:szCs w:val="20"/>
        </w:rPr>
        <w:t xml:space="preserve">Transfer of ownership</w:t>
      </w:r>
    </w:p>
    <w:p>
      <w:pPr>
        <w:pStyle w:val="ListParagraph"/>
        <w:numPr>
          <w:ilvl w:val="0"/>
          <w:numId w:val="12"/>
        </w:numPr>
        <w:spacing w:after="40"/>
      </w:pPr>
      <w:r>
        <w:rPr>
          <w:rFonts w:ascii="Arial" w:cs="Arial" w:eastAsia="Arial" w:hAnsi="Arial"/>
          <w:color w:val="333333"/>
          <w:sz w:val="20"/>
          <w:szCs w:val="20"/>
        </w:rPr>
        <w:t xml:space="preserve">Other (with remarks)</w:t>
      </w:r>
    </w:p>
    <w:p>
      <w:pPr>
        <w:pStyle w:val="ListParagraph"/>
        <w:numPr>
          <w:ilvl w:val="0"/>
          <w:numId w:val="11"/>
        </w:numPr>
        <w:spacing w:after="60"/>
      </w:pPr>
      <w:r>
        <w:rPr>
          <w:rFonts w:ascii="Arial" w:cs="Arial" w:eastAsia="Arial" w:hAnsi="Arial"/>
          <w:color w:val="333333"/>
          <w:sz w:val="22"/>
          <w:szCs w:val="22"/>
        </w:rPr>
        <w:t xml:space="preserve">Letter preview before printing</w:t>
      </w:r>
    </w:p>
    <w:p>
      <w:pPr>
        <w:pStyle w:val="ListParagraph"/>
        <w:numPr>
          <w:ilvl w:val="0"/>
          <w:numId w:val="11"/>
        </w:numPr>
        <w:spacing w:after="60"/>
      </w:pPr>
      <w:r>
        <w:rPr>
          <w:rFonts w:ascii="Arial" w:cs="Arial" w:eastAsia="Arial" w:hAnsi="Arial"/>
          <w:color w:val="333333"/>
          <w:sz w:val="22"/>
          <w:szCs w:val="22"/>
        </w:rPr>
        <w:t xml:space="preserve">Print-ready official format output</w:t>
      </w:r>
    </w:p>
    <w:p>
      <w:pPr>
        <w:pStyle w:val="ListParagraph"/>
        <w:numPr>
          <w:ilvl w:val="0"/>
          <w:numId w:val="11"/>
        </w:numPr>
        <w:spacing w:after="60"/>
      </w:pPr>
      <w:r>
        <w:rPr>
          <w:rFonts w:ascii="Arial" w:cs="Arial" w:eastAsia="Arial" w:hAnsi="Arial"/>
          <w:color w:val="333333"/>
          <w:sz w:val="22"/>
          <w:szCs w:val="22"/>
        </w:rPr>
        <w:t xml:space="preserve">Log of all generated letters per property</w:t>
      </w:r>
    </w:p>
    <w:p>
      <w:pPr>
        <w:spacing w:after="60"/>
      </w:pPr>
    </w:p>
    <w:p>
      <w:pPr>
        <w:spacing w:after="120"/>
      </w:pPr>
      <w:r>
        <w:rPr>
          <w:rFonts w:ascii="Arial" w:cs="Arial" w:eastAsia="Arial" w:hAnsi="Arial"/>
          <w:b/>
          <w:bCs/>
          <w:color w:val="333333"/>
          <w:sz w:val="22"/>
          <w:szCs w:val="22"/>
        </w:rPr>
        <w:t xml:space="preserve">RPFAAS Letter Search &amp; Validate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Search RPFAAS records by ARP No., PIN, owner name, municipality, barangay, status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Validate records before attaching to correspondence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Flag incomplete or unapproved records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Check for duplicate ARP entries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Link letters to one or more RPFAAS records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Letter types: Notice of Assessment, Cancellation Notice, Request for Information, Compliance Notice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Letter status tracking: draft &gt; ready &gt; sent &gt; acknowledged</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Log: date sent, sent by, method (mail, in-person, email)</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View full letter history per property</w:t>
      </w:r>
    </w:p>
    <w:p>
      <w:pPr>
        <w:pStyle w:val="Heading3"/>
      </w:pPr>
      <w:r>
        <w:t xml:space="preserve">7.1.8 User &amp; Role Management</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Create and manage user accounts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Assign roles per user</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Assign municipality per user (non-admin users see only their municipality’s data)</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LAOO level assignment (1–4)</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Role-based feature permissions: view, create, edit, delete per form type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Audit log of all changes (who, what, when)</w:t>
      </w:r>
    </w:p>
    <w:p>
      <w:r>
        <w:br w:type="page"/>
      </w:r>
    </w:p>
    <w:p>
      <w:pPr>
        <w:pStyle w:val="Heading2"/>
      </w:pPr>
      <w:r>
        <w:t xml:space="preserve">Phase 2: Old Data Migration + Treasurer Dashboard</w:t>
      </w:r>
    </w:p>
    <w:p>
      <w:pPr>
        <w:spacing w:after="120"/>
      </w:pPr>
      <w:r>
        <w:rPr>
          <w:rFonts w:ascii="Arial" w:cs="Arial" w:eastAsia="Arial" w:hAnsi="Arial"/>
          <w:i/>
          <w:iCs/>
          <w:color w:val="333333"/>
          <w:sz w:val="22"/>
          <w:szCs w:val="22"/>
        </w:rPr>
        <w:t xml:space="preserve">Server: Mini server (same infrastructure as Phase 1)</w:t>
      </w:r>
    </w:p>
    <w:p>
      <w:pPr>
        <w:pStyle w:val="Heading3"/>
      </w:pPr>
      <w:r>
        <w:t xml:space="preserve">7.2.1 Old Data Migration</w:t>
      </w:r>
    </w:p>
    <w:p>
      <w:pPr>
        <w:spacing w:after="120"/>
      </w:pPr>
      <w:r>
        <w:rPr>
          <w:rFonts w:ascii="Arial" w:cs="Arial" w:eastAsia="Arial" w:hAnsi="Arial"/>
          <w:color w:val="333333"/>
          <w:sz w:val="22"/>
          <w:szCs w:val="22"/>
        </w:rPr>
        <w:t xml:space="preserve">Import of approximately 280,000 existing physical and paper-based records into the system. Records imported as historical / approved status (bypass standard review workflow).</w:t>
      </w:r>
    </w:p>
    <w:p>
      <w:pPr>
        <w:spacing w:after="120"/>
      </w:pPr>
      <w:r>
        <w:rPr>
          <w:rFonts w:ascii="Arial" w:cs="Arial" w:eastAsia="Arial" w:hAnsi="Arial"/>
          <w:color w:val="333333"/>
          <w:sz w:val="22"/>
          <w:szCs w:val="22"/>
        </w:rPr>
        <w:t xml:space="preserve">Tools provided:</w:t>
      </w:r>
    </w:p>
    <w:p>
      <w:pPr>
        <w:pStyle w:val="ListParagraph"/>
        <w:numPr>
          <w:ilvl w:val="0"/>
          <w:numId w:val="2"/>
        </w:numPr>
        <w:spacing w:after="60"/>
      </w:pPr>
      <w:r>
        <w:rPr>
          <w:rFonts w:ascii="Arial" w:cs="Arial" w:eastAsia="Arial" w:hAnsi="Arial"/>
          <w:b/>
          <w:bCs/>
          <w:color w:val="333333"/>
          <w:sz w:val="22"/>
          <w:szCs w:val="22"/>
        </w:rPr>
        <w:t xml:space="preserve">CSV/Excel batch import: </w:t>
      </w:r>
      <w:r>
        <w:rPr>
          <w:rFonts w:ascii="Arial" w:cs="Arial" w:eastAsia="Arial" w:hAnsi="Arial"/>
          <w:color w:val="333333"/>
          <w:sz w:val="22"/>
          <w:szCs w:val="22"/>
        </w:rPr>
        <w:t xml:space="preserve">staff encodes old records into standardized template, system bulk-imports</w:t>
      </w:r>
    </w:p>
    <w:p>
      <w:pPr>
        <w:pStyle w:val="ListParagraph"/>
        <w:numPr>
          <w:ilvl w:val="0"/>
          <w:numId w:val="2"/>
        </w:numPr>
        <w:spacing w:after="60"/>
      </w:pPr>
      <w:r>
        <w:rPr>
          <w:rFonts w:ascii="Arial" w:cs="Arial" w:eastAsia="Arial" w:hAnsi="Arial"/>
          <w:b/>
          <w:bCs/>
          <w:color w:val="333333"/>
          <w:sz w:val="22"/>
          <w:szCs w:val="22"/>
        </w:rPr>
        <w:t xml:space="preserve">Fast-entry data entry interface: </w:t>
      </w:r>
      <w:r>
        <w:rPr>
          <w:rFonts w:ascii="Arial" w:cs="Arial" w:eastAsia="Arial" w:hAnsi="Arial"/>
          <w:color w:val="333333"/>
          <w:sz w:val="22"/>
          <w:szCs w:val="22"/>
        </w:rPr>
        <w:t xml:space="preserve">simplified form for encoding existing records quickly</w:t>
      </w:r>
    </w:p>
    <w:p>
      <w:pPr>
        <w:spacing w:after="120"/>
      </w:pPr>
      <w:r>
        <w:rPr>
          <w:rFonts w:ascii="Arial" w:cs="Arial" w:eastAsia="Arial" w:hAnsi="Arial"/>
          <w:color w:val="333333"/>
          <w:sz w:val="22"/>
          <w:szCs w:val="22"/>
        </w:rPr>
        <w:t xml:space="preserve">Data validation during import: duplicate detection, required fields, format checks. Import log per municipality showing records imported, errors, and skipped entries. Assigned to municipal staff per municipality for encoding their own historical data.</w:t>
      </w:r>
    </w:p>
    <w:p>
      <w:pPr>
        <w:pStyle w:val="Heading3"/>
      </w:pPr>
      <w:r>
        <w:t xml:space="preserve">7.2.2 Treasurer Dashboard</w:t>
      </w:r>
    </w:p>
    <w:p>
      <w:pPr>
        <w:spacing w:after="120"/>
      </w:pPr>
      <w:r>
        <w:rPr>
          <w:rFonts w:ascii="Arial" w:cs="Arial" w:eastAsia="Arial" w:hAnsi="Arial"/>
          <w:color w:val="333333"/>
          <w:sz w:val="22"/>
          <w:szCs w:val="22"/>
        </w:rPr>
        <w:t xml:space="preserve">Access: Read + limited write (payment status only). Data source: Central database.</w:t>
      </w:r>
    </w:p>
    <w:p>
      <w:pPr>
        <w:spacing w:after="60"/>
      </w:pPr>
    </w:p>
    <w:p>
      <w:pPr>
        <w:spacing w:after="120"/>
      </w:pPr>
      <w:r>
        <w:rPr>
          <w:rFonts w:ascii="Arial" w:cs="Arial" w:eastAsia="Arial" w:hAnsi="Arial"/>
          <w:b/>
          <w:bCs/>
          <w:color w:val="333333"/>
          <w:sz w:val="22"/>
          <w:szCs w:val="22"/>
        </w:rPr>
        <w:t xml:space="preserve">Features: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View all collectibles per municipality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Filter by: municipality, barangay, property type, classification, payment status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Collectible details per record: owner, property, ARP No., PIN, assessed value, tax due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Mark payment status: Paid / Partially Paid / Unpaid</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Record payment details: amount paid, date paid, Official Receipt (OR) number, remarks, recorded by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Payment status visible to municipal staff on their FAAS records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Collection reports per municipality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Export reports: CSV, Excel, print</w:t>
      </w:r>
    </w:p>
    <w:p>
      <w:r>
        <w:br w:type="page"/>
      </w:r>
    </w:p>
    <w:p>
      <w:pPr>
        <w:pStyle w:val="Heading2"/>
      </w:pPr>
      <w:r>
        <w:t xml:space="preserve">Phase 3: Full Production Server Setup</w:t>
      </w:r>
    </w:p>
    <w:p>
      <w:pPr>
        <w:spacing w:after="120"/>
      </w:pPr>
      <w:r>
        <w:rPr>
          <w:rFonts w:ascii="Arial" w:cs="Arial" w:eastAsia="Arial" w:hAnsi="Arial"/>
          <w:i/>
          <w:iCs/>
          <w:color w:val="333333"/>
          <w:sz w:val="22"/>
          <w:szCs w:val="22"/>
        </w:rPr>
        <w:t xml:space="preserve">Server: Dedicated production servers (next year). Additional servers: Procured as needed at Phase 3 start.</w:t>
      </w:r>
    </w:p>
    <w:p>
      <w:pPr>
        <w:pStyle w:val="Heading3"/>
      </w:pPr>
      <w:r>
        <w:t xml:space="preserve">7.3.1 Server Infrastructure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R250 #1 promoted to full production primary server</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R250 #2 configured as hot standby with automatic failover (Hyper-V Replica)</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R250 #3 retained as staging / QA environment</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R250 #4 retained as spare / disaster recovery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PostgreSQL remains single instance (no distributed DB needed given user load of 30–50 users)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RAM maxed at 32GB on primary server, dedicated to PostgreSQL</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RAID 1 minimum on primary server storage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Nightly encrypted backups to NAS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Weekly offsite backup rotation (external HDD)</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VPN tunnels active for all 10 municipal offices (DFL-870M)</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LTE backup internet at server room for failover</w:t>
      </w:r>
    </w:p>
    <w:p>
      <w:pPr>
        <w:pStyle w:val="Heading3"/>
      </w:pPr>
      <w:r>
        <w:t xml:space="preserve">7.3.2 IT Admin Panel</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Monitor server health: CPU, RAM, disk, DB connections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Manage all user accounts across all municipalities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View and export audit logs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Trigger database backup manually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Monitor VPN tunnel status per municipal office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Server failover management (promote standby to primary)</w:t>
      </w:r>
    </w:p>
    <w:p>
      <w:r>
        <w:br w:type="page"/>
      </w:r>
    </w:p>
    <w:p>
      <w:pPr>
        <w:pStyle w:val="Heading2"/>
      </w:pPr>
      <w:r>
        <w:t xml:space="preserve">Phase 4: Core Office Operations</w:t>
      </w:r>
    </w:p>
    <w:p>
      <w:pPr>
        <w:spacing w:after="120"/>
      </w:pPr>
      <w:r>
        <w:rPr>
          <w:rFonts w:ascii="Arial" w:cs="Arial" w:eastAsia="Arial" w:hAnsi="Arial"/>
          <w:color w:val="333333"/>
          <w:sz w:val="22"/>
          <w:szCs w:val="22"/>
        </w:rPr>
        <w:t xml:space="preserve">Focus: High-frequency transactions and official outputs of the Assessor’s Office.</w:t>
      </w:r>
    </w:p>
    <w:p>
      <w:pPr>
        <w:pStyle w:val="Heading3"/>
      </w:pPr>
      <w:r>
        <w:t xml:space="preserve">7.4.1 Certifications Module</w:t>
      </w:r>
    </w:p>
    <w:p>
      <w:pPr>
        <w:spacing w:after="120"/>
      </w:pPr>
      <w:r>
        <w:rPr>
          <w:rFonts w:ascii="Arial" w:cs="Arial" w:eastAsia="Arial" w:hAnsi="Arial"/>
          <w:color w:val="333333"/>
          <w:sz w:val="22"/>
          <w:szCs w:val="22"/>
        </w:rPr>
        <w:t xml:space="preserve">The most frequent transaction at the assessor’s office. Property owners request official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Type</w:t>
            </w:r>
          </w:p>
        </w:tc>
        <w:tc>
          <w:tcPr>
            <w:tcW w:type="dxa" w:w="53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True Copy of Tax Declaration</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Official copy of the TD on record</w:t>
            </w:r>
          </w:p>
        </w:tc>
      </w:tr>
      <w:tr>
        <w:tc>
          <w:tcPr>
            <w:tcW w:type="dxa" w:w="4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Certificate of Assessment</w:t>
            </w:r>
          </w:p>
        </w:tc>
        <w:tc>
          <w:tcPr>
            <w:tcW w:type="dxa" w:w="5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Confirms assessed value of a property</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Certificate of No Property</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Confirms a person has no property on record</w:t>
            </w:r>
          </w:p>
        </w:tc>
      </w:tr>
      <w:tr>
        <w:tc>
          <w:tcPr>
            <w:tcW w:type="dxa" w:w="4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Certificate of Exemption</w:t>
            </w:r>
          </w:p>
        </w:tc>
        <w:tc>
          <w:tcPr>
            <w:tcW w:type="dxa" w:w="5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Confirms property is tax-exempt</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Certificate of Transfer</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Confirms transfer of ownership was processed</w:t>
            </w:r>
          </w:p>
        </w:tc>
      </w:tr>
    </w:tbl>
    <w:p>
      <w:pPr>
        <w:spacing w:after="60"/>
      </w:pP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Request intake logged by staff (walk-in or in-person)</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Search property or person record to pull data</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Auto-generate certificate from official template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Certifying officer applies digital signature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Print-ready official format with control number</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Certification control number registry (no duplicate numbers)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Log of all issued certifications: date, requestor, type, issued by</w:t>
      </w:r>
    </w:p>
    <w:p>
      <w:pPr>
        <w:pStyle w:val="Heading3"/>
      </w:pPr>
      <w:r>
        <w:t xml:space="preserve">7.4.2 Property Ownership Registry</w:t>
      </w:r>
    </w:p>
    <w:p>
      <w:pPr>
        <w:spacing w:after="120"/>
      </w:pPr>
      <w:r>
        <w:rPr>
          <w:rFonts w:ascii="Arial" w:cs="Arial" w:eastAsia="Arial" w:hAnsi="Arial"/>
          <w:color w:val="333333"/>
          <w:sz w:val="22"/>
          <w:szCs w:val="22"/>
        </w:rPr>
        <w:t xml:space="preserve">Full authoritative registry of all real properties beyond FAAS: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Property profile: PIN, location, lot area, title number (TCT/OCT), owner</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Linked to all FAAS records, TDs, and transfer history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Attach supporting documents: title, deed of sale, extrajudicial settlement</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Full chain of ownership (all past owners per property)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Flag properties with pending transactions (transfer, subdivision, consolidation)</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Coordination status with Register of Deeds (verified / unverified title)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Search by owner name, PIN, ARP No., title number, barangay</w:t>
      </w:r>
    </w:p>
    <w:p>
      <w:pPr>
        <w:spacing w:after="120"/>
      </w:pPr>
      <w:r>
        <w:rPr>
          <w:rFonts w:ascii="Arial" w:cs="Arial" w:eastAsia="Arial" w:hAnsi="Arial"/>
          <w:b/>
          <w:bCs/>
          <w:color w:val="333333"/>
          <w:sz w:val="22"/>
          <w:szCs w:val="22"/>
        </w:rPr>
        <w:t xml:space="preserve">Title History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Mother title tracking (the original title the property was derived from)</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Title number history: TCT/OCT numbers across all transfers (OCT to TCT progression)</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Title annotations: mortgages, liens, and encumbrances recorded on the title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Subdivision history: titles generated when a lot was subdivided</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Consolidation history: titles cancelled and new title issued upon consolidation</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Title status: clean, with annotation, cancelled, under litigation</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Register of Deeds reference: RoD entry number and date of registration</w:t>
      </w:r>
    </w:p>
    <w:p>
      <w:pPr>
        <w:pStyle w:val="Heading3"/>
      </w:pPr>
      <w:r>
        <w:t xml:space="preserve">7.4.3 Sworn Statement of Property Values (SSPV)</w:t>
      </w:r>
    </w:p>
    <w:p>
      <w:pPr>
        <w:spacing w:after="120"/>
      </w:pPr>
      <w:r>
        <w:rPr>
          <w:rFonts w:ascii="Arial" w:cs="Arial" w:eastAsia="Arial" w:hAnsi="Arial"/>
          <w:color w:val="333333"/>
          <w:sz w:val="22"/>
          <w:szCs w:val="22"/>
        </w:rPr>
        <w:t xml:space="preserve">Required annual declaration by property owners under RA 7160. The system logs SSPV submissions per property owner and property, tracks compliance status (submitted, not yet submitted, overdue), links SSPV to corresponding property records, generates lists of non-compliant property owners per municipality, and supports reminder notices and SSPV history per property owner.</w:t>
      </w:r>
    </w:p>
    <w:p>
      <w:pPr>
        <w:pStyle w:val="Heading3"/>
      </w:pPr>
      <w:r>
        <w:t xml:space="preserve">7.4.4 Tax Mapping Operations</w:t>
      </w:r>
    </w:p>
    <w:p>
      <w:pPr>
        <w:spacing w:after="120"/>
      </w:pPr>
      <w:r>
        <w:rPr>
          <w:rFonts w:ascii="Arial" w:cs="Arial" w:eastAsia="Arial" w:hAnsi="Arial"/>
          <w:color w:val="333333"/>
          <w:sz w:val="22"/>
          <w:szCs w:val="22"/>
        </w:rPr>
        <w:t xml:space="preserve">Core assessor function for managing the physical and digital tax map:</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Parcel index cards per barangay (digital version of physical index cards)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Tax map sheet management (track map sheets per municipality)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Field inspection scheduling: assign tax mapper, set date, track status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Field inspection records: date, findings, photos attached to FAAS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Barangay property index (complete list of all parcels per barangay)</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Track unassessed parcels (properties with no FAAS on record)</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Field inspection report generation</w:t>
      </w:r>
    </w:p>
    <w:p>
      <w:pPr>
        <w:pStyle w:val="Heading3"/>
      </w:pPr>
      <w:r>
        <w:t xml:space="preserve">7.4.5 Assessment Notices &amp; Billing Statements</w:t>
      </w:r>
    </w:p>
    <w:p>
      <w:pPr>
        <w:spacing w:after="120"/>
      </w:pPr>
      <w:r>
        <w:rPr>
          <w:rFonts w:ascii="Arial" w:cs="Arial" w:eastAsia="Arial" w:hAnsi="Arial"/>
          <w:color w:val="333333"/>
          <w:sz w:val="22"/>
          <w:szCs w:val="22"/>
        </w:rPr>
        <w:t xml:space="preserve">Auto-generate Notice of Assessment from approved FAAS and TD. Annual Real Property Tax billing statements. Print-ready official format.</w:t>
      </w:r>
    </w:p>
    <w:p>
      <w:pPr>
        <w:pStyle w:val="Heading3"/>
      </w:pPr>
      <w:r>
        <w:t xml:space="preserve">7.4.6 Tax Exemption Management</w:t>
      </w:r>
    </w:p>
    <w:p>
      <w:pPr>
        <w:spacing w:after="120"/>
      </w:pPr>
      <w:r>
        <w:rPr>
          <w:rFonts w:ascii="Arial" w:cs="Arial" w:eastAsia="Arial" w:hAnsi="Arial"/>
          <w:color w:val="333333"/>
          <w:sz w:val="22"/>
          <w:szCs w:val="22"/>
        </w:rPr>
        <w:t xml:space="preserve">Record and track exempt properties (government, church, charitable institutions). Includes exemption type, certificate number, validity period. Flagged during assessment and excluded from collectibles sent to Treasurer.</w:t>
      </w:r>
    </w:p>
    <w:p>
      <w:pPr>
        <w:pStyle w:val="Heading3"/>
      </w:pPr>
      <w:r>
        <w:t xml:space="preserve">7.4.7 Delinquency Module</w:t>
      </w:r>
    </w:p>
    <w:p>
      <w:pPr>
        <w:spacing w:after="120"/>
      </w:pPr>
      <w:r>
        <w:rPr>
          <w:rFonts w:ascii="Arial" w:cs="Arial" w:eastAsia="Arial" w:hAnsi="Arial"/>
          <w:color w:val="333333"/>
          <w:sz w:val="22"/>
          <w:szCs w:val="22"/>
        </w:rPr>
        <w:t xml:space="preserve">Auto-generate delinquency list based on unpaid payment status. Compute surcharges and interest automatically. Notice of Delinquency letter generation. Warrant of Levy document generation.</w:t>
      </w:r>
    </w:p>
    <w:p>
      <w:pPr>
        <w:pStyle w:val="Heading3"/>
      </w:pPr>
      <w:r>
        <w:t xml:space="preserve">7.4.8 General Revision Module</w:t>
      </w:r>
    </w:p>
    <w:p>
      <w:pPr>
        <w:spacing w:after="120"/>
      </w:pPr>
      <w:r>
        <w:rPr>
          <w:rFonts w:ascii="Arial" w:cs="Arial" w:eastAsia="Arial" w:hAnsi="Arial"/>
          <w:color w:val="333333"/>
          <w:sz w:val="22"/>
          <w:szCs w:val="22"/>
        </w:rPr>
        <w:t xml:space="preserve">Required every 3 years under RA 7160. Trigger mass revaluation based on new SMV effectivity. Generate revised FAAS records in bulk for all properties. Track revision cycle (revised, pending, skipped per property). Compare old vs. new assessed values before committing. Generate Notice of Revised Assessment for all affected property owners.</w:t>
      </w:r>
    </w:p>
    <w:p>
      <w:pPr>
        <w:pStyle w:val="Heading3"/>
      </w:pPr>
      <w:r>
        <w:t xml:space="preserve">7.4.9 Assessment Roll Generation</w:t>
      </w:r>
    </w:p>
    <w:p>
      <w:pPr>
        <w:spacing w:after="120"/>
      </w:pPr>
      <w:r>
        <w:rPr>
          <w:rFonts w:ascii="Arial" w:cs="Arial" w:eastAsia="Arial" w:hAnsi="Arial"/>
          <w:color w:val="333333"/>
          <w:sz w:val="22"/>
          <w:szCs w:val="22"/>
        </w:rPr>
        <w:t xml:space="preserve">Official annual list of all properties and assessed values. Generate complete assessment roll per municipality. Filter by classification, barangay, status, tax exemption. Print-ready format for official submission. Year-on-year comparison report.</w:t>
      </w:r>
    </w:p>
    <w:p>
      <w:pPr>
        <w:pStyle w:val="Heading3"/>
      </w:pPr>
      <w:r>
        <w:t xml:space="preserve">7.4.10 Reports &amp; Analytics Dashboard</w:t>
      </w:r>
    </w:p>
    <w:p>
      <w:pPr>
        <w:spacing w:after="120"/>
      </w:pPr>
      <w:r>
        <w:rPr>
          <w:rFonts w:ascii="Arial" w:cs="Arial" w:eastAsia="Arial" w:hAnsi="Arial"/>
          <w:color w:val="333333"/>
          <w:sz w:val="22"/>
          <w:szCs w:val="22"/>
        </w:rPr>
        <w:t xml:space="preserve">Available at each level:</w:t>
      </w:r>
    </w:p>
    <w:p>
      <w:pPr>
        <w:pStyle w:val="ListParagraph"/>
        <w:numPr>
          <w:ilvl w:val="0"/>
          <w:numId w:val="2"/>
        </w:numPr>
        <w:spacing w:after="60"/>
      </w:pPr>
      <w:r>
        <w:rPr>
          <w:rFonts w:ascii="Arial" w:cs="Arial" w:eastAsia="Arial" w:hAnsi="Arial"/>
          <w:b/>
          <w:bCs/>
          <w:color w:val="333333"/>
          <w:sz w:val="22"/>
          <w:szCs w:val="22"/>
        </w:rPr>
        <w:t xml:space="preserve">Municipal: </w:t>
      </w:r>
      <w:r>
        <w:rPr>
          <w:rFonts w:ascii="Arial" w:cs="Arial" w:eastAsia="Arial" w:hAnsi="Arial"/>
          <w:color w:val="333333"/>
          <w:sz w:val="22"/>
          <w:szCs w:val="22"/>
        </w:rPr>
        <w:t xml:space="preserve">total assessed value, forms by status, collectibles, payments received</w:t>
      </w:r>
    </w:p>
    <w:p>
      <w:pPr>
        <w:pStyle w:val="ListParagraph"/>
        <w:numPr>
          <w:ilvl w:val="0"/>
          <w:numId w:val="2"/>
        </w:numPr>
        <w:spacing w:after="60"/>
      </w:pPr>
      <w:r>
        <w:rPr>
          <w:rFonts w:ascii="Arial" w:cs="Arial" w:eastAsia="Arial" w:hAnsi="Arial"/>
          <w:b/>
          <w:bCs/>
          <w:color w:val="333333"/>
          <w:sz w:val="22"/>
          <w:szCs w:val="22"/>
        </w:rPr>
        <w:t xml:space="preserve">Provincial Assessor: </w:t>
      </w:r>
      <w:r>
        <w:rPr>
          <w:rFonts w:ascii="Arial" w:cs="Arial" w:eastAsia="Arial" w:hAnsi="Arial"/>
          <w:color w:val="333333"/>
          <w:sz w:val="22"/>
          <w:szCs w:val="22"/>
        </w:rPr>
        <w:t xml:space="preserve">cross-municipality comparison, approval rates, assessment summary by classification</w:t>
      </w:r>
    </w:p>
    <w:p>
      <w:pPr>
        <w:pStyle w:val="ListParagraph"/>
        <w:numPr>
          <w:ilvl w:val="0"/>
          <w:numId w:val="2"/>
        </w:numPr>
        <w:spacing w:after="60"/>
      </w:pPr>
      <w:r>
        <w:rPr>
          <w:rFonts w:ascii="Arial" w:cs="Arial" w:eastAsia="Arial" w:hAnsi="Arial"/>
          <w:b/>
          <w:bCs/>
          <w:color w:val="333333"/>
          <w:sz w:val="22"/>
          <w:szCs w:val="22"/>
        </w:rPr>
        <w:t xml:space="preserve">Treasurer: </w:t>
      </w:r>
      <w:r>
        <w:rPr>
          <w:rFonts w:ascii="Arial" w:cs="Arial" w:eastAsia="Arial" w:hAnsi="Arial"/>
          <w:color w:val="333333"/>
          <w:sz w:val="22"/>
          <w:szCs w:val="22"/>
        </w:rPr>
        <w:t xml:space="preserve">collection efficiency, paid vs. unpaid per municipality, by classification, by period</w:t>
      </w:r>
    </w:p>
    <w:p>
      <w:pPr>
        <w:spacing w:after="120"/>
      </w:pPr>
      <w:r>
        <w:rPr>
          <w:rFonts w:ascii="Arial" w:cs="Arial" w:eastAsia="Arial" w:hAnsi="Arial"/>
          <w:color w:val="333333"/>
          <w:sz w:val="22"/>
          <w:szCs w:val="22"/>
        </w:rPr>
        <w:t xml:space="preserve">Export formats: PDF, CSV, Excel</w:t>
      </w:r>
    </w:p>
    <w:p>
      <w:pPr>
        <w:pStyle w:val="Heading3"/>
      </w:pPr>
      <w:r>
        <w:t xml:space="preserve">7.4.11 BLGF Compliance Reports</w:t>
      </w:r>
    </w:p>
    <w:p>
      <w:pPr>
        <w:spacing w:after="120"/>
      </w:pPr>
      <w:r>
        <w:rPr>
          <w:rFonts w:ascii="Arial" w:cs="Arial" w:eastAsia="Arial" w:hAnsi="Arial"/>
          <w:color w:val="333333"/>
          <w:sz w:val="22"/>
          <w:szCs w:val="22"/>
        </w:rPr>
        <w:t xml:space="preserve">Summary of assessed values by municipality and classification. Number of new, revised, and cancelled declarations per period. Formatted for BLGF submission requirements.</w:t>
      </w:r>
    </w:p>
    <w:p>
      <w:pPr>
        <w:pStyle w:val="Heading3"/>
      </w:pPr>
      <w:r>
        <w:t xml:space="preserve">7.4.12 COA / Audit Readiness Reports</w:t>
      </w:r>
    </w:p>
    <w:p>
      <w:pPr>
        <w:spacing w:after="120"/>
      </w:pPr>
      <w:r>
        <w:rPr>
          <w:rFonts w:ascii="Arial" w:cs="Arial" w:eastAsia="Arial" w:hAnsi="Arial"/>
          <w:color w:val="333333"/>
          <w:sz w:val="22"/>
          <w:szCs w:val="22"/>
        </w:rPr>
        <w:t xml:space="preserve">Record of all approved and cancelled TDs per period. Full audit trail: who created, edited, and approved each record. List of tax-exempt properties with supporting documents. Discrepancy reports: properties with missing or conflicting data.</w:t>
      </w:r>
    </w:p>
    <w:p>
      <w:pPr>
        <w:pStyle w:val="Heading3"/>
      </w:pPr>
      <w:r>
        <w:t xml:space="preserve">7.4.13 Batch Operations</w:t>
      </w:r>
    </w:p>
    <w:p>
      <w:pPr>
        <w:spacing w:after="120"/>
      </w:pPr>
      <w:r>
        <w:rPr>
          <w:rFonts w:ascii="Arial" w:cs="Arial" w:eastAsia="Arial" w:hAnsi="Arial"/>
          <w:color w:val="333333"/>
          <w:sz w:val="22"/>
          <w:szCs w:val="22"/>
        </w:rPr>
        <w:t xml:space="preserve">Mass revaluation when new SMV takes effect. Bulk assessment notice generation. Bulk export of approved records (CSV, Excel). Bulk letter generation.</w:t>
      </w:r>
    </w:p>
    <w:p>
      <w:pPr>
        <w:pStyle w:val="Heading3"/>
      </w:pPr>
      <w:r>
        <w:t xml:space="preserve">7.4.14 SMS / Email Notifications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Notify reviewers when forms are submitted for review</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Notify municipal staff when forms are approved, returned, or rejected</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Notify property owners: new assessment, payment reminder, delinquency notice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SMS gateway integration (e.g., Semaphore for Philippine networks)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SMTP email integration</w:t>
      </w:r>
    </w:p>
    <w:p>
      <w:r>
        <w:br w:type="page"/>
      </w:r>
    </w:p>
    <w:p>
      <w:pPr>
        <w:pStyle w:val="Heading2"/>
      </w:pPr>
      <w:r>
        <w:t xml:space="preserve">Phase 5: Administrative &amp; Inter-Agency Operations</w:t>
      </w:r>
    </w:p>
    <w:p>
      <w:pPr>
        <w:spacing w:after="120"/>
      </w:pPr>
      <w:r>
        <w:rPr>
          <w:rFonts w:ascii="Arial" w:cs="Arial" w:eastAsia="Arial" w:hAnsi="Arial"/>
          <w:color w:val="333333"/>
          <w:sz w:val="22"/>
          <w:szCs w:val="22"/>
        </w:rPr>
        <w:t xml:space="preserve">Focus: Office management, coordination, and advanced property transactions.</w:t>
      </w:r>
    </w:p>
    <w:p>
      <w:pPr>
        <w:pStyle w:val="Heading3"/>
      </w:pPr>
      <w:r>
        <w:t xml:space="preserve">7.5.1 Administrative &amp; Office Records Management</w:t>
      </w:r>
    </w:p>
    <w:p>
      <w:pPr>
        <w:spacing w:after="120"/>
      </w:pPr>
      <w:r>
        <w:rPr>
          <w:rFonts w:ascii="Arial" w:cs="Arial" w:eastAsia="Arial" w:hAnsi="Arial"/>
          <w:color w:val="333333"/>
          <w:sz w:val="22"/>
          <w:szCs w:val="22"/>
        </w:rPr>
        <w:t xml:space="preserve">Day-to-day office operations:</w:t>
      </w:r>
    </w:p>
    <w:p>
      <w:pPr>
        <w:pStyle w:val="ListParagraph"/>
        <w:numPr>
          <w:ilvl w:val="0"/>
          <w:numId w:val="2"/>
        </w:numPr>
        <w:spacing w:after="60"/>
      </w:pPr>
      <w:r>
        <w:rPr>
          <w:rFonts w:ascii="Arial" w:cs="Arial" w:eastAsia="Arial" w:hAnsi="Arial"/>
          <w:b/>
          <w:bCs/>
          <w:color w:val="333333"/>
          <w:sz w:val="22"/>
          <w:szCs w:val="22"/>
        </w:rPr>
        <w:t xml:space="preserve">Incoming correspondence: </w:t>
      </w:r>
      <w:r>
        <w:rPr>
          <w:rFonts w:ascii="Arial" w:cs="Arial" w:eastAsia="Arial" w:hAnsi="Arial"/>
          <w:color w:val="333333"/>
          <w:sz w:val="22"/>
          <w:szCs w:val="22"/>
        </w:rPr>
        <w:t xml:space="preserve">log all letters, memos, and documents received (date, from, subject, assigned to, action taken)</w:t>
      </w:r>
    </w:p>
    <w:p>
      <w:pPr>
        <w:pStyle w:val="ListParagraph"/>
        <w:numPr>
          <w:ilvl w:val="0"/>
          <w:numId w:val="2"/>
        </w:numPr>
        <w:spacing w:after="60"/>
      </w:pPr>
      <w:r>
        <w:rPr>
          <w:rFonts w:ascii="Arial" w:cs="Arial" w:eastAsia="Arial" w:hAnsi="Arial"/>
          <w:b/>
          <w:bCs/>
          <w:color w:val="333333"/>
          <w:sz w:val="22"/>
          <w:szCs w:val="22"/>
        </w:rPr>
        <w:t xml:space="preserve">Outgoing correspondence: </w:t>
      </w:r>
      <w:r>
        <w:rPr>
          <w:rFonts w:ascii="Arial" w:cs="Arial" w:eastAsia="Arial" w:hAnsi="Arial"/>
          <w:color w:val="333333"/>
          <w:sz w:val="22"/>
          <w:szCs w:val="22"/>
        </w:rPr>
        <w:t xml:space="preserve">log all letters and documents sent (date, to, subject, reference number)</w:t>
      </w:r>
    </w:p>
    <w:p>
      <w:pPr>
        <w:pStyle w:val="ListParagraph"/>
        <w:numPr>
          <w:ilvl w:val="0"/>
          <w:numId w:val="2"/>
        </w:numPr>
        <w:spacing w:after="60"/>
      </w:pPr>
      <w:r>
        <w:rPr>
          <w:rFonts w:ascii="Arial" w:cs="Arial" w:eastAsia="Arial" w:hAnsi="Arial"/>
          <w:b/>
          <w:bCs/>
          <w:color w:val="333333"/>
          <w:sz w:val="22"/>
          <w:szCs w:val="22"/>
        </w:rPr>
        <w:t xml:space="preserve">Memoranda &amp; circulars: </w:t>
      </w:r>
      <w:r>
        <w:rPr>
          <w:rFonts w:ascii="Arial" w:cs="Arial" w:eastAsia="Arial" w:hAnsi="Arial"/>
          <w:color w:val="333333"/>
          <w:sz w:val="22"/>
          <w:szCs w:val="22"/>
        </w:rPr>
        <w:t xml:space="preserve">create, store, and distribute internal memos</w:t>
      </w:r>
    </w:p>
    <w:p>
      <w:pPr>
        <w:pStyle w:val="ListParagraph"/>
        <w:numPr>
          <w:ilvl w:val="0"/>
          <w:numId w:val="2"/>
        </w:numPr>
        <w:spacing w:after="60"/>
      </w:pPr>
      <w:r>
        <w:rPr>
          <w:rFonts w:ascii="Arial" w:cs="Arial" w:eastAsia="Arial" w:hAnsi="Arial"/>
          <w:b/>
          <w:bCs/>
          <w:color w:val="333333"/>
          <w:sz w:val="22"/>
          <w:szCs w:val="22"/>
        </w:rPr>
        <w:t xml:space="preserve">Document control: </w:t>
      </w:r>
      <w:r>
        <w:rPr>
          <w:rFonts w:ascii="Arial" w:cs="Arial" w:eastAsia="Arial" w:hAnsi="Arial"/>
          <w:color w:val="333333"/>
          <w:sz w:val="22"/>
          <w:szCs w:val="22"/>
        </w:rPr>
        <w:t xml:space="preserve">official documents with reference numbers and version tracking</w:t>
      </w:r>
    </w:p>
    <w:p>
      <w:pPr>
        <w:pStyle w:val="ListParagraph"/>
        <w:numPr>
          <w:ilvl w:val="0"/>
          <w:numId w:val="2"/>
        </w:numPr>
        <w:spacing w:after="60"/>
      </w:pPr>
      <w:r>
        <w:rPr>
          <w:rFonts w:ascii="Arial" w:cs="Arial" w:eastAsia="Arial" w:hAnsi="Arial"/>
          <w:b/>
          <w:bCs/>
          <w:color w:val="333333"/>
          <w:sz w:val="22"/>
          <w:szCs w:val="22"/>
        </w:rPr>
        <w:t xml:space="preserve">Action tracking: </w:t>
      </w:r>
      <w:r>
        <w:rPr>
          <w:rFonts w:ascii="Arial" w:cs="Arial" w:eastAsia="Arial" w:hAnsi="Arial"/>
          <w:color w:val="333333"/>
          <w:sz w:val="22"/>
          <w:szCs w:val="22"/>
        </w:rPr>
        <w:t xml:space="preserve">pending items, follow-ups, and deadlines per correspondence</w:t>
      </w:r>
    </w:p>
    <w:p>
      <w:pPr>
        <w:pStyle w:val="Heading3"/>
      </w:pPr>
      <w:r>
        <w:t xml:space="preserve">7.5.2 Inter-Agency Coordination Records</w:t>
      </w:r>
    </w:p>
    <w:p>
      <w:pPr>
        <w:spacing w:after="120"/>
      </w:pPr>
      <w:r>
        <w:rPr>
          <w:rFonts w:ascii="Arial" w:cs="Arial" w:eastAsia="Arial" w:hAnsi="Arial"/>
          <w:color w:val="333333"/>
          <w:sz w:val="22"/>
          <w:szCs w:val="22"/>
        </w:rPr>
        <w:t xml:space="preserve">Tracking communications and transactions with external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Agency</w:t>
            </w:r>
          </w:p>
        </w:tc>
        <w:tc>
          <w:tcPr>
            <w:tcW w:type="dxa" w:w="63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Coordination Type</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Register of Deeds</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Title verification, transfer coordination</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DENR</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Forestland classification, land patents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DAR</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Agricultural land conversion clearances</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BLGF</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Compliance reports, SMV approval</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COA</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Audit responses, document requests</w:t>
            </w:r>
          </w:p>
        </w:tc>
      </w:tr>
      <w:tr>
        <w:tc>
          <w:tcPr>
            <w:tcW w:type="dxa" w:w="3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LGU Treasurer</w:t>
            </w:r>
          </w:p>
        </w:tc>
        <w:tc>
          <w:tcPr>
            <w:tcW w:type="dxa" w:w="6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Collectibles, delinquency lists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Municipal Offices</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Form submissions, field coordination</w:t>
            </w:r>
          </w:p>
        </w:tc>
      </w:tr>
    </w:tbl>
    <w:p>
      <w:pPr>
        <w:spacing w:after="60"/>
      </w:pPr>
    </w:p>
    <w:p>
      <w:pPr>
        <w:spacing w:after="120"/>
      </w:pPr>
      <w:r>
        <w:rPr>
          <w:rFonts w:ascii="Arial" w:cs="Arial" w:eastAsia="Arial" w:hAnsi="Arial"/>
          <w:color w:val="333333"/>
          <w:sz w:val="22"/>
          <w:szCs w:val="22"/>
        </w:rPr>
        <w:t xml:space="preserve">Log all communications per agency, attach documents to each entry, track status (pending, acted upon, resolved), generate summary of pending inter-agency transactions.</w:t>
      </w:r>
    </w:p>
    <w:p>
      <w:pPr>
        <w:pStyle w:val="Heading3"/>
      </w:pPr>
      <w:r>
        <w:t xml:space="preserve">7.5.3 Property Consolidation &amp; Subdivision</w:t>
      </w:r>
    </w:p>
    <w:p>
      <w:pPr>
        <w:spacing w:after="120"/>
      </w:pPr>
      <w:r>
        <w:rPr>
          <w:rFonts w:ascii="Arial" w:cs="Arial" w:eastAsia="Arial" w:hAnsi="Arial"/>
          <w:color w:val="333333"/>
          <w:sz w:val="22"/>
          <w:szCs w:val="22"/>
        </w:rPr>
        <w:t xml:space="preserve">Consolidation: merge two or more parcels into one (cancel old TDs, create new TD). Subdivision: split one parcel into multiple (cancel original TD, create new TDs per lot). Linked to deed of partition or consolidation documents. PIN management: old PINs retired, new PINs assigned.</w:t>
      </w:r>
    </w:p>
    <w:p>
      <w:pPr>
        <w:pStyle w:val="Heading3"/>
      </w:pPr>
      <w:r>
        <w:t xml:space="preserve">7.5.4 Property Classification Change Workflow</w:t>
      </w:r>
    </w:p>
    <w:p>
      <w:pPr>
        <w:spacing w:after="120"/>
      </w:pPr>
      <w:r>
        <w:rPr>
          <w:rFonts w:ascii="Arial" w:cs="Arial" w:eastAsia="Arial" w:hAnsi="Arial"/>
          <w:color w:val="333333"/>
          <w:sz w:val="22"/>
          <w:szCs w:val="22"/>
        </w:rPr>
        <w:t xml:space="preserve">When land use changes (e.g., agricultural to residential or commercial): formal classification change request with supporting documents, linked to zoning permits or DAR conversion orders, triggers revision of FAAS and TD, generates reclassification notice to property owner.</w:t>
      </w:r>
    </w:p>
    <w:p>
      <w:pPr>
        <w:pStyle w:val="Heading3"/>
      </w:pPr>
      <w:r>
        <w:t xml:space="preserve">7.5.5 Budget &amp; Supplies Tracking</w:t>
      </w:r>
    </w:p>
    <w:p>
      <w:pPr>
        <w:pStyle w:val="ListParagraph"/>
        <w:numPr>
          <w:ilvl w:val="0"/>
          <w:numId w:val="2"/>
        </w:numPr>
        <w:spacing w:after="60"/>
      </w:pPr>
      <w:r>
        <w:rPr>
          <w:rFonts w:ascii="Arial" w:cs="Arial" w:eastAsia="Arial" w:hAnsi="Arial"/>
          <w:b/>
          <w:bCs/>
          <w:color w:val="333333"/>
          <w:sz w:val="22"/>
          <w:szCs w:val="22"/>
        </w:rPr>
        <w:t xml:space="preserve">Office supplies inventory: </w:t>
      </w:r>
      <w:r>
        <w:rPr>
          <w:rFonts w:ascii="Arial" w:cs="Arial" w:eastAsia="Arial" w:hAnsi="Arial"/>
          <w:color w:val="333333"/>
          <w:sz w:val="22"/>
          <w:szCs w:val="22"/>
        </w:rPr>
        <w:t xml:space="preserve">stock in, stock out, current balance per item</w:t>
      </w:r>
    </w:p>
    <w:p>
      <w:pPr>
        <w:pStyle w:val="ListParagraph"/>
        <w:numPr>
          <w:ilvl w:val="0"/>
          <w:numId w:val="2"/>
        </w:numPr>
        <w:spacing w:after="60"/>
      </w:pPr>
      <w:r>
        <w:rPr>
          <w:rFonts w:ascii="Arial" w:cs="Arial" w:eastAsia="Arial" w:hAnsi="Arial"/>
          <w:b/>
          <w:bCs/>
          <w:color w:val="333333"/>
          <w:sz w:val="22"/>
          <w:szCs w:val="22"/>
        </w:rPr>
        <w:t xml:space="preserve">Supply request workflow: </w:t>
      </w:r>
      <w:r>
        <w:rPr>
          <w:rFonts w:ascii="Arial" w:cs="Arial" w:eastAsia="Arial" w:hAnsi="Arial"/>
          <w:color w:val="333333"/>
          <w:sz w:val="22"/>
          <w:szCs w:val="22"/>
        </w:rPr>
        <w:t xml:space="preserve">staff requests supplies, admin approves, stock released</w:t>
      </w:r>
    </w:p>
    <w:p>
      <w:pPr>
        <w:pStyle w:val="ListParagraph"/>
        <w:numPr>
          <w:ilvl w:val="0"/>
          <w:numId w:val="2"/>
        </w:numPr>
        <w:spacing w:after="60"/>
      </w:pPr>
      <w:r>
        <w:rPr>
          <w:rFonts w:ascii="Arial" w:cs="Arial" w:eastAsia="Arial" w:hAnsi="Arial"/>
          <w:b/>
          <w:bCs/>
          <w:color w:val="333333"/>
          <w:sz w:val="22"/>
          <w:szCs w:val="22"/>
        </w:rPr>
        <w:t xml:space="preserve">Budget monitoring: </w:t>
      </w:r>
      <w:r>
        <w:rPr>
          <w:rFonts w:ascii="Arial" w:cs="Arial" w:eastAsia="Arial" w:hAnsi="Arial"/>
          <w:color w:val="333333"/>
          <w:sz w:val="22"/>
          <w:szCs w:val="22"/>
        </w:rPr>
        <w:t xml:space="preserve">quarterly budget vs. actual expenditure</w:t>
      </w:r>
    </w:p>
    <w:p>
      <w:pPr>
        <w:pStyle w:val="ListParagraph"/>
        <w:numPr>
          <w:ilvl w:val="0"/>
          <w:numId w:val="2"/>
        </w:numPr>
        <w:spacing w:after="60"/>
      </w:pPr>
      <w:r>
        <w:rPr>
          <w:rFonts w:ascii="Arial" w:cs="Arial" w:eastAsia="Arial" w:hAnsi="Arial"/>
          <w:b/>
          <w:bCs/>
          <w:color w:val="333333"/>
          <w:sz w:val="22"/>
          <w:szCs w:val="22"/>
        </w:rPr>
        <w:t xml:space="preserve">Procurement request log: </w:t>
      </w:r>
      <w:r>
        <w:rPr>
          <w:rFonts w:ascii="Arial" w:cs="Arial" w:eastAsia="Arial" w:hAnsi="Arial"/>
          <w:color w:val="333333"/>
          <w:sz w:val="22"/>
          <w:szCs w:val="22"/>
        </w:rPr>
        <w:t xml:space="preserve">items for purchase, status, amount</w:t>
      </w:r>
    </w:p>
    <w:p>
      <w:pPr>
        <w:pStyle w:val="Heading3"/>
      </w:pPr>
      <w:r>
        <w:t xml:space="preserve">7.5.6 Appeals &amp; Objections Module</w:t>
      </w:r>
    </w:p>
    <w:p>
      <w:pPr>
        <w:spacing w:after="120"/>
      </w:pPr>
      <w:r>
        <w:rPr>
          <w:rFonts w:ascii="Arial" w:cs="Arial" w:eastAsia="Arial" w:hAnsi="Arial"/>
          <w:color w:val="333333"/>
          <w:sz w:val="22"/>
          <w:szCs w:val="22"/>
        </w:rPr>
        <w:t xml:space="preserve">Property owners file assessment appeals. Linked to original FAAS and TD records. Appeal status: Filed &gt; Under Review &gt; Resolved. Resolution outcomes: upheld, revised value, dismissed. Generates official resolution letter.</w:t>
      </w:r>
    </w:p>
    <w:p>
      <w:pPr>
        <w:pStyle w:val="Heading3"/>
      </w:pPr>
      <w:r>
        <w:t xml:space="preserve">7.5.7 Document Archiving &amp; Records Management</w:t>
      </w:r>
    </w:p>
    <w:p>
      <w:pPr>
        <w:spacing w:after="120"/>
      </w:pPr>
      <w:r>
        <w:rPr>
          <w:rFonts w:ascii="Arial" w:cs="Arial" w:eastAsia="Arial" w:hAnsi="Arial"/>
          <w:color w:val="333333"/>
          <w:sz w:val="22"/>
          <w:szCs w:val="22"/>
        </w:rPr>
        <w:t xml:space="preserve">Attach scanned documents to FAAS and TD records (deeds of sale, old TDs, photos). File storage on local server. Versioned: old documents retained when records are revised. Search by property, owner, document type. Property photo attachment from field.</w:t>
      </w:r>
    </w:p>
    <w:p>
      <w:pPr>
        <w:pStyle w:val="Heading3"/>
      </w:pPr>
      <w:r>
        <w:t xml:space="preserve">7.5.8 QR Code &amp; Document Integrity</w:t>
      </w:r>
    </w:p>
    <w:p>
      <w:pPr>
        <w:spacing w:after="120"/>
      </w:pPr>
      <w:r>
        <w:rPr>
          <w:rFonts w:ascii="Arial" w:cs="Arial" w:eastAsia="Arial" w:hAnsi="Arial"/>
          <w:color w:val="333333"/>
          <w:sz w:val="22"/>
          <w:szCs w:val="22"/>
        </w:rPr>
        <w:t xml:space="preserve">QR code embedded on every printed/generated document. Scan links to verified digital record. Tamper detection if printed document is altered. Provides authenticity verification for filed documents.</w:t>
      </w:r>
    </w:p>
    <w:p>
      <w:pPr>
        <w:pStyle w:val="Heading3"/>
      </w:pPr>
      <w:r>
        <w:t xml:space="preserve">7.5.9 Inter-Office Routing &amp; Workflow</w:t>
      </w:r>
    </w:p>
    <w:p>
      <w:pPr>
        <w:spacing w:after="120"/>
      </w:pPr>
      <w:r>
        <w:rPr>
          <w:rFonts w:ascii="Arial" w:cs="Arial" w:eastAsia="Arial" w:hAnsi="Arial"/>
          <w:color w:val="333333"/>
          <w:sz w:val="22"/>
          <w:szCs w:val="22"/>
        </w:rPr>
        <w:t xml:space="preserve">Document routing between municipal office, provincial assessor, and treasurer. Digital endorsement per office level. Inbox/outbox view per role. Document pipeline tracking (see where a document is at any point). Approval chains with electronic endorsement.</w:t>
      </w:r>
    </w:p>
    <w:p>
      <w:r>
        <w:br w:type="page"/>
      </w:r>
    </w:p>
    <w:p>
      <w:pPr>
        <w:pStyle w:val="Heading2"/>
      </w:pPr>
      <w:r>
        <w:t xml:space="preserve">Phase 6: Future / Optional</w:t>
      </w:r>
    </w:p>
    <w:p>
      <w:pPr>
        <w:pStyle w:val="Heading3"/>
      </w:pPr>
      <w:r>
        <w:t xml:space="preserve">7.6.1 Executive Dashboard (Governor / Mayor)</w:t>
      </w:r>
    </w:p>
    <w:p>
      <w:pPr>
        <w:spacing w:after="120"/>
      </w:pPr>
      <w:r>
        <w:rPr>
          <w:rFonts w:ascii="Arial" w:cs="Arial" w:eastAsia="Arial" w:hAnsi="Arial"/>
          <w:color w:val="333333"/>
          <w:sz w:val="22"/>
          <w:szCs w:val="22"/>
        </w:rPr>
        <w:t xml:space="preserve">Total assessed value per municipality, collection rate vs. target, number of properties assessed this year, year-on-year growth in assessed values. Read-only (no edit access).</w:t>
      </w:r>
    </w:p>
    <w:p>
      <w:pPr>
        <w:pStyle w:val="Heading3"/>
      </w:pPr>
      <w:r>
        <w:t xml:space="preserve">7.6.2 GIS / Map Integration</w:t>
      </w:r>
    </w:p>
    <w:p>
      <w:pPr>
        <w:spacing w:after="120"/>
      </w:pPr>
      <w:r>
        <w:rPr>
          <w:rFonts w:ascii="Arial" w:cs="Arial" w:eastAsia="Arial" w:hAnsi="Arial"/>
          <w:color w:val="333333"/>
          <w:sz w:val="22"/>
          <w:szCs w:val="22"/>
        </w:rPr>
        <w:t xml:space="preserve">Plot properties on municipality map using PIN and parcel data. Visual parcel identification linked to FAAS record. Identify assessed vs. unassessed parcels. Useful for tax mappers identifying gaps in coverage. Requires cadastral map data per municipality.</w:t>
      </w:r>
    </w:p>
    <w:p>
      <w:pPr>
        <w:pStyle w:val="Heading3"/>
      </w:pPr>
      <w:r>
        <w:t xml:space="preserve">7.6.3 Mobile / Field App</w:t>
      </w:r>
    </w:p>
    <w:p>
      <w:pPr>
        <w:spacing w:after="120"/>
      </w:pPr>
      <w:r>
        <w:rPr>
          <w:rFonts w:ascii="Arial" w:cs="Arial" w:eastAsia="Arial" w:hAnsi="Arial"/>
          <w:color w:val="333333"/>
          <w:sz w:val="22"/>
          <w:szCs w:val="22"/>
        </w:rPr>
        <w:t xml:space="preserve">Mobile version for tax mappers doing field appraisals. Offline-capable: fill forms without internet, sync when back in office. Capture GPS coordinates and property photos attached to FAAS. Cross-platform: iOS and Android.</w:t>
      </w:r>
    </w:p>
    <w:p>
      <w:pPr>
        <w:pStyle w:val="Heading3"/>
      </w:pPr>
      <w:r>
        <w:t xml:space="preserve">7.6.4 Taxpayer Portal (Self-Service)</w:t>
      </w:r>
    </w:p>
    <w:p>
      <w:pPr>
        <w:spacing w:after="120"/>
      </w:pPr>
      <w:r>
        <w:rPr>
          <w:rFonts w:ascii="Arial" w:cs="Arial" w:eastAsia="Arial" w:hAnsi="Arial"/>
          <w:color w:val="333333"/>
          <w:sz w:val="22"/>
          <w:szCs w:val="22"/>
        </w:rPr>
        <w:t xml:space="preserve">Separate public-facing application. Property owners look up TD and assessed value by ARP No. or PIN. View and print billing statements. Submit requests or inquiries online. No login required for basic lookup (PIN-based access).</w:t>
      </w:r>
    </w:p>
    <w:p>
      <w:pPr>
        <w:pStyle w:val="Heading3"/>
      </w:pPr>
      <w:r>
        <w:t xml:space="preserve">7.6.5 Document Template Management</w:t>
      </w:r>
    </w:p>
    <w:p>
      <w:pPr>
        <w:spacing w:after="120"/>
      </w:pPr>
      <w:r>
        <w:rPr>
          <w:rFonts w:ascii="Arial" w:cs="Arial" w:eastAsia="Arial" w:hAnsi="Arial"/>
          <w:color w:val="333333"/>
          <w:sz w:val="22"/>
          <w:szCs w:val="22"/>
        </w:rPr>
        <w:t xml:space="preserve">Admin-level tool for managing all letter and certificate templates. Edit templates without developer intervention. Version-controlled templates with rollback. Preview template with sample data before publishing.</w:t>
      </w:r>
    </w:p>
    <w:p>
      <w:pPr>
        <w:pStyle w:val="Heading3"/>
      </w:pPr>
      <w:r>
        <w:t xml:space="preserve">7.6.6 Open API Layer</w:t>
      </w:r>
    </w:p>
    <w:p>
      <w:pPr>
        <w:spacing w:after="120"/>
      </w:pPr>
      <w:r>
        <w:rPr>
          <w:rFonts w:ascii="Arial" w:cs="Arial" w:eastAsia="Arial" w:hAnsi="Arial"/>
          <w:color w:val="333333"/>
          <w:sz w:val="22"/>
          <w:szCs w:val="22"/>
        </w:rPr>
        <w:t xml:space="preserve">REST API exposing approved FAAS and TD data. For eventual integration with BLGF eSRE, BIR, or Registry of Deeds. API key management per integration partner. Rate limiting and access logging.</w:t>
      </w:r>
    </w:p>
    <w:p>
      <w:pPr>
        <w:pBdr>
          <w:bottom w:val="single" w:color="2E75B6" w:sz="4" w:space="1"/>
        </w:pBdr>
        <w:spacing w:after="200" w:before="200"/>
      </w:pPr>
    </w:p>
    <w:p>
      <w:pPr>
        <w:pStyle w:val="Heading1"/>
      </w:pPr>
      <w:r>
        <w:t xml:space="preserve">8. Summary of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1800"/>
        <w:gridCol w:w="1700"/>
      </w:tblGrid>
      <w:tr>
        <w:trPr>
          <w:tblHeader/>
        </w:trPr>
        <w:tc>
          <w:tcPr>
            <w:tcW w:type="dxa" w:w="7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51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w:t>
            </w:r>
          </w:p>
        </w:tc>
        <w:tc>
          <w:tcPr>
            <w:tcW w:type="dxa" w:w="1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w:t>
            </w:r>
          </w:p>
        </w:tc>
        <w:tc>
          <w:tcPr>
            <w:tcW w:type="dxa" w:w="17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Mini server setup &amp; deployment, municipality testing, RPFAAS forms, Tax Dec, submission, comments, review, approval, digital signature, letters, user management</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Mini server (PC)</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New data only</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51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Old data migration (280k records), Treasurer dashboard</w:t>
            </w:r>
          </w:p>
        </w:tc>
        <w:tc>
          <w:tcPr>
            <w:tcW w:type="dxa" w:w="1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Mini server</w:t>
            </w:r>
          </w:p>
        </w:tc>
        <w:tc>
          <w:tcPr>
            <w:tcW w:type="dxa" w:w="1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Historical + new</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Full production server, hot standby, IT Admin panel, VPN setup</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Production servers</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All</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51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Certifications, property registry, SSPV, tax mapping, assessment notices, tax exemption, delinquency, general revision, assessment roll, reports, BLGF/COA reports, batch, notifications</w:t>
            </w:r>
          </w:p>
        </w:tc>
        <w:tc>
          <w:tcPr>
            <w:tcW w:type="dxa" w:w="1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Production servers</w:t>
            </w:r>
          </w:p>
        </w:tc>
        <w:tc>
          <w:tcPr>
            <w:tcW w:type="dxa" w:w="1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All</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Administrative records, inter-agency coordination, consolidation &amp; subdivision, classification changes, budget &amp; supplies, appeals, document archiving, QR code, inter-office routing</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Production servers</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All</w:t>
            </w:r>
          </w:p>
        </w:tc>
      </w:tr>
      <w:tr>
        <w:tc>
          <w:tcPr>
            <w:tcW w:type="dxa" w:w="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51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Executive dashboard, GIS/map, mobile field app, taxpayer portal, template management, open API</w:t>
            </w:r>
          </w:p>
        </w:tc>
        <w:tc>
          <w:tcPr>
            <w:tcW w:type="dxa" w:w="1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Production servers</w:t>
            </w:r>
          </w:p>
        </w:tc>
        <w:tc>
          <w:tcPr>
            <w:tcW w:type="dxa" w:w="17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All</w:t>
            </w:r>
          </w:p>
        </w:tc>
      </w:tr>
    </w:tbl>
    <w:p>
      <w:pPr>
        <w:pBdr>
          <w:bottom w:val="single" w:color="2E75B6" w:sz="4" w:space="1"/>
        </w:pBdr>
        <w:spacing w:after="200" w:before="200"/>
      </w:pPr>
    </w:p>
    <w:p>
      <w:pPr>
        <w:pStyle w:val="Heading1"/>
      </w:pPr>
      <w:r>
        <w:t xml:space="preserve">9. Out of Scope</w:t>
      </w:r>
    </w:p>
    <w:p>
      <w:pPr>
        <w:spacing w:after="120"/>
      </w:pPr>
      <w:r>
        <w:rPr>
          <w:rFonts w:ascii="Arial" w:cs="Arial" w:eastAsia="Arial" w:hAnsi="Arial"/>
          <w:color w:val="333333"/>
          <w:sz w:val="22"/>
          <w:szCs w:val="22"/>
        </w:rPr>
        <w:t xml:space="preserve">The following are explicitly outside the scope of this system:</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Payment processing or collection (handled entirely by Treasurer’s own systems)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Personnel / HR management (staff records, leave, attendance)</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Payroll management</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BIR or national government system direct integration (may be considered in future phases)</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Physical document printing equipment or hardware provisioning</w:t>
      </w:r>
    </w:p>
    <w:p>
      <w:pPr>
        <w:spacing w:after="60"/>
        <w:ind w:left="720"/>
      </w:pPr>
      <w:r>
        <w:rPr>
          <w:rFonts w:ascii="Arial" w:cs="Arial" w:eastAsia="Arial" w:hAnsi="Arial"/>
          <w:sz w:val="22"/>
          <w:szCs w:val="22"/>
        </w:rPr>
        <w:t xml:space="preserve">• </w:t>
      </w:r>
      <w:r>
        <w:rPr>
          <w:rFonts w:ascii="Arial" w:cs="Arial" w:eastAsia="Arial" w:hAnsi="Arial"/>
          <w:color w:val="333333"/>
          <w:sz w:val="22"/>
          <w:szCs w:val="22"/>
        </w:rPr>
        <w:t xml:space="preserve">Local servers at municipal offices</w:t>
      </w:r>
    </w:p>
    <w:p>
      <w:r>
        <w:br w:type="page"/>
      </w:r>
    </w:p>
    <w:p>
      <w:pPr>
        <w:pStyle w:val="Heading1"/>
      </w:pPr>
      <w:r>
        <w:t xml:space="preserve">10. Implementation Status</w:t>
      </w:r>
    </w:p>
    <w:p>
      <w:pPr>
        <w:spacing w:after="120"/>
      </w:pPr>
      <w:r>
        <w:rPr>
          <w:rFonts w:ascii="Arial" w:cs="Arial" w:eastAsia="Arial" w:hAnsi="Arial"/>
          <w:b/>
          <w:bCs/>
          <w:color w:val="333333"/>
          <w:sz w:val="22"/>
          <w:szCs w:val="22"/>
        </w:rPr>
        <w:t xml:space="preserve">As of: May 18, 2026</w:t>
      </w:r>
    </w:p>
    <w:p>
      <w:pPr>
        <w:spacing w:after="120"/>
      </w:pPr>
      <w:r>
        <w:rPr>
          <w:rFonts w:ascii="Arial" w:cs="Arial" w:eastAsia="Arial" w:hAnsi="Arial"/>
          <w:b/>
          <w:bCs/>
          <w:color w:val="333333"/>
          <w:sz w:val="22"/>
          <w:szCs w:val="22"/>
        </w:rPr>
        <w:t xml:space="preserve">Current Phase: Phase 1 (in progress)</w:t>
      </w:r>
    </w:p>
    <w:p>
      <w:pPr>
        <w:spacing w:after="60"/>
      </w:pPr>
    </w:p>
    <w:p>
      <w:pPr>
        <w:spacing w:after="120"/>
      </w:pPr>
      <w:r>
        <w:rPr>
          <w:rFonts w:ascii="Arial" w:cs="Arial" w:eastAsia="Arial" w:hAnsi="Arial"/>
          <w:color w:val="333333"/>
          <w:sz w:val="22"/>
          <w:szCs w:val="22"/>
        </w:rPr>
        <w:t xml:space="preserve">This section documents the implementation status of each deliverable defined in the Scope of Work. It is updated as development progresses.</w:t>
      </w:r>
    </w:p>
    <w:p>
      <w:pPr>
        <w:spacing w:after="60"/>
      </w:pPr>
    </w:p>
    <w:p>
      <w:pPr>
        <w:spacing w:after="120"/>
      </w:pPr>
      <w:r>
        <w:rPr>
          <w:rFonts w:ascii="Arial" w:cs="Arial" w:eastAsia="Arial" w:hAnsi="Arial"/>
          <w:b/>
          <w:bCs/>
          <w:color w:val="333333"/>
          <w:sz w:val="22"/>
          <w:szCs w:val="22"/>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Symbol</w:t>
            </w:r>
          </w:p>
        </w:tc>
        <w:tc>
          <w:tcPr>
            <w:tcW w:type="dxa" w:w="73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Completed and functional</w:t>
            </w:r>
          </w:p>
        </w:tc>
      </w:tr>
      <w:tr>
        <w:tc>
          <w:tcPr>
            <w:tcW w:type="dxa" w:w="2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7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Partially built; paused pending a decision or dependency</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Stub or scaffolding exists; not yet functional</w:t>
            </w:r>
          </w:p>
        </w:tc>
      </w:tr>
      <w:tr>
        <w:tc>
          <w:tcPr>
            <w:tcW w:type="dxa" w:w="20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73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Not yet started</w:t>
            </w:r>
          </w:p>
        </w:tc>
      </w:tr>
    </w:tbl>
    <w:p>
      <w:pPr>
        <w:spacing w:after="60"/>
      </w:pPr>
    </w:p>
    <w:p>
      <w:pPr>
        <w:pStyle w:val="Heading2"/>
      </w:pPr>
      <w:r>
        <w:t xml:space="preserve">Phase 1: Mini Server Setup, Deployment &amp; New Record Input</w:t>
      </w:r>
    </w:p>
    <w:p>
      <w:pPr>
        <w:spacing w:after="120"/>
      </w:pPr>
      <w:r>
        <w:rPr>
          <w:rFonts w:ascii="Arial" w:cs="Arial" w:eastAsia="Arial" w:hAnsi="Arial"/>
          <w:b/>
          <w:bCs/>
          <w:color w:val="2E75B6"/>
          <w:sz w:val="22"/>
          <w:szCs w:val="22"/>
        </w:rPr>
        <w:t xml:space="preserve">Overall Phase Status: In Progress</w:t>
      </w:r>
    </w:p>
    <w:p>
      <w:pPr>
        <w:pStyle w:val="Heading3"/>
      </w:pPr>
      <w:r>
        <w:t xml:space="preserve">7.1.1 Mini Server Setup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Build and configure mini server</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Pending hardware procurement</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Install and configure PostgreSQL</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Pending hardware</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Deploy Next.js application</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Deployed on Vercel (development environment)</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Local network access for Provincial Office</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Pending hardware setup</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VPN access via DFL-870M for municipal offices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Pending hardware setup</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Initial database schema and SMV seed data</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Schema and SMV data in place</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User account provisioning per municipality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User management fully operational</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Connectivity testing with 10 municipalities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Pending hardware setup</w:t>
            </w:r>
          </w:p>
        </w:tc>
      </w:tr>
    </w:tbl>
    <w:p>
      <w:pPr>
        <w:spacing w:after="60"/>
      </w:pPr>
    </w:p>
    <w:p>
      <w:pPr>
        <w:pStyle w:val="Heading3"/>
      </w:pPr>
      <w:r>
        <w:t xml:space="preserve">7.1.2 RPFAAS Forms: New Record Input</w:t>
      </w:r>
    </w:p>
    <w:p>
      <w:pPr>
        <w:spacing w:after="120"/>
      </w:pPr>
      <w:r>
        <w:rPr>
          <w:rFonts w:ascii="Arial" w:cs="Arial" w:eastAsia="Arial" w:hAnsi="Arial"/>
          <w:b/>
          <w:bCs/>
          <w:color w:val="333333"/>
          <w:sz w:val="22"/>
          <w:szCs w:val="22"/>
        </w:rPr>
        <w:t xml:space="preserve">A. Building &amp; Other Structures FAAS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6-step form (all steps)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Automatic computation (market value, assessment level, assessed value, amount in words)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Per-step save (draft mode)</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Edit drafts at any step</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Print preview before submission</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Photo attachments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spacing w:after="120"/>
      </w:pPr>
      <w:r>
        <w:rPr>
          <w:rFonts w:ascii="Arial" w:cs="Arial" w:eastAsia="Arial" w:hAnsi="Arial"/>
          <w:b/>
          <w:bCs/>
          <w:color w:val="333333"/>
          <w:sz w:val="22"/>
          <w:szCs w:val="22"/>
        </w:rPr>
        <w:t xml:space="preserve">B. Land &amp; Other Improvements FAAS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6-step form (all steps)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Improvements, additional items, and deductions tables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Automatic computation (unit values, adjustments, assessed values)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Per-step save (draft mode)</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Edit drafts at any step</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Print preview before submission</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Photo attachments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spacing w:after="120"/>
      </w:pPr>
      <w:r>
        <w:rPr>
          <w:rFonts w:ascii="Arial" w:cs="Arial" w:eastAsia="Arial" w:hAnsi="Arial"/>
          <w:b/>
          <w:bCs/>
          <w:color w:val="333333"/>
          <w:sz w:val="22"/>
          <w:szCs w:val="22"/>
        </w:rPr>
        <w:t xml:space="preserve">C. Machinery FAAS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4-step form (all steps)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Print preview</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Per-step save (draft mode)</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Submit &gt; Review &gt; Approve workflow</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Form fill is complete; workflow API routes not yet built</w:t>
            </w:r>
          </w:p>
        </w:tc>
      </w:tr>
    </w:tbl>
    <w:p>
      <w:pPr>
        <w:spacing w:after="60"/>
      </w:pPr>
    </w:p>
    <w:p>
      <w:pPr>
        <w:pStyle w:val="Heading3"/>
      </w:pPr>
      <w:r>
        <w:t xml:space="preserve">7.1.3 Tax Declaration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New Tax Declaration linked to approved FAAS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Auto-generated on approval for Building and Land</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Revision TD</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Transaction codes exist on forms (TR, RC, GR); standalone revision TD workflow not yet distinct</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Cancellation TD</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Previous TD auto-cancelled on new approval; standalone cancellation workflow not yet distinct</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Property Transfer TD</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Transfer transaction code (TR) exists on forms; standalone transfer workflow not yet distinct</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Auto-generation of TD numbers per municipality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Full chain-of-ownership history per property</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3"/>
      </w:pPr>
      <w:r>
        <w:t xml:space="preserve">7.1.4 Schedule of Market Values (SMV) Reference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Land types: all 10 municipalities (commercial, residential, agricultural)</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Agricultural improvements: all 10 municipalities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Building &amp; Other Structures SMV</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Machinery SMV</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Historical valuations (2006 and 2012)</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3"/>
      </w:pPr>
      <w:r>
        <w:t xml:space="preserve">7.1.5 Submission, Review &amp;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Draft &gt; Submitted &gt; Under Review &gt; Approved / Returned / Rejected</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Full multi-tier status flow implemented</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Multi-tier approval: Tax Mapper &gt; Municipal Assessor &gt; LAOO &gt; Provincial Assessor</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Reviewer comments with field targeting and suggested values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Return form for revision with comment enforcement</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Municipal staff resubmission after revision</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All status changes tracked with timestamps and user</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Via form_review_history audit table</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Full comment history visible per form</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Form locking during review</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Prevents concurrent edits</w:t>
            </w:r>
          </w:p>
        </w:tc>
      </w:tr>
    </w:tbl>
    <w:p>
      <w:pPr>
        <w:spacing w:after="60"/>
      </w:pPr>
    </w:p>
    <w:p>
      <w:pPr>
        <w:pStyle w:val="Heading3"/>
      </w:pPr>
      <w:r>
        <w:t xml:space="preserve">7.1.6 Digital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Signature image upload and management per user</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Upload, replace, remove via profile page</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Signature applied to record on Provincial Assessor approval</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Signature path stored in database on approval</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Signature rendered on printed/PDF document</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Infrastructure built; rendering in print output paused pending auth decision</w:t>
            </w:r>
          </w:p>
        </w:tc>
      </w:tr>
    </w:tbl>
    <w:p>
      <w:pPr>
        <w:spacing w:after="60"/>
      </w:pPr>
    </w:p>
    <w:p>
      <w:pPr>
        <w:pStyle w:val="Heading3"/>
      </w:pPr>
      <w:r>
        <w:t xml:space="preserve">7.1.7 Letter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Cancellation of Real Property Tax letters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RPFAAS letter search and validate</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Letter preview before printing</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Log of all generated letters per property</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3"/>
      </w:pPr>
      <w:r>
        <w:t xml:space="preserve">7.1.8 User &amp; Role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Create and manage user accounts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Assign roles per user</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Assign municipality per user</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LAOO level assignment (1–4)</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Role-based feature permissions (view, create, edit, delete per form type)</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Configurable permission matrix</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Audit log of all changes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Via form_review_history</w:t>
            </w:r>
          </w:p>
        </w:tc>
      </w:tr>
    </w:tbl>
    <w:p>
      <w:r>
        <w:br w:type="page"/>
      </w:r>
    </w:p>
    <w:p>
      <w:pPr>
        <w:pStyle w:val="Heading2"/>
      </w:pPr>
      <w:r>
        <w:t xml:space="preserve">Phase 2: Old Data Migration + Treasurer Dashboard</w:t>
      </w:r>
    </w:p>
    <w:p>
      <w:pPr>
        <w:spacing w:after="120"/>
      </w:pPr>
      <w:r>
        <w:rPr>
          <w:rFonts w:ascii="Arial" w:cs="Arial" w:eastAsia="Arial" w:hAnsi="Arial"/>
          <w:b/>
          <w:bCs/>
          <w:color w:val="666666"/>
          <w:sz w:val="22"/>
          <w:szCs w:val="22"/>
        </w:rPr>
        <w:t xml:space="preserve">Overall Phase Status: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CSV/Excel batch import tool for historical records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Fast-entry data entry interface for encoding existing records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Data validation during import (duplicate detection, required fields)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Import log per municipality</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Treasurer dashboard: view collectibles per municipality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Treasurer dashboard: filter by municipality, barangay, type, payment status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Mark payment status (Paid / Partially Paid / Unpaid)</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Record payment details (amount, date, OR number, remarks)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Collection reports per municipality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Export reports (CSV, Excel, print)</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2"/>
      </w:pPr>
      <w:r>
        <w:t xml:space="preserve">Phase 3: Full Production Server Setup</w:t>
      </w:r>
    </w:p>
    <w:p>
      <w:pPr>
        <w:spacing w:after="120"/>
      </w:pPr>
      <w:r>
        <w:rPr>
          <w:rFonts w:ascii="Arial" w:cs="Arial" w:eastAsia="Arial" w:hAnsi="Arial"/>
          <w:b/>
          <w:bCs/>
          <w:color w:val="666666"/>
          <w:sz w:val="22"/>
          <w:szCs w:val="22"/>
        </w:rPr>
        <w:t xml:space="preserve">Overall Phase Status: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R250 #1 promoted to full production primary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Pending hardware procurement (next year)</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R250 #2 configured as hot standby with Hyper-V Replica</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R250 #3 as staging / QA environment</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R250 #4 as spare / disaster recovery</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RAM maxed and RAID 1 on primary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Nightly encrypted backups to NAS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Weekly offsite backup rotation</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VPN tunnels for all 10 municipal offices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LTE backup internet at server room</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IT Admin panel: server health monitoring</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IT Admin panel: user management across all municipalities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Partially available via Super Admin</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IT Admin panel: audit log export</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IT Admin panel: manual database backup trigger</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IT Admin panel: VPN tunnel status per municipal office</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IT Admin panel: failover management</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2"/>
      </w:pPr>
      <w:r>
        <w:t xml:space="preserve">Phase 4: Core Office Operations</w:t>
      </w:r>
    </w:p>
    <w:p>
      <w:pPr>
        <w:spacing w:after="120"/>
      </w:pPr>
      <w:r>
        <w:rPr>
          <w:rFonts w:ascii="Arial" w:cs="Arial" w:eastAsia="Arial" w:hAnsi="Arial"/>
          <w:b/>
          <w:bCs/>
          <w:color w:val="666666"/>
          <w:sz w:val="22"/>
          <w:szCs w:val="22"/>
        </w:rPr>
        <w:t xml:space="preserve">Overall Phase Status: Not Started (stubs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Certifications module (5 types)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Certification control number registry</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Property ownership registry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ownership_record_card.tsx stub exists</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Title history (mother title, annotations, subdivision, consolidation)</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Sworn Statement of Property Values (SSPV)</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Tax mapping operations: parcel index cards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tax_map_control_roll.tsx stub exists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Tax mapping operations: field inspection scheduling</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Assessment notices &amp; billing statements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notice_of_assessment.tsx stub exists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Assessment roll generation</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assessment_roll.tsx stub exists</w:t>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Tax exemption management</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Delinquency module</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General revision module</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Reports &amp; analytics dashboard (municipal, provincial, treasurer)</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BLGF compliance reports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COA / audit readiness reports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Batch operations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SMS / email notifications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2"/>
      </w:pPr>
      <w:r>
        <w:t xml:space="preserve">Phase 5: Administrative &amp; Inter-Agency Operations</w:t>
      </w:r>
    </w:p>
    <w:p>
      <w:pPr>
        <w:spacing w:after="120"/>
      </w:pPr>
      <w:r>
        <w:rPr>
          <w:rFonts w:ascii="Arial" w:cs="Arial" w:eastAsia="Arial" w:hAnsi="Arial"/>
          <w:b/>
          <w:bCs/>
          <w:color w:val="666666"/>
          <w:sz w:val="22"/>
          <w:szCs w:val="22"/>
        </w:rPr>
        <w:t xml:space="preserve">Overall Phase Status: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Incoming / outgoing correspondence management</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Memoranda &amp; circulars management</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Inter-agency coordination records (RoD, DENR, DAR, BLGF, COA, Treasurer, LGUs)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Property consolidation workflow</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Property subdivision workflow</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Property classification change workflow</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Budget &amp; supplies tracking</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Supply request workflow</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Appeals &amp; objections module</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Document archiving (scanned deeds, old TDs, photos)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QR code embedded on printed documents</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Inter-office routing &amp; digital endorsement</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Style w:val="Heading2"/>
      </w:pPr>
      <w:r>
        <w:t xml:space="preserve">Phase 6: Future / Optional</w:t>
      </w:r>
    </w:p>
    <w:p>
      <w:pPr>
        <w:spacing w:after="120"/>
      </w:pPr>
      <w:r>
        <w:rPr>
          <w:rFonts w:ascii="Arial" w:cs="Arial" w:eastAsia="Arial" w:hAnsi="Arial"/>
          <w:b/>
          <w:bCs/>
          <w:color w:val="666666"/>
          <w:sz w:val="22"/>
          <w:szCs w:val="22"/>
        </w:rPr>
        <w:t xml:space="preserve">Overall Phase Status: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80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60"/>
            <w:tcBorders>
              <w:top w:val="single" w:color="B4C6D6" w:sz="1"/>
              <w:left w:val="single" w:color="B4C6D6" w:sz="1"/>
              <w:bottom w:val="single" w:color="B4C6D6" w:sz="1"/>
              <w:right w:val="single" w:color="B4C6D6"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Executive dashboard (Governor / Mayor: read-only)</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GIS / map integration with parcel plotting</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Mobile / field app (offline-capable, iOS and Android)</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Taxpayer self-service portal</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b/>
                <w:bCs/>
                <w:color w:val="333333"/>
                <w:sz w:val="20"/>
                <w:szCs w:val="20"/>
              </w:rPr>
              <w:t xml:space="preserve">Document template management</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
            </w:r>
          </w:p>
        </w:tc>
      </w:tr>
      <w:tr>
        <w:tc>
          <w:tcPr>
            <w:tcW w:type="dxa" w:w="35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b/>
                <w:bCs/>
                <w:color w:val="333333"/>
                <w:sz w:val="20"/>
                <w:szCs w:val="20"/>
              </w:rPr>
              <w:t xml:space="preserve">Open API layer (BLGF eSRE, BIR, Register of Deeds)</w:t>
            </w:r>
          </w:p>
        </w:tc>
        <w:tc>
          <w:tcPr>
            <w:tcW w:type="dxa" w:w="80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5060"/>
            <w:tcBorders>
              <w:top w:val="single" w:color="B4C6D6" w:sz="1"/>
              <w:left w:val="single" w:color="B4C6D6" w:sz="1"/>
              <w:bottom w:val="single" w:color="B4C6D6" w:sz="1"/>
              <w:right w:val="single" w:color="B4C6D6" w:sz="1"/>
            </w:tcBorders>
            <w:shd w:fill="F2F7FA" w:val="clear"/>
            <w:tcMar>
              <w:top w:type="dxa" w:w="60"/>
              <w:left w:type="dxa" w:w="100"/>
              <w:bottom w:type="dxa" w:w="60"/>
              <w:right w:type="dxa" w:w="100"/>
            </w:tcMar>
          </w:tcPr>
          <w:p>
            <w:r>
              <w:rPr>
                <w:rFonts w:ascii="Arial" w:cs="Arial" w:eastAsia="Arial" w:hAnsi="Arial"/>
                <w:color w:val="333333"/>
                <w:sz w:val="20"/>
                <w:szCs w:val="20"/>
              </w:rPr>
              <w:t xml:space="preserve"/>
            </w:r>
          </w:p>
        </w:tc>
      </w:tr>
    </w:tbl>
    <w:p>
      <w:pPr>
        <w:spacing w:after="60"/>
      </w:pPr>
    </w:p>
    <w:p>
      <w:pPr>
        <w:pBdr>
          <w:bottom w:val="single" w:color="2E75B6" w:sz="4" w:space="1"/>
        </w:pBdr>
        <w:spacing w:after="200" w:before="200"/>
      </w:pPr>
    </w:p>
    <w:p>
      <w:pPr>
        <w:spacing w:after="120"/>
      </w:pPr>
      <w:r>
        <w:rPr>
          <w:rFonts w:ascii="Arial" w:cs="Arial" w:eastAsia="Arial" w:hAnsi="Arial"/>
          <w:i/>
          <w:iCs/>
          <w:color w:val="666666"/>
          <w:sz w:val="22"/>
          <w:szCs w:val="22"/>
        </w:rPr>
        <w:t xml:space="preserve">Document prepared for internal planning and stakeholder alignment. Subject to revision as requirements are further defined.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MPAOMIS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2026-05-18T12:17:48.903Z</dcterms:created>
  <dcterms:modified xsi:type="dcterms:W3CDTF">2026-05-18T12:17:48.917Z</dcterms:modified>
</cp:coreProperties>
</file>

<file path=docProps/custom.xml><?xml version="1.0" encoding="utf-8"?>
<Properties xmlns="http://schemas.openxmlformats.org/officeDocument/2006/custom-properties" xmlns:vt="http://schemas.openxmlformats.org/officeDocument/2006/docPropsVTypes"/>
</file>