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Teknis BPK</w:t>
      </w:r>
    </w:p>
    <w:p>
      <w:pPr>
        <w:pStyle w:val="Subtitle"/>
      </w:pPr>
      <w:r>
        <w:t>Bayar Pake Kalori   |   Versi 1.1   |   17 Oktober 2026</w:t>
      </w:r>
    </w:p>
    <w:p>
      <w:r>
        <w:t>Rancangan teknis web BPK versi pertama untuk pengembang dan penguji. Dokumen ini menerjemahkan Product Brief dan PRD versi 1.1 menjadi model data, kontrak layanan, dan aturan konsistensi bagi dompet kalori serta pencatatan satu makanan per pembayaran. Arsitektur adalah rekomendasi untuk ditinjau, bukan implementasi yang sudah tersedia.</w:t>
      </w:r>
    </w:p>
    <w:p>
      <w:pPr>
        <w:pStyle w:val="Heading1"/>
      </w:pPr>
      <w:r>
        <w:t>1 Status dan keputusan arsitektur</w:t>
      </w:r>
    </w:p>
    <w:p>
      <w:r>
        <w:t>Kebutuhan terkonfirmasi: web untuk HP, dompet kalori, pencarian makanan lokal, porsi bergambar, pembayaran satu makanan sebagai konfirmasi pencatatan, pengantaran animasi dari kios ke meja isometrik, riwayat, koreksi, dan salin menu kemarin. Rumus anggaran, akun, penyimpanan, target performa, dan pengelompokan makanan di meja belum diputuskan.</w:t>
      </w:r>
    </w:p>
    <w:p>
      <w:pPr>
        <w:pStyle w:val="Heading2"/>
      </w:pPr>
      <w:r>
        <w:t>Arsitektur yang direkomendasikan</w:t>
      </w:r>
    </w:p>
    <w:p>
      <w:r>
        <w:t>Gunakan aplikasi web dengan UI dan layanan server dalam satu proyek, basis data relasional, serta penyimpanan objek untuk ilustrasi. Satu layanan aplikasi cukup untuk versi pertama. Peta foodcourt, pencarian, dan pengantaran merujuk katalog dan catatan yang sama; animasi tidak menjadi sumber data saldo.</w:t>
      </w:r>
    </w:p>
    <w:tbl>
      <w:tblPr>
        <w:tblW w:type="auto" w:w="0"/>
        <w:tblLayout w:type="fixed"/>
        <w:tblLook w:firstColumn="1" w:firstRow="1" w:lastColumn="0" w:lastRow="0" w:noHBand="0" w:noVBand="1" w:val="04A0"/>
      </w:tblPr>
      <w:tblGrid>
        <w:gridCol w:w="2160"/>
        <w:gridCol w:w="7128"/>
      </w:tblGrid>
      <w:tr>
        <w:trPr>
          <w:cantSplit/>
          <w:tblHeader/>
        </w:trPr>
        <w:tc>
          <w:tcPr>
            <w:tcW w:type="dxa" w:w="2160"/>
            <w:tcBorders>
              <w:top w:val="single" w:sz="4" w:color="D9D9D9"/>
              <w:left w:val="single" w:sz="4" w:color="D9D9D9"/>
              <w:bottom w:val="single" w:sz="4" w:color="D9D9D9"/>
              <w:right w:val="single" w:sz="4" w:color="D9D9D9"/>
            </w:tcBorders>
            <w:shd w:fill="E5EDF3"/>
          </w:tcPr>
          <w:p>
            <w:pPr>
              <w:spacing w:after="100" w:before="100"/>
            </w:pPr>
            <w:r>
              <w:rPr>
                <w:b/>
                <w:sz w:val="20"/>
              </w:rPr>
              <w:t>Lapisan</w:t>
            </w:r>
          </w:p>
        </w:tc>
        <w:tc>
          <w:tcPr>
            <w:tcW w:type="dxa" w:w="7128"/>
            <w:tcBorders>
              <w:top w:val="single" w:sz="4" w:color="D9D9D9"/>
              <w:left w:val="single" w:sz="4" w:color="D9D9D9"/>
              <w:bottom w:val="single" w:sz="4" w:color="D9D9D9"/>
              <w:right w:val="single" w:sz="4" w:color="D9D9D9"/>
            </w:tcBorders>
            <w:shd w:fill="E5EDF3"/>
          </w:tcPr>
          <w:p>
            <w:pPr>
              <w:spacing w:after="100" w:before="100"/>
            </w:pPr>
            <w:r>
              <w:rPr>
                <w:b/>
                <w:sz w:val="20"/>
              </w:rPr>
              <w:t>Tanggung jawab</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Web</w:t>
            </w:r>
          </w:p>
        </w:tc>
        <w:tc>
          <w:tcPr>
            <w:tcW w:type="dxa" w:w="7128"/>
            <w:tcBorders>
              <w:top w:val="single" w:sz="4" w:color="D9D9D9"/>
              <w:left w:val="single" w:sz="4" w:color="D9D9D9"/>
              <w:bottom w:val="single" w:sz="4" w:color="D9D9D9"/>
              <w:right w:val="single" w:sz="4" w:color="D9D9D9"/>
            </w:tcBorders>
            <w:shd w:fill="FFFFFF"/>
          </w:tcPr>
          <w:p>
            <w:r>
              <w:t>Peta, daftar makanan, dompet, pilihan porsi, animasi pembayaran dan pengantaran, meja, riwayat</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Layanan aplikasi</w:t>
            </w:r>
          </w:p>
        </w:tc>
        <w:tc>
          <w:tcPr>
            <w:tcW w:type="dxa" w:w="7128"/>
            <w:tcBorders>
              <w:top w:val="single" w:sz="4" w:color="D9D9D9"/>
              <w:left w:val="single" w:sz="4" w:color="D9D9D9"/>
              <w:bottom w:val="single" w:sz="4" w:color="D9D9D9"/>
              <w:right w:val="single" w:sz="4" w:color="D9D9D9"/>
            </w:tcBorders>
            <w:shd w:fill="FFFFFF"/>
          </w:tcPr>
          <w:p>
            <w:r>
              <w:t>Validasi, otorisasi, perhitungan, pencatatan satu item, pencarian, idempotensi</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Basis data relasional</w:t>
            </w:r>
          </w:p>
        </w:tc>
        <w:tc>
          <w:tcPr>
            <w:tcW w:type="dxa" w:w="7128"/>
            <w:tcBorders>
              <w:top w:val="single" w:sz="4" w:color="D9D9D9"/>
              <w:left w:val="single" w:sz="4" w:color="D9D9D9"/>
              <w:bottom w:val="single" w:sz="4" w:color="D9D9D9"/>
              <w:right w:val="single" w:sz="4" w:color="D9D9D9"/>
            </w:tcBorders>
            <w:shd w:fill="FFFFFF"/>
          </w:tcPr>
          <w:p>
            <w:pPr>
              <w:spacing w:after="100" w:before="100"/>
            </w:pPr>
            <w:r>
              <w:rPr>
                <w:b w:val="0"/>
                <w:sz w:val="20"/>
              </w:rPr>
              <w:t>Profil, versi katalog, porsi, catatan, anggaran per tanggal, kunci permintaan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Penyimpanan objek</w:t>
            </w:r>
          </w:p>
        </w:tc>
        <w:tc>
          <w:tcPr>
            <w:tcW w:type="dxa" w:w="7128"/>
            <w:tcBorders>
              <w:top w:val="single" w:sz="4" w:color="D9D9D9"/>
              <w:left w:val="single" w:sz="4" w:color="D9D9D9"/>
              <w:bottom w:val="single" w:sz="4" w:color="D9D9D9"/>
              <w:right w:val="single" w:sz="4" w:color="D9D9D9"/>
            </w:tcBorders>
            <w:shd w:fill="FFFFFF"/>
          </w:tcPr>
          <w:p>
            <w:pPr>
              <w:spacing w:after="100" w:before="100"/>
            </w:pPr>
            <w:r>
              <w:rPr>
                <w:b w:val="0"/>
                <w:sz w:val="20"/>
              </w:rPr>
              <w:t>Ilustrasi makanan, kios, dan aset foodcourt; tanpa data pribadi dalam URL publik</w:t>
            </w:r>
          </w:p>
        </w:tc>
      </w:tr>
    </w:tbl>
    <w:p>
      <w:pPr>
        <w:pStyle w:val="Heading2"/>
      </w:pPr>
      <w:r>
        <w:t>Pilihan teknologi</w:t>
      </w:r>
    </w:p>
    <w:p>
      <w:r>
        <w:t>Rekomendasi awal: TypeScript untuk web dan server, React dengan kerangka web yang mendukung server, serta PostgreSQL. Ini pilihan desain, bukan keputusan stack atau versi dependensi. Versi dan penyedia hosting ditetapkan saat implementasi setelah verifikasi kompatibilitas. Hindari microservices dan mesin game penuh sebelum kebutuhan membenarkannya.</w:t>
      </w:r>
    </w:p>
    <w:p>
      <w:pPr>
        <w:pStyle w:val="Heading2"/>
      </w:pPr>
      <w:r>
        <w:t>Analogi sistem</w:t>
      </w:r>
    </w:p>
    <w:p>
      <w:r>
        <w:t>Seperti SaaS pencatat pengeluaran, setiap catatan makanan adalah transaksi dan angka dompet merupakan turunan dari anggaran dikurangi seluruh transaksi tersimpan. Jangan menyimpan saldo dompet sebagai angka terpisah yang terus dikurangi. Edit, hapus, retry, atau animasi terputus tidak boleh membuat saldo berbeda dari riwayat.</w:t>
      </w:r>
    </w:p>
    <w:p>
      <w:r>
        <w:br w:type="page"/>
      </w:r>
    </w:p>
    <w:p>
      <w:pPr>
        <w:pStyle w:val="Heading1"/>
      </w:pPr>
      <w:r>
        <w:t>2 Modul dan alur data</w:t>
      </w:r>
    </w:p>
    <w:p>
      <w:pPr>
        <w:pStyle w:val="Heading2"/>
      </w:pPr>
      <w:r>
        <w:t>Modul web</w:t>
      </w:r>
    </w:p>
    <w:p>
      <w:r>
        <w:t>Home menampilkan dompet, pencarian, peta, dan meja. Catalog mengelola daftar hasil dan detail porsi. Payment flow mengirim satu makanan untuk dicatat. Diary menyediakan detail dan koreksi. Onboarding mengumpulkan profil serta tujuan. Seluruh jalur memakai layanan domain pencatatan yang sama.</w:t>
      </w:r>
    </w:p>
    <w:p>
      <w:pPr>
        <w:pStyle w:val="Heading2"/>
      </w:pPr>
      <w:r>
        <w:t>Foodcourt isometrik</w:t>
      </w:r>
    </w:p>
    <w:p>
      <w:r>
        <w:t>Gunakan ilustrasi 2D isometrik dengan elemen interaktif HTML atau SVG. Simpan koordinat kios pada definisi layout, terpisah dari kategori penjual. Geser peta hanya mengubah viewport. Ketuk kios memfilter katalog; pilihan makanan dari hasil pencarian dapat menyorot kios asal. Setelah simpan berhasil, klien menggerakkan pengantar dari kios terkait ke meja. Jika kios tidak terlihat, viewport boleh mengikuti rute tanpa mengunci scroll. Sediakan alternatif daftar untuk keyboard dan pembaca layar.</w:t>
      </w:r>
    </w:p>
    <w:p>
      <w:pPr>
        <w:pStyle w:val="Heading2"/>
      </w:pPr>
      <w:r>
        <w:t>Pencarian</w:t>
      </w:r>
    </w:p>
    <w:p>
      <w:r>
        <w:t>Gunakan nama yang dinormalisasi, alias lokal terkurasi, serta kategori penjual. Mulai dengan pencarian basis data; tambah mesin pencarian terpisah hanya jika hasil pengukuran membutuhkannya. Bedakan hasil tepat dan rekomendasi serupa. Hasil kosong tetap memberi akses membuat makanan sendiri. Nomor urut respons atau pembatalan permintaan mencegah respons pencarian lama menimpa kueri terbaru.</w:t>
      </w:r>
    </w:p>
    <w:p>
      <w:pPr>
        <w:pStyle w:val="Heading2"/>
      </w:pPr>
      <w:r>
        <w:t>Pembayaran kalori dan pencatatan</w:t>
      </w:r>
    </w:p>
    <w:p>
      <w:r>
        <w:t>Pilihan makanan sebelum bayar tidak mengubah angka dompet. Pada Bayar dengan kalori, web mengirim identitas versi porsi, jumlah, waktu makan, dan kunci idempotensi. Server mengambil nilai energi tepercaya, menghitung total, lalu menyimpan satu item dalam satu catatan secara atomik. Hanya setelah respons sukses UI memperbarui dompet dan memulai animasi uang keluar serta pengantaran. Bila respons hilang, retry memakai kunci sama dan menampilkan hasil tunggal. Animasi yang gagal atau dibatalkan tidak membatalkan catatan.</w:t>
      </w:r>
    </w:p>
    <w:p>
      <w:pPr>
        <w:pStyle w:val="Heading2"/>
      </w:pPr>
      <w:r>
        <w:t>Penyimpanan pilihan sementara</w:t>
      </w:r>
    </w:p>
    <w:p>
      <w:r>
        <w:t>Pilihan makanan dan porsi yang belum dibayar boleh bertahan sementara di perangkat sesuai kebijakan penyimpanan yang dipilih. Nilai klien hanya pratinjau. Bila versi katalog berubah, minta pemeriksaan ulang sebelum bayar. Pencatatan offline dan sinkronisasi offline tidak dijanjikan. Jangan memakai animasi sebagai antrean transaksi.</w:t>
      </w:r>
    </w:p>
    <w:p>
      <w:pPr>
        <w:pStyle w:val="Heading2"/>
      </w:pPr>
      <w:r>
        <w:t>Mode pengguna</w:t>
      </w:r>
    </w:p>
    <w:p>
      <w:r>
        <w:t>Rekomendasi rancangan ini memakai akun dan penyimpanan server agar riwayat dapat dipulihkan. Mode tamu masih keputusan produk. Jika dipilih, tentukan pemindahan data tamu, konflik saat masuk, dan perilaku kehilangan data sebelum mengubah model identitas. Jangan memakai identitas dari request body sebagai bukti kepemilikan.</w:t>
      </w:r>
    </w:p>
    <w:p>
      <w:r>
        <w:br w:type="page"/>
      </w:r>
    </w:p>
    <w:p>
      <w:pPr>
        <w:pStyle w:val="Heading1"/>
      </w:pPr>
      <w:r>
        <w:t>3 Model data yang diusulkan</w:t>
      </w:r>
    </w:p>
    <w:tbl>
      <w:tblPr>
        <w:tblW w:type="auto" w:w="0"/>
        <w:tblLayout w:type="fixed"/>
        <w:tblLook w:firstColumn="1" w:firstRow="1" w:lastColumn="0" w:lastRow="0" w:noHBand="0" w:noVBand="1" w:val="04A0"/>
      </w:tblPr>
      <w:tblGrid>
        <w:gridCol w:w="2448"/>
        <w:gridCol w:w="6840"/>
      </w:tblGrid>
      <w:tr>
        <w:trPr>
          <w:cantSplit/>
          <w:tblHeader/>
        </w:trPr>
        <w:tc>
          <w:tcPr>
            <w:tcW w:type="dxa" w:w="2448"/>
            <w:tcBorders>
              <w:top w:val="single" w:sz="4" w:color="D9D9D9"/>
              <w:left w:val="single" w:sz="4" w:color="D9D9D9"/>
              <w:bottom w:val="single" w:sz="4" w:color="D9D9D9"/>
              <w:right w:val="single" w:sz="4" w:color="D9D9D9"/>
            </w:tcBorders>
            <w:shd w:fill="E5EDF3"/>
          </w:tcPr>
          <w:p>
            <w:pPr>
              <w:spacing w:after="100" w:before="100"/>
            </w:pPr>
            <w:r>
              <w:rPr>
                <w:b/>
                <w:sz w:val="20"/>
              </w:rPr>
              <w:t>Entitas</w:t>
            </w:r>
          </w:p>
        </w:tc>
        <w:tc>
          <w:tcPr>
            <w:tcW w:type="dxa" w:w="6840"/>
            <w:tcBorders>
              <w:top w:val="single" w:sz="4" w:color="D9D9D9"/>
              <w:left w:val="single" w:sz="4" w:color="D9D9D9"/>
              <w:bottom w:val="single" w:sz="4" w:color="D9D9D9"/>
              <w:right w:val="single" w:sz="4" w:color="D9D9D9"/>
            </w:tcBorders>
            <w:shd w:fill="E5EDF3"/>
          </w:tcPr>
          <w:p>
            <w:pPr>
              <w:spacing w:after="100" w:before="100"/>
            </w:pPr>
            <w:r>
              <w:rPr>
                <w:b/>
                <w:sz w:val="20"/>
              </w:rPr>
              <w:t>Kolom penting dan aturan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UserProfile</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user_id, timezone IANA, goal, budget_policy_version; input profil mengikuti metode anggaran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DailyBudget</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user_id, local_date, budget_mkcal, policy_version; unik per pengguna dan tanggal</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VendorCategory dan Stall</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Kategori penjual, nama kios, koordinat layout, status aktif; kios merujuk kategori</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Food dan FoodVersion</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ID stabil, versi, nama, alias, kategori, sumber, status; versi lama tetap dapat dirujuk</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PortionVersion</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food_version_id, label ukuran, acuan porsi, weight_g opsional, energy_mkcal, illustration_url</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CustomFoodVersion</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owner_id, nama, acuan porsi, estimasi energi, versi; hanya pemilik dapat mengakses</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MealLog</w:t>
            </w:r>
          </w:p>
        </w:tc>
        <w:tc>
          <w:tcPr>
            <w:tcW w:type="dxa" w:w="6840"/>
            <w:tcBorders>
              <w:top w:val="single" w:sz="4" w:color="D9D9D9"/>
              <w:left w:val="single" w:sz="4" w:color="D9D9D9"/>
              <w:bottom w:val="single" w:sz="4" w:color="D9D9D9"/>
              <w:right w:val="single" w:sz="4" w:color="D9D9D9"/>
            </w:tcBorders>
            <w:shd w:fill="FFFFFF"/>
          </w:tcPr>
          <w:p>
            <w:r>
              <w:t>id, user_id, eaten_at UTC, local_date, timezone_snapshot, meal_label, revision, deleted_at; satu pembayaran per catatan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MealItem</w:t>
            </w:r>
          </w:p>
        </w:tc>
        <w:tc>
          <w:tcPr>
            <w:tcW w:type="dxa" w:w="6840"/>
            <w:tcBorders>
              <w:top w:val="single" w:sz="4" w:color="D9D9D9"/>
              <w:left w:val="single" w:sz="4" w:color="D9D9D9"/>
              <w:bottom w:val="single" w:sz="4" w:color="D9D9D9"/>
              <w:right w:val="single" w:sz="4" w:color="D9D9D9"/>
            </w:tcBorders>
            <w:shd w:fill="FFFFFF"/>
          </w:tcPr>
          <w:p>
            <w:r>
              <w:t>meal_log_id, referensi versi katalog atau pribadi, snapshot nama dan porsi, energy_mkcal_per_portion, quantity_milli, total_mkcal, stall_id snapshot opsional</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IdempotencyRecord</w:t>
            </w:r>
          </w:p>
        </w:tc>
        <w:tc>
          <w:tcPr>
            <w:tcW w:type="dxa" w:w="6840"/>
            <w:tcBorders>
              <w:top w:val="single" w:sz="4" w:color="D9D9D9"/>
              <w:left w:val="single" w:sz="4" w:color="D9D9D9"/>
              <w:bottom w:val="single" w:sz="4" w:color="D9D9D9"/>
              <w:right w:val="single" w:sz="4" w:color="D9D9D9"/>
            </w:tcBorders>
            <w:shd w:fill="FFFFFF"/>
          </w:tcPr>
          <w:p>
            <w:pPr>
              <w:spacing w:after="100" w:before="100"/>
            </w:pPr>
            <w:r>
              <w:rPr>
                <w:b w:val="0"/>
                <w:sz w:val="20"/>
              </w:rPr>
              <w:t>user_id, key, request_hash, status, resource_id, response; unik per pengguna dan kunci</w:t>
            </w:r>
          </w:p>
        </w:tc>
      </w:tr>
    </w:tbl>
    <w:p>
      <w:pPr>
        <w:pStyle w:val="Heading2"/>
      </w:pPr>
      <w:r>
        <w:t>Satuan dan batasan</w:t>
      </w:r>
    </w:p>
    <w:p>
      <w:r>
        <w:t>Rekomendasi: energi disimpan sebagai integer milikkalori, yaitu 1 kkal = 1.000 mkcal. Jumlah disimpan dalam perseribuan porsi: 0,5 = 500 dan 2 = 2.000. Gunakan aritmetika integer atau decimal eksak, bukan floating point untuk nilai yang dipersistenkan. Validasi jumlah lebih dari nol; energi tidak negatif. Batas maksimum nilai ditetapkan setelah audit katalog agar tidak menggunakan batas arbitrer.</w:t>
      </w:r>
    </w:p>
    <w:p>
      <w:pPr>
        <w:pStyle w:val="Heading2"/>
      </w:pPr>
      <w:r>
        <w:t>Snapshot dan indeks</w:t>
      </w:r>
    </w:p>
    <w:p>
      <w:r>
        <w:t>Snapshot item mempertahankan nilai saat pencatatan meskipun katalog berubah. Indeks awal: MealLog pada user_id dan local_date; PortionVersion pada food_version_id; makanan pribadi pada owner_id; alias pencarian sesuai strategi basis data. Soft delete catatan adalah usulan untuk pemulihan, bukan pengganti kebijakan penghapusan data pribadi.</w:t>
      </w:r>
    </w:p>
    <w:p>
      <w:r>
        <w:br w:type="page"/>
      </w:r>
    </w:p>
    <w:p>
      <w:pPr>
        <w:pStyle w:val="Heading1"/>
      </w:pPr>
      <w:r>
        <w:t>4 Perhitungan dan konsistensi</w:t>
      </w:r>
    </w:p>
    <w:p>
      <w:pPr>
        <w:pStyle w:val="Heading2"/>
      </w:pPr>
      <w:r>
        <w:t>Perhitungan energi</w:t>
      </w:r>
    </w:p>
    <w:p>
      <w:r>
        <w:t>item_mkcal = pembulatan half up dari energy_mkcal_per_portion × quantity_milli / 1.000. Terpakai harian adalah jumlah item pada semua catatan aktif dalam local_date. Dompet tersisa = budget_mkcal − terpakai_mkcal. Pembulatan ke kkal hanya untuk tampilan. Half up adalah rekomendasi yang perlu dikunci sebelum implementasi.</w:t>
      </w:r>
    </w:p>
    <w:p>
      <w:pPr>
        <w:pStyle w:val="Heading2"/>
      </w:pPr>
      <w:r>
        <w:t>Contoh yang dapat diuji</w:t>
      </w:r>
    </w:p>
    <w:p>
      <w:r>
        <w:t>Anggaran 1.800 kkal dan terpakai awal 850. Satu pembayaran makanan 600 kkal menghasilkan terpakai 1.450 dan sisa 350. Pembayaran kedua 100 kkal menghasilkan terpakai 1.550 dan sisa 250. Jika makanan pertama diubah menjadi setengah porsi, terpakai menjadi 1.250 dan sisa 550. Angka adalah fixture, bukan data gizi katalog.</w:t>
      </w:r>
    </w:p>
    <w:p>
      <w:pPr>
        <w:pStyle w:val="Heading2"/>
      </w:pPr>
      <w:r>
        <w:t>Tanggal dan anggaran</w:t>
      </w:r>
    </w:p>
    <w:p>
      <w:r>
        <w:t>Rekomendasi: hari ditentukan dari waktu makan dalam zona waktu IANA pengguna, bukan zona waktu server. Simpan waktu UTC serta snapshot tanggal lokal dan zona waktu pada catatan. Pergantian hari tidak menghapus riwayat dan pilihan yang belum dibayar tidak dipindahkan diam-diam. Perubahan zona waktu dan pencatatan mundur memerlukan aturan produk.</w:t>
      </w:r>
    </w:p>
    <w:p>
      <w:pPr>
        <w:pStyle w:val="Heading2"/>
      </w:pPr>
      <w:r>
        <w:t>Transaksi dan permintaan ulang</w:t>
      </w:r>
    </w:p>
    <w:p>
      <w:r>
        <w:t>Pembuatan catatan, semua item, dan hasil idempotensi diselesaikan secara atomik. Kunci yang sama dengan payload sama mengembalikan catatan yang sama; payload berbeda ditolak sebagai konflik. Permintaan ulang saat jaringan terputus memakai kunci yang sama. Tetapkan masa simpan kunci sebelum peluncuran dan jangan menghapus kunci terlalu cepat sehingga retry sah membuat duplikat.</w:t>
      </w:r>
    </w:p>
    <w:p>
      <w:pPr>
        <w:pStyle w:val="Heading2"/>
      </w:pPr>
      <w:r>
        <w:t>Edit bersamaan</w:t>
      </w:r>
    </w:p>
    <w:p>
      <w:r>
        <w:t>Rekomendasi: setiap edit mengirim expected_revision. Server memperbarui hanya jika revisinya cocok, lalu menaikkan revisi. Jika berbeda, kembalikan konflik dan minta web memuat versi terbaru. Edit atau hapus menginvalidasi ringkasan hari terkait. Memindahkan waktu makan ke tanggal lain harus memperbarui ringkasan kedua tanggal.</w:t>
      </w:r>
    </w:p>
    <w:p>
      <w:pPr>
        <w:pStyle w:val="Heading2"/>
      </w:pPr>
      <w:r>
        <w:t>Salin menu kemarin</w:t>
      </w:r>
    </w:p>
    <w:p>
      <w:r>
        <w:t>Rekomendasi: pilih satu atau beberapa item kemarin menurut zona waktu pengguna. Salin snapshot sebagai pilihan baru untuk ditinjau, bukan referensi yang mengubah sumber. Tiap item baru hanya mengubah dompet ketika konfirmasi berhasil; jika konfirmasi beberapa item dilakukan sekaligus, server harus menjamin tidak ada hasil parsial dan UI tidak perlu memainkan animasi panjang per item. Detail lingkup ini masih perlu dikonfirmasi.</w:t>
      </w:r>
    </w:p>
    <w:p>
      <w:r>
        <w:br w:type="page"/>
      </w:r>
    </w:p>
    <w:p>
      <w:pPr>
        <w:pStyle w:val="Heading1"/>
      </w:pPr>
      <w:r>
        <w:t>5 Kontrak layanan yang diusulkan</w:t>
      </w:r>
    </w:p>
    <w:p>
      <w:r>
        <w:t>Endpoint di bawah mendefinisikan perilaku, bukan keputusan final transport. Semua akses data pribadi memakai identitas sesi di server dan pemeriksaan kepemilikan. Respons list memakai pagination berbasis cursor.</w:t>
      </w:r>
    </w:p>
    <w:tbl>
      <w:tblPr>
        <w:tblW w:type="auto" w:w="0"/>
        <w:tblLayout w:type="fixed"/>
        <w:tblLook w:firstColumn="1" w:firstRow="1" w:lastColumn="0" w:lastRow="0" w:noHBand="0" w:noVBand="1" w:val="04A0"/>
      </w:tblPr>
      <w:tblGrid>
        <w:gridCol w:w="3744"/>
        <w:gridCol w:w="5544"/>
      </w:tblGrid>
      <w:tr>
        <w:trPr>
          <w:cantSplit/>
          <w:tblHeader/>
        </w:trPr>
        <w:tc>
          <w:tcPr>
            <w:tcW w:type="dxa" w:w="3744"/>
            <w:tcBorders>
              <w:top w:val="single" w:sz="4" w:color="D9D9D9"/>
              <w:left w:val="single" w:sz="4" w:color="D9D9D9"/>
              <w:bottom w:val="single" w:sz="4" w:color="D9D9D9"/>
              <w:right w:val="single" w:sz="4" w:color="D9D9D9"/>
            </w:tcBorders>
            <w:shd w:fill="E5EDF3"/>
          </w:tcPr>
          <w:p>
            <w:pPr>
              <w:spacing w:after="100" w:before="100"/>
            </w:pPr>
            <w:r>
              <w:rPr>
                <w:b/>
                <w:sz w:val="20"/>
              </w:rPr>
              <w:t>Metode dan path</w:t>
            </w:r>
          </w:p>
        </w:tc>
        <w:tc>
          <w:tcPr>
            <w:tcW w:type="dxa" w:w="5544"/>
            <w:tcBorders>
              <w:top w:val="single" w:sz="4" w:color="D9D9D9"/>
              <w:left w:val="single" w:sz="4" w:color="D9D9D9"/>
              <w:bottom w:val="single" w:sz="4" w:color="D9D9D9"/>
              <w:right w:val="single" w:sz="4" w:color="D9D9D9"/>
            </w:tcBorders>
            <w:shd w:fill="E5EDF3"/>
          </w:tcPr>
          <w:p>
            <w:pPr>
              <w:spacing w:after="100" w:before="100"/>
            </w:pPr>
            <w:r>
              <w:rPr>
                <w:b/>
                <w:sz w:val="20"/>
              </w:rPr>
              <w:t>Perilaku</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/api/foods?q=&amp;stall_id=&amp;cursor=</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Cari katalog aktif; respons menyertakan porsi dan versi serta opsi kios</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/api/foods/{id}</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Detail makanan dan versi porsi yang dapat dicatat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/api/stalls</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Daftar kios, kategori, dan koordinat layout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/api/days/{date}</w:t>
            </w:r>
          </w:p>
        </w:tc>
        <w:tc>
          <w:tcPr>
            <w:tcW w:type="dxa" w:w="5544"/>
            <w:tcBorders>
              <w:top w:val="single" w:sz="4" w:color="D9D9D9"/>
              <w:left w:val="single" w:sz="4" w:color="D9D9D9"/>
              <w:bottom w:val="single" w:sz="4" w:color="D9D9D9"/>
              <w:right w:val="single" w:sz="4" w:color="D9D9D9"/>
            </w:tcBorders>
            <w:shd w:fill="FFFFFF"/>
          </w:tcPr>
          <w:p>
            <w:r>
              <w:t>Anggaran, terpakai, sisa atau kelebihan, dan daftar makanan tercatat tanggal lokal</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/api/meals?from=&amp;to=&amp;cursor=</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Riwayat tanggal terbatas dengan pagination</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POST /api/meals</w:t>
            </w:r>
          </w:p>
        </w:tc>
        <w:tc>
          <w:tcPr>
            <w:tcW w:type="dxa" w:w="5544"/>
            <w:tcBorders>
              <w:top w:val="single" w:sz="4" w:color="D9D9D9"/>
              <w:left w:val="single" w:sz="4" w:color="D9D9D9"/>
              <w:bottom w:val="single" w:sz="4" w:color="D9D9D9"/>
              <w:right w:val="single" w:sz="4" w:color="D9D9D9"/>
            </w:tcBorders>
            <w:shd w:fill="FFFFFF"/>
          </w:tcPr>
          <w:p>
            <w:r>
              <w:t>Simpan satu makanan secara atomik; wajib Idempotency-Key</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PATCH /api/meals/{id}</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Edit dengan expected_revision; hitung ulang server</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DELETE /api/meals/{id}</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Hapus milik pengguna; aturan revisi sama dengan edit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POST /api/custom-foods</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Buat estimasi pribadi dengan nama, acuan porsi, dan energi</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GET dan PATCH /api/profile</w:t>
            </w:r>
          </w:p>
        </w:tc>
        <w:tc>
          <w:tcPr>
            <w:tcW w:type="dxa" w:w="5544"/>
            <w:tcBorders>
              <w:top w:val="single" w:sz="4" w:color="D9D9D9"/>
              <w:left w:val="single" w:sz="4" w:color="D9D9D9"/>
              <w:bottom w:val="single" w:sz="4" w:color="D9D9D9"/>
              <w:right w:val="single" w:sz="4" w:color="D9D9D9"/>
            </w:tcBorders>
            <w:shd w:fill="FFFFFF"/>
          </w:tcPr>
          <w:p>
            <w:pPr>
              <w:spacing w:after="100" w:before="100"/>
            </w:pPr>
            <w:r>
              <w:rPr>
                <w:b w:val="0"/>
                <w:sz w:val="20"/>
              </w:rPr>
              <w:t>Baca atau ubah profil; pengaruh ke anggaran mengikuti kebijakan terpilih</w:t>
            </w:r>
          </w:p>
        </w:tc>
      </w:tr>
    </w:tbl>
    <w:p>
      <w:pPr>
        <w:pStyle w:val="Heading2"/>
      </w:pPr>
      <w:r>
        <w:t>Payload pencatatan</w:t>
      </w:r>
    </w:p>
    <w:p>
      <w:r>
        <w:t>POST berisi eaten_at, timezone, meal_label, satu item dengan portion_version_id atau custom_food_version_id serta quantity_milli. Referensi katalog dan pribadi saling eksklusif. Kalori klien hanya pratinjau, bukan nilai tersimpan. Respons 201 berisi meal_id, revision, tanggal lokal, snapshot item, total_mkcal, dan stall_id atau asal netral untuk pengantaran. Ringkasan hari diambil ulang setelah mutasi.</w:t>
      </w:r>
    </w:p>
    <w:p>
      <w:pPr>
        <w:pStyle w:val="Heading2"/>
      </w:pPr>
      <w:r>
        <w:t>Kesalahan yang konsisten</w:t>
      </w:r>
    </w:p>
    <w:p>
      <w:r>
        <w:t>Gunakan struktur error dengan code, message, field_errors opsional, dan request_id. Status usulan: 400 payload rusak; 401 sesi tidak valid; 404 sumber tidak ada atau tidak boleh diakses; 409 konflik revisi, idempotensi, atau versi katalog; 422 validasi domain; 429 pembatasan permintaan; 5xx kegagalan server. Pesan pengguna menggunakan bahasa yang mudah dipahami, tanpa stack trace.</w:t>
      </w:r>
    </w:p>
    <w:p>
      <w:r>
        <w:br w:type="page"/>
      </w:r>
    </w:p>
    <w:p>
      <w:pPr>
        <w:pStyle w:val="Heading1"/>
      </w:pPr>
      <w:r>
        <w:t>6 Katalog dan operasi</w:t>
      </w:r>
    </w:p>
    <w:p>
      <w:pPr>
        <w:pStyle w:val="Heading2"/>
      </w:pPr>
      <w:r>
        <w:t>Impor katalog</w:t>
      </w:r>
    </w:p>
    <w:p>
      <w:r>
        <w:t>Siapkan pemetaan dari daftar pemilik produk ke nama, alias, penjual, acuan porsi, ukuran, dan energi. Jalankan validasi serta pratinjau sebelum publikasi. Tolak baris yang tidak punya acuan kalori jelas; jangan menganggap angka per 100 gram sama dengan angka per porsi. Simpan sumber dan versi; publikasi dalam transaksi atau batch yang dapat dibatalkan. Rasio kecil/sedang/besar harus dikurasi per makanan.</w:t>
      </w:r>
    </w:p>
    <w:p>
      <w:pPr>
        <w:pStyle w:val="Heading2"/>
      </w:pPr>
      <w:r>
        <w:t>Deployment yang disarankan</w:t>
      </w:r>
    </w:p>
    <w:p>
      <w:r>
        <w:t>Pisahkan development, staging, dan production. Gunakan migrasi basis data yang tercatat, secret di pengelola environment, TLS, dan koneksi basis data dengan hak minimum. Jalankan pemeriksaan tipe, pengujian, build, serta migrasi di staging sebelum production. Pilihan penyedia, domain, autentikasi, dan biaya masih terbuka. Tidak ada deployment yang dilakukan lewat dokumentasi ini.</w:t>
      </w:r>
    </w:p>
    <w:p>
      <w:pPr>
        <w:pStyle w:val="Heading2"/>
      </w:pPr>
      <w:r>
        <w:t>Backup dan pemulihan</w:t>
      </w:r>
    </w:p>
    <w:p>
      <w:r>
        <w:t>Tetapkan jadwal backup, retensi, target kehilangan data yang dapat diterima, dan waktu pemulihan sebelum peluncuran. Uji restore ke lingkungan terpisah. Rollback aplikasi tidak otomatis membalik perubahan skema; gunakan migrasi kompatibel selama pergantian versi. Simpan katalog versi lama selama masih dirujuk catatan.</w:t>
      </w:r>
    </w:p>
    <w:p>
      <w:pPr>
        <w:pStyle w:val="Heading1"/>
      </w:pPr>
      <w:r>
        <w:t>7 Keamanan dan observabilitas</w:t>
      </w:r>
    </w:p>
    <w:p>
      <w:pPr>
        <w:pStyle w:val="ListBullet"/>
      </w:pPr>
      <w:r>
        <w:t>Otorisasi per objek untuk profil, catatan, dan makanan pribadi. Uji pengguna A tidak dapat membaca atau mengubah milik B.</w:t>
      </w:r>
    </w:p>
    <w:p>
      <w:pPr>
        <w:pStyle w:val="ListBullet"/>
      </w:pPr>
      <w:r>
        <w:t>Validasi semua input server; gunakan parameter query terikat, output escaping, dan pembatasan ukuran payload. Jika memakai cookie sesi, gunakan HttpOnly, Secure, SameSite serta perlindungan CSRF sesuai mekanisme autentikasi.</w:t>
      </w:r>
    </w:p>
    <w:p>
      <w:pPr>
        <w:pStyle w:val="ListBullet"/>
      </w:pPr>
      <w:r>
        <w:t>Log terstruktur berisi request_id, operasi, durasi, status, dan kode error. Hindari profil, nama makanan pribadi, token, dan isi catatan di log.</w:t>
      </w:r>
    </w:p>
    <w:p>
      <w:pPr>
        <w:pStyle w:val="ListBullet"/>
      </w:pPr>
      <w:r>
        <w:t>Pantau kegagalan simpan, latensi pencarian, konflik revisi, dan error impor. Pembatasan permintaan tidak boleh diam-diam menghilangkan pilihan makanan sebelum bayar.</w:t>
      </w:r>
    </w:p>
    <w:p>
      <w:pPr>
        <w:pStyle w:val="ListBullet"/>
      </w:pPr>
      <w:r>
        <w:t>Event produk yang disarankan PRD dipisahkan dari log operasional. Identitas analitik, persetujuan, retensi, dan penghapusan mengikuti kebijakan yang belum dipilih.</w:t>
      </w:r>
    </w:p>
    <w:p>
      <w:r>
        <w:br w:type="page"/>
      </w:r>
    </w:p>
    <w:p>
      <w:pPr>
        <w:pStyle w:val="Heading1"/>
      </w:pPr>
      <w:r>
        <w:t>8 Strategi pengujian</w:t>
      </w:r>
    </w:p>
    <w:tbl>
      <w:tblPr>
        <w:tblW w:type="auto" w:w="0"/>
        <w:tblLayout w:type="fixed"/>
        <w:tblLook w:firstColumn="1" w:firstRow="1" w:lastColumn="0" w:lastRow="0" w:noHBand="0" w:noVBand="1" w:val="04A0"/>
      </w:tblPr>
      <w:tblGrid>
        <w:gridCol w:w="2376"/>
        <w:gridCol w:w="6912"/>
      </w:tblGrid>
      <w:tr>
        <w:trPr>
          <w:cantSplit/>
          <w:tblHeader/>
        </w:trPr>
        <w:tc>
          <w:tcPr>
            <w:tcW w:type="dxa" w:w="2376"/>
            <w:tcBorders>
              <w:top w:val="single" w:sz="4" w:color="D9D9D9"/>
              <w:left w:val="single" w:sz="4" w:color="D9D9D9"/>
              <w:bottom w:val="single" w:sz="4" w:color="D9D9D9"/>
              <w:right w:val="single" w:sz="4" w:color="D9D9D9"/>
            </w:tcBorders>
            <w:shd w:fill="E5EDF3"/>
          </w:tcPr>
          <w:p>
            <w:pPr>
              <w:spacing w:after="100" w:before="100"/>
            </w:pPr>
            <w:r>
              <w:rPr>
                <w:b/>
                <w:sz w:val="20"/>
              </w:rPr>
              <w:t>Lapisan</w:t>
            </w:r>
          </w:p>
        </w:tc>
        <w:tc>
          <w:tcPr>
            <w:tcW w:type="dxa" w:w="6912"/>
            <w:tcBorders>
              <w:top w:val="single" w:sz="4" w:color="D9D9D9"/>
              <w:left w:val="single" w:sz="4" w:color="D9D9D9"/>
              <w:bottom w:val="single" w:sz="4" w:color="D9D9D9"/>
              <w:right w:val="single" w:sz="4" w:color="D9D9D9"/>
            </w:tcBorders>
            <w:shd w:fill="E5EDF3"/>
          </w:tcPr>
          <w:p>
            <w:pPr>
              <w:spacing w:after="100" w:before="100"/>
            </w:pPr>
            <w:r>
              <w:rPr>
                <w:b/>
                <w:sz w:val="20"/>
              </w:rPr>
              <w:t>Skenario penting</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Unit domain</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Setengah/dua porsi, pembulatan batas, sisa negatif, validasi jumlah dan energi, total item</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Integrasi data</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Atomic save, retry idempotensi, payload berbeda pada kunci sama, rollback gagal, konflik revisi</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Integrasi akses</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Pemisahan pengguna, makanan pribadi, objek tak berizin, input rusak</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Tanggal</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Tepat pergantian hari, waktu makan mundur, pindah tanggal, zona waktu berbeda</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Alur web</w:t>
            </w:r>
          </w:p>
        </w:tc>
        <w:tc>
          <w:tcPr>
            <w:tcW w:type="dxa" w:w="6912"/>
            <w:tcBorders>
              <w:top w:val="single" w:sz="4" w:color="D9D9D9"/>
              <w:left w:val="single" w:sz="4" w:color="D9D9D9"/>
              <w:bottom w:val="single" w:sz="4" w:color="D9D9D9"/>
              <w:right w:val="single" w:sz="4" w:color="D9D9D9"/>
            </w:tcBorders>
            <w:shd w:fill="FFFFFF"/>
          </w:tcPr>
          <w:p>
            <w:r>
              <w:t>Cari ke pilih porsi ke Bayar; dompet berubah sekali; uang keluar lalu pengantar menuju meja; edit/hapus dan salin</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Ketahanan</w:t>
            </w:r>
          </w:p>
        </w:tc>
        <w:tc>
          <w:tcPr>
            <w:tcW w:type="dxa" w:w="6912"/>
            <w:tcBorders>
              <w:top w:val="single" w:sz="4" w:color="D9D9D9"/>
              <w:left w:val="single" w:sz="4" w:color="D9D9D9"/>
              <w:bottom w:val="single" w:sz="4" w:color="D9D9D9"/>
              <w:right w:val="single" w:sz="4" w:color="D9D9D9"/>
            </w:tcBorders>
            <w:shd w:fill="FFFFFF"/>
          </w:tcPr>
          <w:p>
            <w:r>
              <w:t>Jaringan terputus sesudah commit, klik ganda, animasi dibatalkan, respons pencarian terlambat, gagal muat aset</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Aksesibilitas dan HP</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Daftar alternatif peta, keyboard, label kontrol, sentuhan dan scroll pada lebar 360 px</w:t>
            </w:r>
          </w:p>
        </w:tc>
      </w:tr>
    </w:tbl>
    <w:p>
      <w:pPr>
        <w:pStyle w:val="Heading2"/>
      </w:pPr>
      <w:r>
        <w:t>Kriteria teknis siap rilis</w:t>
      </w:r>
    </w:p>
    <w:p>
      <w:r>
        <w:t>Semua alur kritis PRD lulus; total server, dompet, dan riwayat cocok pada fixture; retry tidak menduplikasi catatan; kegagalan simpan tidak memicu animasi bayar; animasi terputus tidak mengubah catatan; akses lintas pengguna ditolak; katalog punya acuan porsi; backup dapat dipulihkan. Target latensi, perangkat, browser, dan ambang error harus ditetapkan sebelum rilis.</w:t>
      </w:r>
    </w:p>
    <w:p>
      <w:pPr>
        <w:pStyle w:val="Heading1"/>
      </w:pPr>
      <w:r>
        <w:t>9 Urutan implementasi dan keputusan terbuka</w:t>
      </w:r>
    </w:p>
    <w:p>
      <w:pPr>
        <w:pStyle w:val="ListBullet"/>
      </w:pPr>
      <w:r>
        <w:t>Tetapkan metode anggaran dan input profil. Rancang kontrak perhitungan setelah metode dipilih; jangan memasukkan rumus nutrisi tanpa keputusan produk.</w:t>
      </w:r>
    </w:p>
    <w:p>
      <w:pPr>
        <w:pStyle w:val="ListBullet"/>
      </w:pPr>
      <w:r>
        <w:t>Audit katalog dan tetapkan skema porsi, faktor jumlah, versi, serta ilustrasi.</w:t>
      </w:r>
    </w:p>
    <w:p>
      <w:pPr>
        <w:pStyle w:val="ListBullet"/>
      </w:pPr>
      <w:r>
        <w:t>Pilih akun, penyimpanan, provider, zona waktu, retensi, dan pemulihan data.</w:t>
      </w:r>
    </w:p>
    <w:p>
      <w:pPr>
        <w:pStyle w:val="ListBullet"/>
      </w:pPr>
      <w:r>
        <w:t>Bangun domain pencatatan satu item dan API idempoten; lanjutkan pencarian, pemilihan porsi, riwayat, koreksi, dan salin.</w:t>
      </w:r>
    </w:p>
    <w:p>
      <w:pPr>
        <w:pStyle w:val="ListBullet"/>
      </w:pPr>
      <w:r>
        <w:t>Tambahkan dompet dan foodcourt di atas data yang sama; jalankan animasi uang keluar dan pengantaran hanya dari hasil simpan sukses. Ukur apakah animasi menghambat pencatatan.</w:t>
      </w:r>
    </w:p>
    <w:p>
      <w:pPr>
        <w:pStyle w:val="ListBullet"/>
      </w:pPr>
      <w:r>
        <w:t>Tetapkan target kualitas dan operasional; uji staging sebelum keputusan peluncuran.</w:t>
      </w:r>
    </w:p>
    <w:p>
      <w:pPr>
        <w:pStyle w:val="Heading2"/>
      </w:pPr>
      <w:r>
        <w:t>Acuan dokumen</w:t>
      </w:r>
    </w:p>
    <w:p>
      <w:r>
        <w:t>BPK Product Brief versi 1.1 dan BPK PRD versi 1.1, keduanya bertanggal 17 Oktober 2026. Saat keputusan terbuka diselesaikan, perbarui PRD dan dokumen ini bersama-sama.</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