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AFF58">
      <w:pPr>
        <w:jc w:val="center"/>
        <w:rPr>
          <w:rFonts w:hint="default"/>
          <w:b/>
          <w:color w:val="0D1A1F"/>
          <w:sz w:val="32"/>
          <w:lang w:val="es-BO"/>
        </w:rPr>
      </w:pPr>
      <w:r>
        <w:rPr>
          <w:rFonts w:hint="default"/>
          <w:b/>
          <w:color w:val="0D1A1F"/>
          <w:sz w:val="32"/>
          <w:lang w:val="es-BO"/>
        </w:rPr>
        <w:drawing>
          <wp:inline distT="0" distB="0" distL="114300" distR="114300">
            <wp:extent cx="4518660" cy="1395730"/>
            <wp:effectExtent l="0" t="0" r="15240" b="13970"/>
            <wp:docPr id="1" name="Imagen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s"/>
                    <pic:cNvPicPr>
                      <a:picLocks noChangeAspect="1"/>
                    </pic:cNvPicPr>
                  </pic:nvPicPr>
                  <pic:blipFill>
                    <a:blip r:embed="rId6"/>
                    <a:stretch>
                      <a:fillRect/>
                    </a:stretch>
                  </pic:blipFill>
                  <pic:spPr>
                    <a:xfrm>
                      <a:off x="0" y="0"/>
                      <a:ext cx="4518660" cy="1395730"/>
                    </a:xfrm>
                    <a:prstGeom prst="rect">
                      <a:avLst/>
                    </a:prstGeom>
                  </pic:spPr>
                </pic:pic>
              </a:graphicData>
            </a:graphic>
          </wp:inline>
        </w:drawing>
      </w:r>
    </w:p>
    <w:p w14:paraId="3DF516ED">
      <w:pPr>
        <w:jc w:val="center"/>
        <w:rPr>
          <w:rFonts w:hint="default"/>
          <w:b/>
          <w:color w:val="0D1A1F"/>
          <w:sz w:val="32"/>
          <w:lang w:val="es-BO"/>
        </w:rPr>
      </w:pPr>
    </w:p>
    <w:p w14:paraId="58D1C13C">
      <w:pPr>
        <w:jc w:val="center"/>
        <w:rPr>
          <w:rFonts w:hint="default"/>
          <w:b/>
          <w:color w:val="FF0000"/>
          <w:sz w:val="32"/>
          <w:lang w:val="es-BO"/>
        </w:rPr>
      </w:pPr>
      <w:r>
        <w:rPr>
          <w:rFonts w:hint="default"/>
          <w:b/>
          <w:color w:val="FF0000"/>
          <w:sz w:val="32"/>
          <w:lang w:val="es-BO"/>
        </w:rPr>
        <w:t>─────────────────────────────────────────────────────────</w:t>
      </w:r>
    </w:p>
    <w:p w14:paraId="51BE5D4E">
      <w:pPr>
        <w:jc w:val="center"/>
        <w:rPr>
          <w:b/>
          <w:color w:val="0D1A1F"/>
          <w:sz w:val="32"/>
        </w:rPr>
      </w:pPr>
      <w:r>
        <w:rPr>
          <w:b/>
          <w:color w:val="0D1A1F"/>
          <w:sz w:val="32"/>
        </w:rPr>
        <w:t>PROYECTO DE EMPRENDIMIENTO INNOVADOR</w:t>
      </w:r>
    </w:p>
    <w:p w14:paraId="0B99C1A2">
      <w:pPr>
        <w:jc w:val="center"/>
        <w:rPr>
          <w:rFonts w:hint="default"/>
          <w:b/>
          <w:color w:val="0D1A1F"/>
          <w:sz w:val="32"/>
          <w:lang w:val="es-BO"/>
        </w:rPr>
      </w:pPr>
      <w:r>
        <w:rPr>
          <w:rFonts w:hint="default"/>
          <w:b/>
          <w:color w:val="0D1A1F"/>
          <w:sz w:val="32"/>
          <w:lang w:val="es-BO"/>
        </w:rPr>
        <w:t>“FEXPOJETS 2026”</w:t>
      </w:r>
    </w:p>
    <w:p w14:paraId="2ABA099D">
      <w:pPr>
        <w:jc w:val="center"/>
        <w:rPr>
          <w:rFonts w:hint="default"/>
          <w:b/>
          <w:color w:val="0D1A1F"/>
          <w:sz w:val="32"/>
          <w:lang w:val="es-BO"/>
        </w:rPr>
      </w:pPr>
    </w:p>
    <w:p w14:paraId="3CEDFAA3">
      <w:pPr>
        <w:jc w:val="center"/>
        <w:rPr>
          <w:rFonts w:hint="default"/>
          <w:b/>
          <w:bCs/>
          <w:color w:val="FF0000"/>
          <w:sz w:val="44"/>
          <w:szCs w:val="44"/>
          <w:lang w:val="es-BO"/>
        </w:rPr>
      </w:pPr>
      <w:r>
        <w:rPr>
          <w:rFonts w:hint="default"/>
          <w:b/>
          <w:bCs/>
          <w:color w:val="FF0000"/>
          <w:sz w:val="44"/>
          <w:szCs w:val="44"/>
          <w:lang w:val="es-BO"/>
        </w:rPr>
        <w:t>SEÑA BOLIVIANA</w:t>
      </w:r>
    </w:p>
    <w:p w14:paraId="0B798772">
      <w:pPr>
        <w:jc w:val="center"/>
        <w:rPr>
          <w:rFonts w:hint="default"/>
          <w:b/>
          <w:bCs/>
          <w:i/>
          <w:iCs/>
          <w:color w:val="808080" w:themeColor="background1" w:themeShade="80"/>
          <w:sz w:val="24"/>
          <w:szCs w:val="24"/>
          <w:lang w:val="es-BO"/>
        </w:rPr>
      </w:pPr>
      <w:r>
        <w:rPr>
          <w:rFonts w:hint="default"/>
          <w:b/>
          <w:bCs/>
          <w:i/>
          <w:iCs/>
          <w:color w:val="808080" w:themeColor="background1" w:themeShade="80"/>
          <w:sz w:val="24"/>
          <w:szCs w:val="24"/>
          <w:lang w:val="es-BO"/>
        </w:rPr>
        <w:t>“Las manos también tienen voz”</w:t>
      </w:r>
    </w:p>
    <w:p w14:paraId="2BB9063D">
      <w:pPr>
        <w:jc w:val="both"/>
        <w:rPr>
          <w:rFonts w:hint="default"/>
          <w:b/>
          <w:bCs/>
          <w:i/>
          <w:iCs/>
          <w:color w:val="808080" w:themeColor="background1" w:themeShade="80"/>
          <w:sz w:val="24"/>
          <w:szCs w:val="24"/>
          <w:lang w:val="es-BO"/>
        </w:rPr>
      </w:pPr>
    </w:p>
    <w:p w14:paraId="76178E65">
      <w:pPr>
        <w:jc w:val="center"/>
        <w:rPr>
          <w:rFonts w:hint="default"/>
          <w:b/>
          <w:color w:val="FF0000"/>
          <w:sz w:val="32"/>
          <w:lang w:val="es-BO"/>
        </w:rPr>
      </w:pPr>
      <w:r>
        <w:rPr>
          <w:rFonts w:hint="default"/>
          <w:b/>
          <w:color w:val="FF0000"/>
          <w:sz w:val="32"/>
          <w:lang w:val="es-BO"/>
        </w:rPr>
        <w:t>─────────────────────────────────────────────────────────</w:t>
      </w:r>
    </w:p>
    <w:p w14:paraId="24A63C3B">
      <w:pPr>
        <w:jc w:val="center"/>
        <w:rPr>
          <w:rFonts w:hint="default"/>
          <w:b/>
          <w:bCs/>
          <w:sz w:val="40"/>
          <w:szCs w:val="40"/>
          <w:lang w:val="es-BO"/>
        </w:rPr>
      </w:pPr>
      <w:r>
        <w:rPr>
          <w:rFonts w:hint="default"/>
          <w:b/>
          <w:bCs/>
          <w:sz w:val="40"/>
          <w:szCs w:val="40"/>
          <w:lang w:val="es-BO"/>
        </w:rPr>
        <w:t>Ingeniería En Sistemas</w:t>
      </w:r>
    </w:p>
    <w:p w14:paraId="0D0BACE2">
      <w:pPr>
        <w:jc w:val="center"/>
        <w:rPr>
          <w:rFonts w:hint="default"/>
          <w:b/>
          <w:bCs/>
          <w:sz w:val="40"/>
          <w:szCs w:val="40"/>
          <w:lang w:val="es-BO"/>
        </w:rPr>
      </w:pPr>
      <w:r>
        <w:rPr>
          <w:rFonts w:hint="default"/>
          <w:b/>
          <w:bCs/>
          <w:sz w:val="40"/>
          <w:szCs w:val="40"/>
          <w:lang w:val="es-BO"/>
        </w:rPr>
        <w:t>Universidad Tecnológica Privada de Santa Cruz</w:t>
      </w:r>
    </w:p>
    <w:p w14:paraId="41A77D4C">
      <w:pPr>
        <w:jc w:val="center"/>
        <w:rPr>
          <w:rFonts w:hint="default"/>
          <w:b/>
          <w:bCs/>
          <w:sz w:val="40"/>
          <w:szCs w:val="40"/>
          <w:lang w:val="es-BO"/>
        </w:rPr>
      </w:pPr>
    </w:p>
    <w:p w14:paraId="10B289A2">
      <w:r>
        <w:rPr>
          <w:b/>
        </w:rPr>
        <w:t>Participantes:</w:t>
      </w:r>
    </w:p>
    <w:p w14:paraId="552CC69F">
      <w:pPr>
        <w:jc w:val="both"/>
        <w:rPr>
          <w:rFonts w:hint="default"/>
          <w:lang w:val="es-BO"/>
        </w:rPr>
      </w:pPr>
      <w:r>
        <w:rPr>
          <w:rFonts w:hint="default"/>
          <w:lang w:val="es-BO"/>
        </w:rPr>
        <w:t>Richard Junior Montaño Flores</w:t>
      </w:r>
      <w:bookmarkStart w:id="0" w:name="_GoBack"/>
      <w:bookmarkEnd w:id="0"/>
    </w:p>
    <w:p w14:paraId="2EC7D494">
      <w:pPr>
        <w:jc w:val="both"/>
        <w:rPr>
          <w:rFonts w:hint="default"/>
          <w:lang w:val="es-BO"/>
        </w:rPr>
      </w:pPr>
      <w:r>
        <w:rPr>
          <w:rFonts w:hint="default"/>
          <w:lang w:val="es-BO"/>
        </w:rPr>
        <w:t>Wilian Alejandro Suarez Ojopi</w:t>
      </w:r>
    </w:p>
    <w:p w14:paraId="4F752192">
      <w:pPr>
        <w:jc w:val="both"/>
        <w:rPr>
          <w:rFonts w:hint="default"/>
          <w:lang w:val="es-BO"/>
        </w:rPr>
      </w:pPr>
      <w:r>
        <w:rPr>
          <w:rFonts w:hint="default"/>
          <w:lang w:val="es-BO"/>
        </w:rPr>
        <w:t>Matías Padilla Ovando</w:t>
      </w:r>
    </w:p>
    <w:p w14:paraId="0DCC14D7">
      <w:pPr>
        <w:jc w:val="both"/>
        <w:rPr>
          <w:rFonts w:hint="default"/>
          <w:lang w:val="es-BO"/>
        </w:rPr>
      </w:pPr>
    </w:p>
    <w:p w14:paraId="2677465B">
      <w:pPr>
        <w:jc w:val="center"/>
        <w:rPr>
          <w:rFonts w:hint="default"/>
          <w:lang w:val="es-BO"/>
        </w:rPr>
      </w:pPr>
      <w:r>
        <w:rPr>
          <w:rFonts w:hint="default"/>
          <w:lang w:val="es-BO"/>
        </w:rPr>
        <w:t>Santa Cruz De La Sierra - Bolivia</w:t>
      </w:r>
    </w:p>
    <w:p w14:paraId="689A65B3">
      <w:pPr>
        <w:jc w:val="center"/>
        <w:rPr>
          <w:b/>
          <w:color w:val="0D1A1F"/>
          <w:sz w:val="32"/>
        </w:rPr>
      </w:pPr>
      <w:r>
        <w:rPr>
          <w:rFonts w:hint="default"/>
          <w:lang w:val="es-BO"/>
        </w:rPr>
        <w:t>2026</w:t>
      </w:r>
    </w:p>
    <w:p w14:paraId="5648A9FF">
      <w:pPr>
        <w:jc w:val="center"/>
        <w:rPr>
          <w:rFonts w:hint="default"/>
          <w:lang w:val="es-BO"/>
        </w:rPr>
      </w:pPr>
      <w:r>
        <w:rPr>
          <w:b/>
          <w:color w:val="0D1A1F"/>
          <w:sz w:val="32"/>
        </w:rPr>
        <w:t xml:space="preserve">PROYECTO </w:t>
      </w:r>
      <w:r>
        <w:rPr>
          <w:rFonts w:hint="default"/>
          <w:b/>
          <w:color w:val="0D1A1F"/>
          <w:sz w:val="32"/>
          <w:lang w:val="es-BO"/>
        </w:rPr>
        <w:t>SEÑA BOLIVIANA</w:t>
      </w:r>
    </w:p>
    <w:p w14:paraId="7999C7E3">
      <w:pPr>
        <w:jc w:val="center"/>
      </w:pPr>
      <w:r>
        <w:rPr>
          <w:i/>
          <w:color w:val="444444"/>
          <w:sz w:val="19"/>
        </w:rPr>
        <w:t>FEXPOJETS 2026  |  JETS 2026  |  Universidad Tecnologica Privada de Santa Cruz (UTEPSA)</w:t>
      </w:r>
    </w:p>
    <w:p w14:paraId="6C9FBB9F"/>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1"/>
        <w:gridCol w:w="4561"/>
      </w:tblGrid>
      <w:tr w14:paraId="191C7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1A5C54"/>
          </w:tcPr>
          <w:p w14:paraId="658E538A">
            <w:pPr>
              <w:jc w:val="center"/>
            </w:pPr>
            <w:r>
              <w:rPr>
                <w:b/>
                <w:color w:val="FFFFFF"/>
                <w:sz w:val="22"/>
              </w:rPr>
              <w:t>Carrera</w:t>
            </w:r>
          </w:p>
        </w:tc>
        <w:tc>
          <w:tcPr>
            <w:tcW w:w="4561" w:type="dxa"/>
            <w:shd w:val="clear" w:color="auto" w:fill="1A5C54"/>
          </w:tcPr>
          <w:p w14:paraId="4B218A07">
            <w:pPr>
              <w:jc w:val="center"/>
            </w:pPr>
            <w:r>
              <w:rPr>
                <w:b/>
                <w:color w:val="FFFFFF"/>
                <w:sz w:val="22"/>
              </w:rPr>
              <w:t>Nombre del Proyecto</w:t>
            </w:r>
          </w:p>
        </w:tc>
      </w:tr>
      <w:tr w14:paraId="5D52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Pr>
          <w:p w14:paraId="4B3EC414">
            <w:pPr>
              <w:jc w:val="center"/>
            </w:pPr>
            <w:r>
              <w:t>Ingenieria de Sistemas</w:t>
            </w:r>
          </w:p>
        </w:tc>
        <w:tc>
          <w:tcPr>
            <w:tcW w:w="4561" w:type="dxa"/>
          </w:tcPr>
          <w:p w14:paraId="3B7A56B1">
            <w:pPr>
              <w:jc w:val="center"/>
            </w:pPr>
            <w:r>
              <w:t>Sena Boliviana — Puente de comunicacion con IA para la comunidad sorda</w:t>
            </w:r>
          </w:p>
        </w:tc>
      </w:tr>
    </w:tbl>
    <w:p w14:paraId="2E555171">
      <w:pPr>
        <w:spacing w:before="320" w:after="80"/>
      </w:pPr>
      <w:r>
        <w:rPr>
          <w:b/>
          <w:color w:val="1A5C54"/>
          <w:sz w:val="26"/>
        </w:rPr>
        <w:t>Introduccion</w:t>
      </w:r>
    </w:p>
    <w:p w14:paraId="493FDAFA">
      <w:pPr>
        <w:jc w:val="both"/>
      </w:pPr>
      <w:r>
        <w:rPr>
          <w:i w:val="0"/>
          <w:sz w:val="22"/>
        </w:rPr>
        <w:t>Bolivia es un pais plurilingue y multicultural. El Estado reconoce el quechua, el aymara y 36 lenguas originarias mas como lenguas oficiales (Constitucion Politica del Estado Plurinacional, art. 5), y garantiza a las personas con discapacidad el acceso a la Lengua de Senas Boliviana (LSB) como su lengua natural de comunicacion, segun la Ley General para Personas con Discapacidad N.o 223 (promulgada el 2 de marzo de 2012). Sin embargo, en la practica cotidiana, estas garantias legales no se materializan: la mayoria del personal de salud, educacion y servicios publicos no cuenta con competencias en LSB ni en lenguas originarias, generando una brecha de comunicacion que excluye a miles de bolivianos del acceso efectivo a sus derechos.</w:t>
      </w:r>
    </w:p>
    <w:p w14:paraId="1DEF570F">
      <w:pPr>
        <w:jc w:val="both"/>
      </w:pPr>
      <w:r>
        <w:rPr>
          <w:i w:val="0"/>
          <w:sz w:val="22"/>
        </w:rPr>
        <w:t>Sena Boliviana es un prototipo de software que actua como puente de comunicacion bidireccional asistido por inteligencia artificial. Permite que una persona sorda se exprese mediante senas frente a la camara y que el sistema reconozca la sena, la muestre en texto en castellano, quechua y aymara, y la diga en voz alta. Al mismo tiempo, la persona oyente puede hablar al microfono y la app transcribe su voz a texto grande y legible para que la persona sorda lo lea. El sistema corre completamente de forma local en el navegador web, sin conexion permanente a internet, lo que lo hace viable en zonas rurales con conectividad limitada o nula.</w:t>
      </w:r>
    </w:p>
    <w:p w14:paraId="3C863CF4">
      <w:pPr>
        <w:spacing w:before="320" w:after="80"/>
        <w:rPr>
          <w:b/>
          <w:color w:val="1A5C54"/>
          <w:sz w:val="26"/>
        </w:rPr>
      </w:pPr>
    </w:p>
    <w:p w14:paraId="065F8535">
      <w:pPr>
        <w:spacing w:before="320" w:after="80"/>
        <w:rPr>
          <w:b/>
          <w:color w:val="1A5C54"/>
          <w:sz w:val="26"/>
        </w:rPr>
      </w:pPr>
    </w:p>
    <w:p w14:paraId="1B31DE4D">
      <w:pPr>
        <w:spacing w:before="320" w:after="80"/>
      </w:pPr>
      <w:r>
        <w:rPr>
          <w:b/>
          <w:color w:val="1A5C54"/>
          <w:sz w:val="26"/>
        </w:rPr>
        <w:t>Planteamiento del problema</w:t>
      </w:r>
    </w:p>
    <w:p w14:paraId="34ED09E7">
      <w:pPr>
        <w:jc w:val="both"/>
      </w:pPr>
      <w:r>
        <w:rPr>
          <w:i w:val="0"/>
          <w:sz w:val="22"/>
        </w:rPr>
        <w:t>La exclusion comunicacional de las personas sordas es una realidad estructural en Bolivia. La Federacion Boliviana de Sordos estima que decenas de miles de bolivianos forman parte de la comunidad sorda, y que solo una minima fraccion del personal de salud publica tiene formacion en LSB. Esta situacion se agrava en tres escenarios especificos:</w:t>
      </w:r>
    </w:p>
    <w:p w14:paraId="21F06692">
      <w:pPr>
        <w:pStyle w:val="29"/>
        <w:jc w:val="both"/>
      </w:pPr>
      <w:r>
        <w:rPr>
          <w:sz w:val="22"/>
        </w:rPr>
        <w:t>Postas de salud rural: en comunidades quechua y aymara, el personal de salud frecuentemente solo habla castellano. Un paciente sordo quechuahablante que llega a la posta enfrenta una doble barrera: no puede hacer se entender mediante senas (el medico no las conoce) y no puede comunicarse en su lengua materna. La consulta depende de que alguien que conozca ambas lenguas este presente, lo que rara vez ocurre.</w:t>
      </w:r>
    </w:p>
    <w:p w14:paraId="1ABEA6D5">
      <w:pPr>
        <w:pStyle w:val="29"/>
        <w:jc w:val="both"/>
      </w:pPr>
      <w:r>
        <w:rPr>
          <w:sz w:val="22"/>
        </w:rPr>
        <w:t>Atencion de emergencia: en situaciones de urgencia, la incapacidad de comunicarse puede derivar en diagnosticos incorrectos, demoras en el tratamiento o directamente en la negacion de atencion, vulnerando el derecho a la salud garantizado en el art. 18 de la CPE.</w:t>
      </w:r>
    </w:p>
    <w:p w14:paraId="65FD2183">
      <w:pPr>
        <w:pStyle w:val="29"/>
        <w:jc w:val="both"/>
      </w:pPr>
      <w:r>
        <w:rPr>
          <w:sz w:val="22"/>
        </w:rPr>
        <w:t>Educacion y tramites: la misma barrera se replica en escuelas, oficinas publicas y comercios, limitando la autonomia de las personas sordas en la vida cotidiana.</w:t>
      </w:r>
    </w:p>
    <w:p w14:paraId="0A2158C9">
      <w:pPr>
        <w:jc w:val="both"/>
      </w:pPr>
      <w:r>
        <w:rPr>
          <w:i w:val="0"/>
          <w:sz w:val="22"/>
        </w:rPr>
        <w:t>El problema concreto que motiva este proyecto es el siguiente: en Bolivia no existe una herramienta digital de acceso libre, gratuita, offline y trilingue (castellano, quechua, aymara) que permita la comunicacion bidireccional entre una persona sorda y una persona oyente sin la presencia de un interprete humano. Las soluciones existentes en el mercado (principalmente para lengua de senas estadounidense o espanola) no contemplan la LSB, ni las lenguas originarias, ni las condiciones de conectividad de Bolivia.</w:t>
      </w:r>
    </w:p>
    <w:p w14:paraId="00299AE9">
      <w:pPr>
        <w:spacing w:before="320" w:after="80"/>
      </w:pPr>
      <w:r>
        <w:rPr>
          <w:b/>
          <w:color w:val="1A5C54"/>
          <w:sz w:val="26"/>
        </w:rPr>
        <w:t>Objetivos</w:t>
      </w:r>
    </w:p>
    <w:p w14:paraId="09C6BAAF">
      <w:r>
        <w:rPr>
          <w:b/>
        </w:rPr>
        <w:t>Objetivo general</w:t>
      </w:r>
    </w:p>
    <w:p w14:paraId="2EDC4611">
      <w:pPr>
        <w:pStyle w:val="29"/>
        <w:jc w:val="both"/>
      </w:pPr>
      <w:r>
        <w:rPr>
          <w:sz w:val="22"/>
        </w:rPr>
        <w:t>Desarrollar un prototipo funcional de sistema de comunicacion bidireccional asistido por inteligencia artificial que reduzca la barrera comunicacional entre personas sordas y oyentes en Bolivia, con salida trilingue en castellano, quechua y aymara, ejecutandose 100% de forma local en el navegador.</w:t>
      </w:r>
    </w:p>
    <w:p w14:paraId="515B958B">
      <w:r>
        <w:rPr>
          <w:b/>
        </w:rPr>
        <w:t>Objetivos especificos</w:t>
      </w:r>
    </w:p>
    <w:p w14:paraId="174912F6">
      <w:pPr>
        <w:pStyle w:val="29"/>
        <w:jc w:val="both"/>
      </w:pPr>
      <w:r>
        <w:rPr>
          <w:sz w:val="22"/>
        </w:rPr>
        <w:t>Implementar el reconocimiento de senas estaticas de la LSB mediante deteccion de manos por vision computacional (MediaPipe Hand Landmarker) y un clasificador k-NN desarrollado integramente por el equipo.</w:t>
      </w:r>
    </w:p>
    <w:p w14:paraId="04A60DB9">
      <w:pPr>
        <w:pStyle w:val="29"/>
        <w:jc w:val="both"/>
      </w:pPr>
      <w:r>
        <w:rPr>
          <w:sz w:val="22"/>
        </w:rPr>
        <w:t>Mostrar la traduccion en los tres idiomas nacionales (castellano, quechua, aymara) y pronunciar la palabra en voz alta mediante sintesis de voz del navegador.</w:t>
      </w:r>
    </w:p>
    <w:p w14:paraId="296BD01E">
      <w:pPr>
        <w:pStyle w:val="29"/>
        <w:jc w:val="both"/>
      </w:pPr>
      <w:r>
        <w:rPr>
          <w:sz w:val="22"/>
        </w:rPr>
        <w:t>Implementar el modo inverso (Oyente a Sordo): reconocimiento de voz que transcribe lo que dice la persona oyente a texto grande y legible en pantalla.</w:t>
      </w:r>
    </w:p>
    <w:p w14:paraId="5D28A03F">
      <w:pPr>
        <w:pStyle w:val="29"/>
        <w:jc w:val="both"/>
      </w:pPr>
      <w:r>
        <w:rPr>
          <w:sz w:val="22"/>
        </w:rPr>
        <w:t>Construir y publicar un dataset abierto de senas de la LSB en formato JSON como aporte academico y recurso para futuros investigadores.</w:t>
      </w:r>
    </w:p>
    <w:p w14:paraId="56AFA704">
      <w:pPr>
        <w:pStyle w:val="29"/>
        <w:jc w:val="both"/>
      </w:pPr>
      <w:r>
        <w:rPr>
          <w:sz w:val="22"/>
        </w:rPr>
        <w:t>Garantizar que la herramienta funcione sin conexion permanente a internet y sin costo de operacion, viable en postas rurales con infraestructura limitada.</w:t>
      </w:r>
    </w:p>
    <w:p w14:paraId="37AA2853">
      <w:pPr>
        <w:spacing w:before="320" w:after="80"/>
      </w:pPr>
      <w:r>
        <w:rPr>
          <w:b/>
          <w:color w:val="1A5C54"/>
          <w:sz w:val="26"/>
        </w:rPr>
        <w:t>Memoria de calculo (metodologia tecnica)</w:t>
      </w:r>
    </w:p>
    <w:p w14:paraId="029C6384">
      <w:pPr>
        <w:jc w:val="both"/>
      </w:pPr>
      <w:r>
        <w:rPr>
          <w:i w:val="0"/>
          <w:sz w:val="22"/>
        </w:rPr>
        <w:t>El nucleo de reconocimiento es un clasificador k-Nearest Neighbors (k-NN) implementado integramente por el equipo en JavaScript, sin librerias de inteligencia artificial externas. Esto es una decision deliberada: el algoritmo es explicable, auditado y de complejidad entendible por el equipo. El flujo tecnico es el siguiente:</w:t>
      </w:r>
    </w:p>
    <w:p w14:paraId="699A0DA5">
      <w:pPr>
        <w:pStyle w:val="29"/>
        <w:jc w:val="both"/>
      </w:pPr>
      <w:r>
        <w:rPr>
          <w:sz w:val="22"/>
        </w:rPr>
        <w:t>Captura: la camara del dispositivo entrega cuadros de video en tiempo real al modelo de deteccion de manos MediaPipe Hand Landmarker, que devuelve las coordenadas (x, y, z) de los 21 puntos anatomicos de la mano (articulaciones y puntas de dedos).</w:t>
      </w:r>
    </w:p>
    <w:p w14:paraId="04B8B634">
      <w:pPr>
        <w:pStyle w:val="29"/>
        <w:jc w:val="both"/>
      </w:pPr>
      <w:r>
        <w:rPr>
          <w:sz w:val="22"/>
        </w:rPr>
        <w:t>Normalizacion: los 21 puntos se trasladan respecto a la muneca (punto 0 = origen) y se dividen por la distancia entre la muneca y el nudillo medio (punto 9). Esto genera un vector de 63 valores (21 * 3 coordenadas) invariante a la posicion de la mano en pantalla y al tamano del encuadre, lo que hace el clasificador robusto a distintos usuarios y camaras.</w:t>
      </w:r>
    </w:p>
    <w:p w14:paraId="4CC16ACD">
      <w:pPr>
        <w:pStyle w:val="29"/>
        <w:jc w:val="both"/>
      </w:pPr>
      <w:r>
        <w:rPr>
          <w:sz w:val="22"/>
        </w:rPr>
        <w:t>Clasificacion: se calcula la distancia euclidiana entre el vector actual y cada muestra almacenada. Se seleccionan los k=3 vecinos mas cercanos y se vota la etiqueta mayoritaria. Si la distancia al vecino mas cercano supera un umbral ajustable por el usuario, el sistema no emite resultado (evita falsos positivos).</w:t>
      </w:r>
    </w:p>
    <w:p w14:paraId="01D49EF1">
      <w:pPr>
        <w:pStyle w:val="29"/>
        <w:jc w:val="both"/>
      </w:pPr>
      <w:r>
        <w:rPr>
          <w:sz w:val="22"/>
        </w:rPr>
        <w:t>Estabilizacion: una sena solo se confirma cuando se reconoce de forma consistente durante seis cuadros consecutivos, evitando que el sistema anuncie senas por movimientos de transicion.</w:t>
      </w:r>
    </w:p>
    <w:p w14:paraId="7197BA9E">
      <w:pPr>
        <w:pStyle w:val="29"/>
        <w:jc w:val="both"/>
      </w:pPr>
      <w:r>
        <w:rPr>
          <w:sz w:val="22"/>
        </w:rPr>
        <w:t>Dataset: se recolectan 15 a 20 muestras por sena entre los miembros del equipo, incorporando variabilidad de manos y angulos. El dataset se almacena localmente y es exportable como archivo JSON abierto, citado en este proyecto como su principal aporte academico.</w:t>
      </w:r>
    </w:p>
    <w:p w14:paraId="3A8ED653">
      <w:pPr>
        <w:pStyle w:val="29"/>
        <w:jc w:val="both"/>
      </w:pPr>
      <w:r>
        <w:rPr>
          <w:sz w:val="22"/>
        </w:rPr>
        <w:t>Modo oyente: la transcripcion de voz utiliza la Web Speech API nativa del navegador (SpeechRecognition), configurada para espanol de Bolivia (es-BO). No requiere APIs externas ni costos por uso.</w:t>
      </w:r>
    </w:p>
    <w:p w14:paraId="3E24E967">
      <w:pPr>
        <w:spacing w:before="320" w:after="80"/>
      </w:pPr>
      <w:r>
        <w:rPr>
          <w:b/>
          <w:color w:val="1A5C54"/>
          <w:sz w:val="26"/>
        </w:rPr>
        <w:t>Propuesta de valor</w:t>
      </w:r>
    </w:p>
    <w:p w14:paraId="0252A7EC">
      <w:pPr>
        <w:jc w:val="both"/>
      </w:pPr>
      <w:r>
        <w:rPr>
          <w:i w:val="0"/>
          <w:sz w:val="22"/>
        </w:rPr>
        <w:t>Sena Boliviana atiende una necesidad real, documentada y urgente que no esta resuelta por ninguna herramienta disponible en Bolivia hoy. Su propuesta de valor descansa en cinco pilares:</w:t>
      </w:r>
    </w:p>
    <w:p w14:paraId="6AE72868">
      <w:r>
        <w:rPr>
          <w:b/>
        </w:rPr>
        <w:t xml:space="preserve">1. Pertinencia legal y social: </w:t>
      </w:r>
      <w:r>
        <w:t>la Ley N.o 223 reconoce la LSB como lengua oficial de la comunidad sorda boliviana y el Estado tiene la obligacion de garantizar su uso en servicios publicos. La Constitucion (art. 5) reconoce 36 lenguas originarias, entre ellas el quechua y el aymara. Este proyecto materializa esas garantias legales en una herramienta de uso inmediato.</w:t>
      </w:r>
    </w:p>
    <w:p w14:paraId="59E857DF">
      <w:r>
        <w:rPr>
          <w:b/>
        </w:rPr>
        <w:t xml:space="preserve">2. Aplicabilidad en postas rurales: </w:t>
      </w:r>
      <w:r>
        <w:t>el sistema no requiere conexion continua a internet una vez cargado el modelo de manos, funcionando en laptops o tablets estandar. Esto lo hace directamente aplicable en postas de salud rurales, que suelen tener conectividad intermitente o nula, y donde la doble barrera (sordez + lengua originaria) es mas frecuente y mas grave.</w:t>
      </w:r>
    </w:p>
    <w:p w14:paraId="40C638EF">
      <w:r>
        <w:rPr>
          <w:b/>
        </w:rPr>
        <w:t xml:space="preserve">3. Inteligencia artificial propia y explicable: </w:t>
      </w:r>
      <w:r>
        <w:t>el clasificador k-NN fue desarrollado completamente por el equipo. No es una caja negra externa: cada linea de codigo puede explicarse ante el jurado y ante cualquier interesado. El dataset de LSB generado es un aporte academico original, libre y reutilizable.</w:t>
      </w:r>
    </w:p>
    <w:p w14:paraId="255E2875">
      <w:r>
        <w:rPr>
          <w:b/>
        </w:rPr>
        <w:t xml:space="preserve">4. Cero barreras de adopcion: </w:t>
      </w:r>
      <w:r>
        <w:t>la herramienta es un unico archivo web que se abre con doble clic en el navegador. No requiere instalacion, cuentas de usuario, servidores ni costo de operacion. Cualquier funcionario de salud puede usarla sin capacitacion tecnica previa.</w:t>
      </w:r>
    </w:p>
    <w:p w14:paraId="7D756BC5">
      <w:r>
        <w:rPr>
          <w:b/>
        </w:rPr>
        <w:t xml:space="preserve">5. Privacidad total: </w:t>
      </w:r>
      <w:r>
        <w:t>ningun video, audio ni dato personal sale del dispositivo del usuario. Todo el procesamiento ocurre localmente, lo cual es esencial en contextos de salud.</w:t>
      </w:r>
    </w:p>
    <w:p w14:paraId="510208E3">
      <w:pPr>
        <w:spacing w:before="320" w:after="80"/>
      </w:pPr>
      <w:r>
        <w:rPr>
          <w:b/>
          <w:color w:val="1A5C54"/>
          <w:sz w:val="26"/>
        </w:rPr>
        <w:t>Conclusiones</w:t>
      </w:r>
    </w:p>
    <w:p w14:paraId="359E4802">
      <w:pPr>
        <w:jc w:val="both"/>
      </w:pPr>
      <w:r>
        <w:rPr>
          <w:i w:val="0"/>
          <w:sz w:val="22"/>
        </w:rPr>
        <w:t>Sena Boliviana demuestra que es tecnicamente factible y economicamente viable construir un puente de comunicacion bidireccional para la comunidad sorda de Bolivia utilizando unicamente tecnologias web abiertas, un clasificador de aprendizaje automatico propio y los recursos de un equipo universitario de tres personas. El prototipo valida el reconocimiento de senas estaticas de la LSB, la salida trilingue en castellano, quechua y aymara, y el modo inverso de transcripcion de voz a texto.</w:t>
      </w:r>
    </w:p>
    <w:p w14:paraId="17D0252B">
      <w:pPr>
        <w:jc w:val="both"/>
      </w:pPr>
      <w:r>
        <w:rPr>
          <w:i w:val="0"/>
          <w:sz w:val="22"/>
        </w:rPr>
        <w:t>El proyecto cumple integralmente los criterios de evaluacion de FEXPOJETS 2026: responde a una necesidad social real (inclusion de personas sordas), es innovador en el contexto boliviano (no existe una herramienta equivalente para la LSB y las lenguas originarias), tiene impacto tecnico y social medible, y es pertinente con la carrera de Ingenieria de Sistemas en tanto integra vision por computadora, aprendizaje automatico, desarrollo web y gestion de datos.</w:t>
      </w:r>
    </w:p>
    <w:p w14:paraId="08EBE03C">
      <w:pPr>
        <w:jc w:val="both"/>
      </w:pPr>
      <w:r>
        <w:rPr>
          <w:i w:val="0"/>
          <w:sz w:val="22"/>
        </w:rPr>
        <w:t>El dataset abierto de senas de la LSB constituye el principal aporte academico del proyecto: un recurso que no existia antes y que queda disponible para futuros investigadores, docentes y desarrolladores de la comunidad.</w:t>
      </w:r>
    </w:p>
    <w:p w14:paraId="0C932CDB">
      <w:pPr>
        <w:spacing w:before="320" w:after="80"/>
      </w:pPr>
      <w:r>
        <w:rPr>
          <w:b/>
          <w:color w:val="1A5C54"/>
          <w:sz w:val="26"/>
        </w:rPr>
        <w:t>Recomendaciones</w:t>
      </w:r>
    </w:p>
    <w:p w14:paraId="0FC820D3">
      <w:pPr>
        <w:pStyle w:val="29"/>
        <w:jc w:val="both"/>
      </w:pPr>
      <w:r>
        <w:rPr>
          <w:sz w:val="22"/>
        </w:rPr>
        <w:t>Validar las traducciones al quechua y al aymara con hablantes nativos certificados antes de cualquier despliegue en postas de salud. Los traductores deben acreditarse como colaboradores del proyecto para reforzar la legitimidad del vocabulario.</w:t>
      </w:r>
    </w:p>
    <w:p w14:paraId="0838F8EB">
      <w:pPr>
        <w:pStyle w:val="29"/>
        <w:jc w:val="both"/>
      </w:pPr>
      <w:r>
        <w:rPr>
          <w:sz w:val="22"/>
        </w:rPr>
        <w:t>Coordinar con la Federacion Boliviana de Sordos y con interpretes de LSB para validar que las senas implementadas corresponden al uso efectivo de la comunidad sorda boliviana, que puede variar por region.</w:t>
      </w:r>
    </w:p>
    <w:p w14:paraId="4DE7BCAC">
      <w:pPr>
        <w:pStyle w:val="29"/>
        <w:jc w:val="both"/>
      </w:pPr>
      <w:r>
        <w:rPr>
          <w:sz w:val="22"/>
        </w:rPr>
        <w:t>Ampliar el vocabulario a un minimo de 50 senas de uso frecuente en salud (nombres de enfermedades, partes del cuerpo, medicamentos) para una segunda version del prototipo.</w:t>
      </w:r>
    </w:p>
    <w:p w14:paraId="56A4C9D0">
      <w:pPr>
        <w:pStyle w:val="29"/>
        <w:jc w:val="both"/>
      </w:pPr>
      <w:r>
        <w:rPr>
          <w:sz w:val="22"/>
        </w:rPr>
        <w:t>Evaluar un piloto controlado en al menos una posta de salud rural del departamento de Santa Cruz, en coordinacion con el Servicio Departamental de Salud (SEDES), como paso previo a escalar el proyecto.</w:t>
      </w:r>
    </w:p>
    <w:p w14:paraId="419E8599">
      <w:pPr>
        <w:pStyle w:val="29"/>
        <w:jc w:val="both"/>
      </w:pPr>
      <w:r>
        <w:rPr>
          <w:sz w:val="22"/>
        </w:rPr>
        <w:t>Publicar el dataset de senas de la LSB como recurso abierto para que otras universidades y centros de investigacion puedan ampliar y mejorar el sistema.</w:t>
      </w:r>
    </w:p>
    <w:p w14:paraId="5DBEC28A">
      <w:pPr>
        <w:spacing w:before="320" w:after="80"/>
        <w:rPr>
          <w:b/>
          <w:color w:val="1A5C54"/>
          <w:sz w:val="26"/>
        </w:rPr>
      </w:pPr>
    </w:p>
    <w:p w14:paraId="21223E58">
      <w:pPr>
        <w:spacing w:before="320" w:after="80"/>
      </w:pPr>
      <w:r>
        <w:rPr>
          <w:b/>
          <w:color w:val="1A5C54"/>
          <w:sz w:val="26"/>
        </w:rPr>
        <w:t>Anexos</w:t>
      </w:r>
    </w:p>
    <w:p w14:paraId="4E866784">
      <w:pPr>
        <w:pStyle w:val="29"/>
        <w:jc w:val="both"/>
      </w:pPr>
      <w:r>
        <w:rPr>
          <w:sz w:val="22"/>
        </w:rPr>
        <w:t>Anexo A — Prototipo funcional (aplicacion web: index.html, un unico archivo ejecutable en Chrome).</w:t>
      </w:r>
    </w:p>
    <w:p w14:paraId="32695462">
      <w:pPr>
        <w:pStyle w:val="29"/>
        <w:jc w:val="both"/>
      </w:pPr>
      <w:r>
        <w:rPr>
          <w:sz w:val="22"/>
        </w:rPr>
        <w:t>Anexo B — Dataset de senas de la LSB (senas-base.json), exportable y de uso libre.</w:t>
      </w:r>
    </w:p>
    <w:p w14:paraId="3277A822">
      <w:r>
        <w:rPr>
          <w:i/>
          <w:color w:val="444444"/>
          <w:sz w:val="18"/>
        </w:rPr>
        <w:t>Marco legal de referencia: Ley General para Personas con Discapacidad N.o 223 (2012); Constitucion Politica del Estado Plurinacional de Bolivia, arts. 5 y 18.</w:t>
      </w:r>
    </w:p>
    <w:sectPr>
      <w:pgSz w:w="12240" w:h="15840"/>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ＭＳ 明朝">
    <w:altName w:val="CaskaydiaCove NF"/>
    <w:panose1 w:val="00000000000000000000"/>
    <w:charset w:val="00"/>
    <w:family w:val="auto"/>
    <w:pitch w:val="default"/>
    <w:sig w:usb0="00000000" w:usb1="00000000" w:usb2="00000000" w:usb3="00000000" w:csb0="00000000" w:csb1="00000000"/>
  </w:font>
  <w:font w:name="CaskaydiaCove NF">
    <w:panose1 w:val="02000009000000000000"/>
    <w:charset w:val="00"/>
    <w:family w:val="auto"/>
    <w:pitch w:val="default"/>
    <w:sig w:usb0="A1002AFF" w:usb1="C200F9FB" w:usb2="00040020" w:usb3="00000000" w:csb0="6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180236"/>
    <w:rsid w:val="5249387A"/>
    <w:rsid w:val="6DB63A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8"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qFormat/>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qFormat/>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qFormat/>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qFormat/>
    <w:uiPriority w:val="99"/>
    <w:pPr>
      <w:numPr>
        <w:ilvl w:val="0"/>
        <w:numId w:val="1"/>
      </w:numPr>
      <w:contextualSpacing/>
    </w:pPr>
  </w:style>
  <w:style w:type="paragraph" w:styleId="23">
    <w:name w:val="header"/>
    <w:basedOn w:val="1"/>
    <w:link w:val="37"/>
    <w:unhideWhenUsed/>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qFormat/>
    <w:uiPriority w:val="99"/>
    <w:pPr>
      <w:ind w:left="720" w:hanging="360"/>
      <w:contextualSpacing/>
    </w:pPr>
  </w:style>
  <w:style w:type="paragraph" w:styleId="27">
    <w:name w:val="List Bullet 3"/>
    <w:basedOn w:val="1"/>
    <w:unhideWhenUsed/>
    <w:qFormat/>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qFormat/>
    <w:uiPriority w:val="99"/>
    <w:pPr>
      <w:numPr>
        <w:ilvl w:val="0"/>
        <w:numId w:val="6"/>
      </w:numPr>
      <w:contextualSpacing/>
    </w:pPr>
  </w:style>
  <w:style w:type="paragraph" w:styleId="31">
    <w:name w:val="footer"/>
    <w:basedOn w:val="1"/>
    <w:link w:val="38"/>
    <w:unhideWhenUsed/>
    <w:qFormat/>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qFormat/>
    <w:uiPriority w:val="99"/>
    <w:pPr>
      <w:spacing w:after="120"/>
    </w:pPr>
  </w:style>
  <w:style w:type="paragraph" w:styleId="34">
    <w:name w:val="Body Text 3"/>
    <w:basedOn w:val="1"/>
    <w:link w:val="48"/>
    <w:unhideWhenUsed/>
    <w:qFormat/>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qFormat/>
    <w:uiPriority w:val="99"/>
  </w:style>
  <w:style w:type="character" w:customStyle="1" w:styleId="47">
    <w:name w:val="Body Text 2 Char"/>
    <w:basedOn w:val="11"/>
    <w:link w:val="20"/>
    <w:qFormat/>
    <w:uiPriority w:val="99"/>
  </w:style>
  <w:style w:type="character" w:customStyle="1" w:styleId="48">
    <w:name w:val="Body Text 3 Char"/>
    <w:basedOn w:val="11"/>
    <w:link w:val="34"/>
    <w:qFormat/>
    <w:uiPriority w:val="99"/>
    <w:rPr>
      <w:sz w:val="16"/>
      <w:szCs w:val="16"/>
    </w:rPr>
  </w:style>
  <w:style w:type="character" w:customStyle="1" w:styleId="49">
    <w:name w:val="Macro Text Char"/>
    <w:basedOn w:val="11"/>
    <w:link w:val="17"/>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richa</cp:lastModifiedBy>
  <dcterms:modified xsi:type="dcterms:W3CDTF">2026-06-19T19:15:02Z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3082-12.2.0.23203</vt:lpwstr>
  </property>
  <property fmtid="{D5CDD505-2E9C-101B-9397-08002B2CF9AE}" pid="3" name="ICV">
    <vt:lpwstr>015EE8CEB2FC49A4A87DD67197387F81_12</vt:lpwstr>
  </property>
</Properties>
</file>