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46" w:rsidRPr="001B01A6" w:rsidRDefault="00A12C8B" w:rsidP="001B01A6">
      <w:pPr>
        <w:spacing w:after="0" w:line="360" w:lineRule="auto"/>
        <w:jc w:val="both"/>
        <w:rPr>
          <w:b/>
          <w:lang w:val="es-MX"/>
        </w:rPr>
      </w:pPr>
      <w:r w:rsidRPr="001B01A6">
        <w:rPr>
          <w:b/>
          <w:lang w:val="es-MX"/>
        </w:rPr>
        <w:t>INDICACIONES PARA ARREGLOS DE CARÁCTER GENERAL EN EL MAPA DE SUELOS 25 MIL POR PROVINCIAS</w:t>
      </w:r>
    </w:p>
    <w:p w:rsidR="008F6671" w:rsidRPr="001B01A6" w:rsidRDefault="00016C95" w:rsidP="001B01A6">
      <w:pPr>
        <w:spacing w:after="0" w:line="360" w:lineRule="auto"/>
        <w:jc w:val="both"/>
        <w:rPr>
          <w:b/>
          <w:lang w:val="es-MX"/>
        </w:rPr>
      </w:pPr>
      <w:r w:rsidRPr="001B01A6">
        <w:rPr>
          <w:b/>
          <w:lang w:val="es-MX"/>
        </w:rPr>
        <w:t>1. INTRODUCCIÓN</w:t>
      </w:r>
    </w:p>
    <w:p w:rsidR="001B01A6" w:rsidRDefault="001B01A6" w:rsidP="001B01A6">
      <w:pPr>
        <w:spacing w:after="0" w:line="360" w:lineRule="auto"/>
        <w:jc w:val="both"/>
        <w:rPr>
          <w:lang w:val="es-MX"/>
        </w:rPr>
      </w:pPr>
      <w:r>
        <w:rPr>
          <w:lang w:val="es-MX"/>
        </w:rPr>
        <w:t xml:space="preserve">Estas indicaciones tienen el objetivo de lograr la uniformidad necesaria en el mapa de suelos a escala 1: 25 000, el cual se encuentra en la actualidad por provincias y es necesario realizar el empalme de las mismas para conformar el mapa del país. </w:t>
      </w:r>
      <w:r w:rsidR="00BB5D4C">
        <w:rPr>
          <w:lang w:val="es-MX"/>
        </w:rPr>
        <w:t xml:space="preserve">En el siguiente epígrafe se hace una relación de los arreglos </w:t>
      </w:r>
      <w:r w:rsidR="00C15700">
        <w:rPr>
          <w:lang w:val="es-MX"/>
        </w:rPr>
        <w:t>necesarios</w:t>
      </w:r>
      <w:r w:rsidR="00BB5D4C">
        <w:rPr>
          <w:lang w:val="es-MX"/>
        </w:rPr>
        <w:t xml:space="preserve"> en orden de prioridad</w:t>
      </w:r>
      <w:r w:rsidR="00C15700">
        <w:rPr>
          <w:lang w:val="es-MX"/>
        </w:rPr>
        <w:t xml:space="preserve">, mientras que </w:t>
      </w:r>
      <w:r w:rsidR="0012761E">
        <w:rPr>
          <w:lang w:val="es-MX"/>
        </w:rPr>
        <w:t xml:space="preserve">el </w:t>
      </w:r>
      <w:r w:rsidR="0012761E" w:rsidRPr="009D6C60">
        <w:rPr>
          <w:b/>
          <w:color w:val="FF0000"/>
          <w:lang w:val="es-MX"/>
        </w:rPr>
        <w:t>Anexo 1</w:t>
      </w:r>
      <w:r w:rsidR="00C15700" w:rsidRPr="009D6C60">
        <w:rPr>
          <w:b/>
          <w:color w:val="FF0000"/>
          <w:lang w:val="es-MX"/>
        </w:rPr>
        <w:t xml:space="preserve"> </w:t>
      </w:r>
      <w:r w:rsidR="00C15700">
        <w:rPr>
          <w:lang w:val="es-MX"/>
        </w:rPr>
        <w:t xml:space="preserve">cumple el objetivo de controlar el estado en que va quedando el mapa de cada provincia, antes de realizar el empalme. Debe tenerse en cuenta que estos son arreglos de carácter organizativo de la información, correspondientes a la primera fase de todo el trabajo que es necesario realizar de forma </w:t>
      </w:r>
      <w:r w:rsidR="00F61C84">
        <w:rPr>
          <w:lang w:val="es-MX"/>
        </w:rPr>
        <w:t>ascendente</w:t>
      </w:r>
      <w:r w:rsidR="00C15700">
        <w:rPr>
          <w:lang w:val="es-MX"/>
        </w:rPr>
        <w:t>, para el perfeccionamiento de este mapa, en la medida que sea posible.</w:t>
      </w:r>
    </w:p>
    <w:p w:rsidR="00C15700" w:rsidRPr="00D5279C" w:rsidRDefault="00143CCF" w:rsidP="001B01A6">
      <w:pPr>
        <w:spacing w:after="0" w:line="360" w:lineRule="auto"/>
        <w:jc w:val="both"/>
        <w:rPr>
          <w:b/>
          <w:lang w:val="es-MX"/>
        </w:rPr>
      </w:pPr>
      <w:r w:rsidRPr="00D5279C">
        <w:rPr>
          <w:b/>
          <w:lang w:val="es-MX"/>
        </w:rPr>
        <w:t>2. RELACIÓN DE PASOS A EJECUTAR</w:t>
      </w:r>
    </w:p>
    <w:p w:rsidR="00E04587" w:rsidRDefault="00E04587" w:rsidP="001B01A6">
      <w:pPr>
        <w:spacing w:after="0" w:line="360" w:lineRule="auto"/>
        <w:jc w:val="both"/>
        <w:rPr>
          <w:b/>
          <w:lang w:val="es-MX"/>
        </w:rPr>
      </w:pPr>
      <w:r>
        <w:rPr>
          <w:b/>
          <w:lang w:val="es-MX"/>
        </w:rPr>
        <w:t>2.1 Salvado de la información</w:t>
      </w:r>
    </w:p>
    <w:p w:rsidR="00E04587" w:rsidRDefault="00E04587" w:rsidP="001B01A6">
      <w:pPr>
        <w:spacing w:after="0" w:line="360" w:lineRule="auto"/>
        <w:jc w:val="both"/>
        <w:rPr>
          <w:lang w:val="es-MX"/>
        </w:rPr>
      </w:pPr>
      <w:r>
        <w:rPr>
          <w:lang w:val="es-MX"/>
        </w:rPr>
        <w:t>Antes de realizar cualquier tipo de modificación en un mapa, es necesario sacar una copia del mismo y salvar el original tal y como está. Para facilitar la elaboración de estas indicaciones, utilizaremos los siguientes términos:</w:t>
      </w:r>
    </w:p>
    <w:p w:rsidR="00E04587" w:rsidRDefault="00162922" w:rsidP="001B01A6">
      <w:pPr>
        <w:spacing w:after="0" w:line="360" w:lineRule="auto"/>
        <w:jc w:val="both"/>
        <w:rPr>
          <w:lang w:val="es-MX"/>
        </w:rPr>
      </w:pPr>
      <w:r>
        <w:rPr>
          <w:b/>
          <w:i/>
          <w:lang w:val="es-MX"/>
        </w:rPr>
        <w:t xml:space="preserve">▪ </w:t>
      </w:r>
      <w:r w:rsidR="00E04587" w:rsidRPr="00162922">
        <w:rPr>
          <w:b/>
          <w:i/>
          <w:lang w:val="es-MX"/>
        </w:rPr>
        <w:t>Mapa original:</w:t>
      </w:r>
      <w:r w:rsidR="00E04587">
        <w:rPr>
          <w:lang w:val="es-MX"/>
        </w:rPr>
        <w:t xml:space="preserve"> componente espacial</w:t>
      </w:r>
      <w:r>
        <w:rPr>
          <w:lang w:val="es-MX"/>
        </w:rPr>
        <w:t xml:space="preserve"> y base de datos (BD)</w:t>
      </w:r>
      <w:r w:rsidR="00E04587">
        <w:rPr>
          <w:lang w:val="es-MX"/>
        </w:rPr>
        <w:t xml:space="preserve"> del mapa que se toma como base para los arreglos.</w:t>
      </w:r>
    </w:p>
    <w:p w:rsidR="00E04587" w:rsidRDefault="00162922" w:rsidP="00E04587">
      <w:pPr>
        <w:spacing w:after="0" w:line="360" w:lineRule="auto"/>
        <w:jc w:val="both"/>
        <w:rPr>
          <w:lang w:val="es-MX"/>
        </w:rPr>
      </w:pPr>
      <w:r>
        <w:rPr>
          <w:b/>
          <w:i/>
          <w:lang w:val="es-MX"/>
        </w:rPr>
        <w:t xml:space="preserve">▪ </w:t>
      </w:r>
      <w:r w:rsidR="00E04587" w:rsidRPr="00162922">
        <w:rPr>
          <w:b/>
          <w:i/>
          <w:lang w:val="es-MX"/>
        </w:rPr>
        <w:t>Mapa corregido:</w:t>
      </w:r>
      <w:r w:rsidR="00E04587">
        <w:rPr>
          <w:lang w:val="es-MX"/>
        </w:rPr>
        <w:t xml:space="preserve"> componente espacial</w:t>
      </w:r>
      <w:r>
        <w:rPr>
          <w:lang w:val="es-MX"/>
        </w:rPr>
        <w:t xml:space="preserve"> y BD</w:t>
      </w:r>
      <w:r w:rsidR="00E04587">
        <w:rPr>
          <w:lang w:val="es-MX"/>
        </w:rPr>
        <w:t xml:space="preserve"> del mapa después de los arreglos (copia del original arreglada).</w:t>
      </w:r>
    </w:p>
    <w:p w:rsidR="00E04587" w:rsidRDefault="00162922" w:rsidP="00E04587">
      <w:pPr>
        <w:spacing w:after="0" w:line="360" w:lineRule="auto"/>
        <w:jc w:val="both"/>
        <w:rPr>
          <w:lang w:val="es-MX"/>
        </w:rPr>
      </w:pPr>
      <w:r>
        <w:rPr>
          <w:b/>
          <w:i/>
          <w:lang w:val="es-MX"/>
        </w:rPr>
        <w:t xml:space="preserve">▪ </w:t>
      </w:r>
      <w:r w:rsidR="00E04587" w:rsidRPr="00162922">
        <w:rPr>
          <w:b/>
          <w:i/>
          <w:lang w:val="es-MX"/>
        </w:rPr>
        <w:t>Base de datos original:</w:t>
      </w:r>
      <w:r w:rsidR="00E04587">
        <w:rPr>
          <w:lang w:val="es-MX"/>
        </w:rPr>
        <w:t xml:space="preserve"> la que se toma como base (asociada al mapa original).</w:t>
      </w:r>
    </w:p>
    <w:p w:rsidR="00E04587" w:rsidRDefault="00162922" w:rsidP="00E04587">
      <w:pPr>
        <w:spacing w:after="0" w:line="360" w:lineRule="auto"/>
        <w:jc w:val="both"/>
        <w:rPr>
          <w:lang w:val="es-MX"/>
        </w:rPr>
      </w:pPr>
      <w:r>
        <w:rPr>
          <w:b/>
          <w:i/>
          <w:lang w:val="es-MX"/>
        </w:rPr>
        <w:t xml:space="preserve">▪ </w:t>
      </w:r>
      <w:r w:rsidR="00E04587" w:rsidRPr="00162922">
        <w:rPr>
          <w:b/>
          <w:i/>
          <w:lang w:val="es-MX"/>
        </w:rPr>
        <w:t>Base de datos corregida</w:t>
      </w:r>
      <w:r w:rsidRPr="00162922">
        <w:rPr>
          <w:b/>
          <w:i/>
          <w:lang w:val="es-MX"/>
        </w:rPr>
        <w:t>:</w:t>
      </w:r>
      <w:r>
        <w:rPr>
          <w:lang w:val="es-MX"/>
        </w:rPr>
        <w:t xml:space="preserve"> después de los arreglos en la misma (asociada al mapa corregido).</w:t>
      </w:r>
    </w:p>
    <w:p w:rsidR="00162922" w:rsidRDefault="00162922" w:rsidP="00E04587">
      <w:pPr>
        <w:spacing w:after="0" w:line="360" w:lineRule="auto"/>
        <w:jc w:val="both"/>
        <w:rPr>
          <w:lang w:val="es-MX"/>
        </w:rPr>
      </w:pPr>
      <w:r>
        <w:rPr>
          <w:lang w:val="es-MX"/>
        </w:rPr>
        <w:t>En esta primera fase</w:t>
      </w:r>
      <w:r w:rsidR="008466C8">
        <w:rPr>
          <w:lang w:val="es-MX"/>
        </w:rPr>
        <w:t xml:space="preserve"> se trabajará, principalmente, en la organización de la base de datos y realización de arreglos en la misma, pero también podrían realizarse arreglos en </w:t>
      </w:r>
      <w:r w:rsidR="0045396F">
        <w:rPr>
          <w:lang w:val="es-MX"/>
        </w:rPr>
        <w:t>la componente</w:t>
      </w:r>
      <w:r w:rsidR="008466C8">
        <w:rPr>
          <w:lang w:val="es-MX"/>
        </w:rPr>
        <w:t xml:space="preserve"> </w:t>
      </w:r>
      <w:r w:rsidR="0045396F">
        <w:rPr>
          <w:lang w:val="es-MX"/>
        </w:rPr>
        <w:t>espacial</w:t>
      </w:r>
      <w:r w:rsidR="008466C8">
        <w:rPr>
          <w:lang w:val="es-MX"/>
        </w:rPr>
        <w:t>.</w:t>
      </w:r>
    </w:p>
    <w:p w:rsidR="00D12394" w:rsidRPr="007E59F5" w:rsidRDefault="00D12394" w:rsidP="001B01A6">
      <w:pPr>
        <w:spacing w:after="0" w:line="360" w:lineRule="auto"/>
        <w:jc w:val="both"/>
        <w:rPr>
          <w:b/>
          <w:lang w:val="es-MX"/>
        </w:rPr>
      </w:pPr>
      <w:r w:rsidRPr="007E59F5">
        <w:rPr>
          <w:b/>
          <w:lang w:val="es-MX"/>
        </w:rPr>
        <w:t>2.</w:t>
      </w:r>
      <w:r w:rsidR="0045396F">
        <w:rPr>
          <w:b/>
          <w:lang w:val="es-MX"/>
        </w:rPr>
        <w:t>2</w:t>
      </w:r>
      <w:r w:rsidRPr="007E59F5">
        <w:rPr>
          <w:b/>
          <w:lang w:val="es-MX"/>
        </w:rPr>
        <w:t xml:space="preserve"> </w:t>
      </w:r>
      <w:r w:rsidR="00D5279C" w:rsidRPr="007E59F5">
        <w:rPr>
          <w:b/>
          <w:lang w:val="es-MX"/>
        </w:rPr>
        <w:t>Ajustar n</w:t>
      </w:r>
      <w:r w:rsidRPr="007E59F5">
        <w:rPr>
          <w:b/>
          <w:lang w:val="es-MX"/>
        </w:rPr>
        <w:t xml:space="preserve">omenclatura </w:t>
      </w:r>
      <w:r w:rsidR="00D5279C" w:rsidRPr="007E59F5">
        <w:rPr>
          <w:b/>
          <w:lang w:val="es-MX"/>
        </w:rPr>
        <w:t>a utilizar</w:t>
      </w:r>
    </w:p>
    <w:p w:rsidR="007E59F5" w:rsidRDefault="007E59F5" w:rsidP="001B01A6">
      <w:pPr>
        <w:spacing w:after="0" w:line="360" w:lineRule="auto"/>
        <w:jc w:val="both"/>
        <w:rPr>
          <w:lang w:val="es-MX"/>
        </w:rPr>
      </w:pPr>
      <w:r>
        <w:rPr>
          <w:lang w:val="es-MX"/>
        </w:rPr>
        <w:t xml:space="preserve">El nombre del mapa de cada provincia incluirá los siguientes elementos, siempre en el mismo orden en que se mencionan: código de la provincia, nombre de la provincia y la frase </w:t>
      </w:r>
      <w:r w:rsidRPr="007E59F5">
        <w:rPr>
          <w:i/>
          <w:lang w:val="es-MX"/>
        </w:rPr>
        <w:t>“suelos 25 mil”</w:t>
      </w:r>
      <w:r>
        <w:rPr>
          <w:i/>
          <w:lang w:val="es-MX"/>
        </w:rPr>
        <w:t>.</w:t>
      </w:r>
      <w:r>
        <w:rPr>
          <w:lang w:val="es-MX"/>
        </w:rPr>
        <w:t xml:space="preserve"> Po</w:t>
      </w:r>
      <w:r w:rsidR="007C33E8">
        <w:rPr>
          <w:lang w:val="es-MX"/>
        </w:rPr>
        <w:t>r</w:t>
      </w:r>
      <w:r>
        <w:rPr>
          <w:lang w:val="es-MX"/>
        </w:rPr>
        <w:t xml:space="preserve"> ejemplo:</w:t>
      </w:r>
    </w:p>
    <w:p w:rsidR="007E59F5" w:rsidRDefault="007E59F5" w:rsidP="001B01A6">
      <w:pPr>
        <w:spacing w:after="0" w:line="360" w:lineRule="auto"/>
        <w:jc w:val="both"/>
        <w:rPr>
          <w:lang w:val="es-MX"/>
        </w:rPr>
      </w:pPr>
      <w:r w:rsidRPr="007C33E8">
        <w:rPr>
          <w:i/>
          <w:lang w:val="es-MX"/>
        </w:rPr>
        <w:t>21 P. Río suelos 25 mil</w:t>
      </w:r>
      <w:r w:rsidR="007C33E8">
        <w:rPr>
          <w:lang w:val="es-MX"/>
        </w:rPr>
        <w:t xml:space="preserve">; </w:t>
      </w:r>
      <w:r w:rsidR="007C33E8" w:rsidRPr="007C33E8">
        <w:rPr>
          <w:i/>
          <w:lang w:val="es-MX"/>
        </w:rPr>
        <w:t>29 C. Ávila suelos 25 mil</w:t>
      </w:r>
      <w:r w:rsidR="007C33E8">
        <w:rPr>
          <w:lang w:val="es-MX"/>
        </w:rPr>
        <w:t xml:space="preserve">; </w:t>
      </w:r>
      <w:r w:rsidR="007C33E8" w:rsidRPr="007C33E8">
        <w:rPr>
          <w:i/>
          <w:lang w:val="es-MX"/>
        </w:rPr>
        <w:t>32</w:t>
      </w:r>
      <w:r w:rsidR="007C33E8">
        <w:rPr>
          <w:lang w:val="es-MX"/>
        </w:rPr>
        <w:t xml:space="preserve"> </w:t>
      </w:r>
      <w:r w:rsidR="007C33E8" w:rsidRPr="007C33E8">
        <w:rPr>
          <w:i/>
          <w:lang w:val="es-MX"/>
        </w:rPr>
        <w:t>Holguín suelos 25 mil</w:t>
      </w:r>
      <w:r w:rsidR="007C33E8">
        <w:rPr>
          <w:lang w:val="es-MX"/>
        </w:rPr>
        <w:t xml:space="preserve"> y así sucesivamente. En el nombre de la provincia se pueden utilizar siglas, de modo que el nombre del mapa no sea demasiado largo. </w:t>
      </w:r>
    </w:p>
    <w:p w:rsidR="00696B72" w:rsidRDefault="00696B72" w:rsidP="001B01A6">
      <w:pPr>
        <w:spacing w:after="0" w:line="360" w:lineRule="auto"/>
        <w:jc w:val="both"/>
        <w:rPr>
          <w:b/>
          <w:lang w:val="es-MX"/>
        </w:rPr>
      </w:pPr>
      <w:r w:rsidRPr="00696B72">
        <w:rPr>
          <w:b/>
          <w:lang w:val="es-MX"/>
        </w:rPr>
        <w:t>2.</w:t>
      </w:r>
      <w:r w:rsidR="0045396F">
        <w:rPr>
          <w:b/>
          <w:lang w:val="es-MX"/>
        </w:rPr>
        <w:t>3</w:t>
      </w:r>
      <w:r w:rsidRPr="00696B72">
        <w:rPr>
          <w:b/>
          <w:lang w:val="es-MX"/>
        </w:rPr>
        <w:t xml:space="preserve"> </w:t>
      </w:r>
      <w:r w:rsidR="002514B9">
        <w:rPr>
          <w:b/>
          <w:lang w:val="es-MX"/>
        </w:rPr>
        <w:t>Revisión de las bases de datos a través de una matriz</w:t>
      </w:r>
    </w:p>
    <w:p w:rsidR="007F0543" w:rsidRDefault="007F0543" w:rsidP="001B01A6">
      <w:pPr>
        <w:spacing w:after="0" w:line="360" w:lineRule="auto"/>
        <w:jc w:val="both"/>
        <w:rPr>
          <w:lang w:val="es-MX"/>
        </w:rPr>
      </w:pPr>
      <w:r w:rsidRPr="007F0543">
        <w:rPr>
          <w:lang w:val="es-MX"/>
        </w:rPr>
        <w:t xml:space="preserve">La matriz de base de datos se plantea en el </w:t>
      </w:r>
      <w:r w:rsidRPr="009D6C60">
        <w:rPr>
          <w:b/>
          <w:color w:val="FF0000"/>
          <w:lang w:val="es-MX"/>
        </w:rPr>
        <w:t xml:space="preserve">Anexo </w:t>
      </w:r>
      <w:r w:rsidR="00151861" w:rsidRPr="009D6C60">
        <w:rPr>
          <w:b/>
          <w:color w:val="FF0000"/>
          <w:lang w:val="es-MX"/>
        </w:rPr>
        <w:t>2</w:t>
      </w:r>
      <w:r w:rsidR="003B6A48">
        <w:rPr>
          <w:lang w:val="es-MX"/>
        </w:rPr>
        <w:t xml:space="preserve">, en el cual se recogen todas las variables e indicadores que pueden aparecer en las bases de datos de los mapas de las provincias, tal y como estos están en la actualidad. Esta matriz sirve de base a la revisión de cada mapa, para ver si en cada uno de ellos </w:t>
      </w:r>
      <w:r w:rsidR="00B2557F">
        <w:rPr>
          <w:lang w:val="es-MX"/>
        </w:rPr>
        <w:t>están las columnas referidas a estos datos; puede darse el caso de que en alguno de los mapas falte alguna columna o que haya alguna en el mapa que no está en la matriz; también puede ocurrir que haya una misma columna con diferentes nombres</w:t>
      </w:r>
      <w:r w:rsidR="002514B9">
        <w:rPr>
          <w:lang w:val="es-MX"/>
        </w:rPr>
        <w:t xml:space="preserve"> en diferentes mapas.</w:t>
      </w:r>
      <w:r w:rsidR="00CD6D51">
        <w:rPr>
          <w:lang w:val="es-MX"/>
        </w:rPr>
        <w:t xml:space="preserve"> </w:t>
      </w:r>
      <w:r w:rsidR="00CC2740">
        <w:rPr>
          <w:lang w:val="es-MX"/>
        </w:rPr>
        <w:t xml:space="preserve"> En ese paso se corrigen tres aspectos principales:</w:t>
      </w:r>
    </w:p>
    <w:p w:rsidR="00CC2740" w:rsidRDefault="00F25B88" w:rsidP="001B01A6">
      <w:pPr>
        <w:spacing w:after="0" w:line="360" w:lineRule="auto"/>
        <w:jc w:val="both"/>
        <w:rPr>
          <w:lang w:val="es-MX"/>
        </w:rPr>
      </w:pPr>
      <w:r w:rsidRPr="00F25B88">
        <w:rPr>
          <w:b/>
          <w:lang w:val="es-MX"/>
        </w:rPr>
        <w:t>2.</w:t>
      </w:r>
      <w:r w:rsidR="001B6254">
        <w:rPr>
          <w:b/>
          <w:lang w:val="es-MX"/>
        </w:rPr>
        <w:t>3</w:t>
      </w:r>
      <w:r w:rsidRPr="00F25B88">
        <w:rPr>
          <w:b/>
          <w:lang w:val="es-MX"/>
        </w:rPr>
        <w:t>.1</w:t>
      </w:r>
      <w:r w:rsidR="00CC2740">
        <w:rPr>
          <w:lang w:val="es-MX"/>
        </w:rPr>
        <w:t xml:space="preserve"> Que todos los mapas tengan el mismo número de columnas</w:t>
      </w:r>
      <w:r w:rsidR="00CD6EB3">
        <w:rPr>
          <w:lang w:val="es-MX"/>
        </w:rPr>
        <w:t>.</w:t>
      </w:r>
    </w:p>
    <w:p w:rsidR="007736EF" w:rsidRDefault="00F25B88" w:rsidP="001B01A6">
      <w:pPr>
        <w:spacing w:after="0" w:line="360" w:lineRule="auto"/>
        <w:jc w:val="both"/>
        <w:rPr>
          <w:lang w:val="es-MX"/>
        </w:rPr>
      </w:pPr>
      <w:r w:rsidRPr="00F25B88">
        <w:rPr>
          <w:b/>
          <w:lang w:val="es-MX"/>
        </w:rPr>
        <w:lastRenderedPageBreak/>
        <w:t>2.</w:t>
      </w:r>
      <w:r w:rsidR="001B6254">
        <w:rPr>
          <w:b/>
          <w:lang w:val="es-MX"/>
        </w:rPr>
        <w:t>3</w:t>
      </w:r>
      <w:r w:rsidRPr="00F25B88">
        <w:rPr>
          <w:b/>
          <w:lang w:val="es-MX"/>
        </w:rPr>
        <w:t>.2</w:t>
      </w:r>
      <w:r w:rsidR="00CC2740">
        <w:rPr>
          <w:lang w:val="es-MX"/>
        </w:rPr>
        <w:t xml:space="preserve"> Que las columnas tengan un ismo orden de izquierda a derecha</w:t>
      </w:r>
      <w:r w:rsidR="007736EF">
        <w:rPr>
          <w:lang w:val="es-MX"/>
        </w:rPr>
        <w:t>.</w:t>
      </w:r>
      <w:r w:rsidR="00CC2740">
        <w:rPr>
          <w:lang w:val="es-MX"/>
        </w:rPr>
        <w:t xml:space="preserve"> </w:t>
      </w:r>
    </w:p>
    <w:p w:rsidR="00CC2740" w:rsidRDefault="00F25B88" w:rsidP="001B01A6">
      <w:pPr>
        <w:spacing w:after="0" w:line="360" w:lineRule="auto"/>
        <w:jc w:val="both"/>
        <w:rPr>
          <w:lang w:val="es-MX"/>
        </w:rPr>
      </w:pPr>
      <w:r w:rsidRPr="00F25B88">
        <w:rPr>
          <w:b/>
          <w:lang w:val="es-MX"/>
        </w:rPr>
        <w:t>2.</w:t>
      </w:r>
      <w:r w:rsidR="001B6254">
        <w:rPr>
          <w:b/>
          <w:lang w:val="es-MX"/>
        </w:rPr>
        <w:t>3</w:t>
      </w:r>
      <w:r w:rsidRPr="00F25B88">
        <w:rPr>
          <w:b/>
          <w:lang w:val="es-MX"/>
        </w:rPr>
        <w:t>.3</w:t>
      </w:r>
      <w:r>
        <w:rPr>
          <w:lang w:val="es-MX"/>
        </w:rPr>
        <w:t xml:space="preserve"> </w:t>
      </w:r>
      <w:r w:rsidR="00CC2740">
        <w:rPr>
          <w:lang w:val="es-MX"/>
        </w:rPr>
        <w:t>Que todas las columnas referidas a una misma variable o indicador, tengan el mismo nombre.</w:t>
      </w:r>
    </w:p>
    <w:p w:rsidR="004C42E0" w:rsidRDefault="00046130" w:rsidP="001B01A6">
      <w:pPr>
        <w:spacing w:after="0" w:line="360" w:lineRule="auto"/>
        <w:jc w:val="both"/>
        <w:rPr>
          <w:lang w:val="es-MX"/>
        </w:rPr>
      </w:pPr>
      <w:r>
        <w:rPr>
          <w:lang w:val="es-MX"/>
        </w:rPr>
        <w:t>Para uniformar los nombres de las columnas</w:t>
      </w:r>
      <w:r w:rsidR="007736EF">
        <w:rPr>
          <w:lang w:val="es-MX"/>
        </w:rPr>
        <w:t xml:space="preserve"> y su orden</w:t>
      </w:r>
      <w:r w:rsidR="00C1634B">
        <w:rPr>
          <w:lang w:val="es-MX"/>
        </w:rPr>
        <w:t xml:space="preserve"> se agrega el </w:t>
      </w:r>
      <w:r w:rsidR="00C1634B" w:rsidRPr="009D6C60">
        <w:rPr>
          <w:b/>
          <w:color w:val="FF0000"/>
          <w:lang w:val="es-MX"/>
        </w:rPr>
        <w:t>Anexo 3</w:t>
      </w:r>
      <w:r w:rsidR="00C1634B">
        <w:rPr>
          <w:lang w:val="es-MX"/>
        </w:rPr>
        <w:t xml:space="preserve">, </w:t>
      </w:r>
      <w:r w:rsidR="00E60DF8">
        <w:rPr>
          <w:lang w:val="es-MX"/>
        </w:rPr>
        <w:t xml:space="preserve">el que contiene los nombres con los cuales aparecen o pueden aparecer en la actualidad, el nuevo nombre a </w:t>
      </w:r>
      <w:r w:rsidR="009C0A66">
        <w:rPr>
          <w:lang w:val="es-MX"/>
        </w:rPr>
        <w:t>a</w:t>
      </w:r>
      <w:r w:rsidR="00E60DF8">
        <w:rPr>
          <w:lang w:val="es-MX"/>
        </w:rPr>
        <w:t>signarle</w:t>
      </w:r>
      <w:r w:rsidR="006C2D62">
        <w:rPr>
          <w:lang w:val="es-MX"/>
        </w:rPr>
        <w:t>,</w:t>
      </w:r>
      <w:r w:rsidR="00E60DF8">
        <w:rPr>
          <w:lang w:val="es-MX"/>
        </w:rPr>
        <w:t xml:space="preserve"> el tipo de atributo de acuerdo con el programa MapInfo (número entero, número decimal, caracteres u otros)</w:t>
      </w:r>
      <w:r w:rsidR="006C2D62">
        <w:rPr>
          <w:lang w:val="es-MX"/>
        </w:rPr>
        <w:t xml:space="preserve"> y el nuevo orden en la base de datos</w:t>
      </w:r>
      <w:r w:rsidR="00E60DF8">
        <w:rPr>
          <w:lang w:val="es-MX"/>
        </w:rPr>
        <w:t>. Algunas columnas que ahora aparecen como caracteres, deben convertirse en números enteros, de acuerdo a como se señale en el Anexo 3.</w:t>
      </w:r>
    </w:p>
    <w:p w:rsidR="00046130" w:rsidRPr="00C80930" w:rsidRDefault="004C42E0" w:rsidP="001B01A6">
      <w:pPr>
        <w:spacing w:after="0" w:line="360" w:lineRule="auto"/>
        <w:jc w:val="both"/>
        <w:rPr>
          <w:b/>
          <w:lang w:val="es-MX"/>
        </w:rPr>
      </w:pPr>
      <w:r w:rsidRPr="00C80930">
        <w:rPr>
          <w:b/>
          <w:lang w:val="es-MX"/>
        </w:rPr>
        <w:t>2.</w:t>
      </w:r>
      <w:r w:rsidR="001B6254">
        <w:rPr>
          <w:b/>
          <w:lang w:val="es-MX"/>
        </w:rPr>
        <w:t>4</w:t>
      </w:r>
      <w:r w:rsidRPr="00C80930">
        <w:rPr>
          <w:b/>
          <w:lang w:val="es-MX"/>
        </w:rPr>
        <w:t xml:space="preserve"> Uniformar la codificación de indicadores</w:t>
      </w:r>
      <w:r w:rsidR="00E60DF8" w:rsidRPr="00C80930">
        <w:rPr>
          <w:b/>
          <w:lang w:val="es-MX"/>
        </w:rPr>
        <w:t xml:space="preserve"> </w:t>
      </w:r>
    </w:p>
    <w:p w:rsidR="00C80930" w:rsidRDefault="00C80930" w:rsidP="001B01A6">
      <w:pPr>
        <w:spacing w:after="0" w:line="360" w:lineRule="auto"/>
        <w:jc w:val="both"/>
        <w:rPr>
          <w:lang w:val="es-MX"/>
        </w:rPr>
      </w:pPr>
      <w:r>
        <w:rPr>
          <w:lang w:val="es-MX"/>
        </w:rPr>
        <w:t>La codificación original de indicadores</w:t>
      </w:r>
      <w:r w:rsidR="0091277D">
        <w:rPr>
          <w:lang w:val="es-MX"/>
        </w:rPr>
        <w:t xml:space="preserve"> en el mapa de suelos a escala 1: 25 000 no es uniforme; para corregir este aspecto</w:t>
      </w:r>
      <w:r w:rsidR="00B95456">
        <w:rPr>
          <w:lang w:val="es-MX"/>
        </w:rPr>
        <w:t xml:space="preserve"> veamos </w:t>
      </w:r>
      <w:r w:rsidR="00570DF6">
        <w:rPr>
          <w:lang w:val="es-MX"/>
        </w:rPr>
        <w:t xml:space="preserve">los ejemplo del indicador erosión y el indicador </w:t>
      </w:r>
      <w:r w:rsidR="003D58F7">
        <w:rPr>
          <w:lang w:val="es-MX"/>
        </w:rPr>
        <w:t xml:space="preserve"> </w:t>
      </w:r>
      <w:r w:rsidR="00577BB1">
        <w:rPr>
          <w:lang w:val="es-MX"/>
        </w:rPr>
        <w:t>profundidad efectiva</w:t>
      </w:r>
      <w:r w:rsidR="003D58F7">
        <w:rPr>
          <w:lang w:val="es-MX"/>
        </w:rPr>
        <w:t>, tal y como aparecen en las bases de datos</w:t>
      </w:r>
      <w:r w:rsidR="0011387C">
        <w:rPr>
          <w:lang w:val="es-MX"/>
        </w:rPr>
        <w:t xml:space="preserve"> actual</w:t>
      </w:r>
      <w:r w:rsidR="003D58F7">
        <w:rPr>
          <w:lang w:val="es-MX"/>
        </w:rPr>
        <w:t>.</w:t>
      </w:r>
    </w:p>
    <w:p w:rsidR="003D58F7" w:rsidRPr="003D58F7" w:rsidRDefault="003D58F7" w:rsidP="001B01A6">
      <w:pPr>
        <w:spacing w:after="0" w:line="360" w:lineRule="auto"/>
        <w:jc w:val="both"/>
        <w:rPr>
          <w:b/>
          <w:lang w:val="es-MX"/>
        </w:rPr>
      </w:pPr>
      <w:r w:rsidRPr="003D58F7">
        <w:rPr>
          <w:b/>
          <w:lang w:val="es-MX"/>
        </w:rPr>
        <w:t>Para la erosión</w:t>
      </w:r>
    </w:p>
    <w:p w:rsidR="003D58F7" w:rsidRDefault="003D58F7" w:rsidP="001B01A6">
      <w:pPr>
        <w:spacing w:after="0" w:line="360" w:lineRule="auto"/>
        <w:jc w:val="both"/>
        <w:rPr>
          <w:lang w:val="es-MX"/>
        </w:rPr>
      </w:pPr>
      <w:r>
        <w:rPr>
          <w:lang w:val="es-MX"/>
        </w:rPr>
        <w:t>e¹ Muy fuerte; e² Fuerte; e³ Mediana; e⁴ Poca</w:t>
      </w:r>
    </w:p>
    <w:p w:rsidR="00577BB1" w:rsidRPr="00577BB1" w:rsidRDefault="00577BB1" w:rsidP="001B01A6">
      <w:pPr>
        <w:spacing w:after="0" w:line="360" w:lineRule="auto"/>
        <w:jc w:val="both"/>
        <w:rPr>
          <w:b/>
          <w:lang w:val="es-MX"/>
        </w:rPr>
      </w:pPr>
      <w:r w:rsidRPr="00577BB1">
        <w:rPr>
          <w:b/>
          <w:lang w:val="es-MX"/>
        </w:rPr>
        <w:t>Para la profundidad efectiva</w:t>
      </w:r>
    </w:p>
    <w:p w:rsidR="00577BB1" w:rsidRDefault="00577BB1" w:rsidP="001B01A6">
      <w:pPr>
        <w:spacing w:after="0" w:line="360" w:lineRule="auto"/>
        <w:jc w:val="both"/>
        <w:rPr>
          <w:lang w:val="es-MX"/>
        </w:rPr>
      </w:pPr>
      <w:r>
        <w:rPr>
          <w:lang w:val="es-MX"/>
        </w:rPr>
        <w:t>p¹ Muy profundo; p² Profundo; p³ Medianamente profundo; p⁴ Poco profundo; p⁵ Muy poco profundo</w:t>
      </w:r>
      <w:r w:rsidR="00AC27F0">
        <w:rPr>
          <w:lang w:val="es-MX"/>
        </w:rPr>
        <w:t>.</w:t>
      </w:r>
      <w:r>
        <w:rPr>
          <w:lang w:val="es-MX"/>
        </w:rPr>
        <w:t xml:space="preserve"> </w:t>
      </w:r>
    </w:p>
    <w:p w:rsidR="009175C2" w:rsidRDefault="00EF37C8" w:rsidP="001B01A6">
      <w:pPr>
        <w:spacing w:after="0" w:line="360" w:lineRule="auto"/>
        <w:jc w:val="both"/>
        <w:rPr>
          <w:lang w:val="es-MX"/>
        </w:rPr>
      </w:pPr>
      <w:r>
        <w:rPr>
          <w:lang w:val="es-MX"/>
        </w:rPr>
        <w:t>Nótese que la erosión se codifica del 1 al 4</w:t>
      </w:r>
      <w:r w:rsidR="00AC27F0">
        <w:rPr>
          <w:lang w:val="es-MX"/>
        </w:rPr>
        <w:t xml:space="preserve">, yendo de la condición más desfavorable (1) a la más favorable (4), mientras que la profundidad efectiva se codifica del 1 al 5, yendo de la condición más favorable (1) a la más desfavorable (5). </w:t>
      </w:r>
      <w:r w:rsidR="001944AE">
        <w:rPr>
          <w:lang w:val="es-MX"/>
        </w:rPr>
        <w:t>Además, la forma en que se hace la notación obliga a que el atributo sea del tipo Carácter (Character) y es necesario que sea Número entero (Integer).</w:t>
      </w:r>
      <w:r w:rsidR="00DB0A83">
        <w:rPr>
          <w:lang w:val="es-MX"/>
        </w:rPr>
        <w:t xml:space="preserve"> </w:t>
      </w:r>
      <w:r w:rsidR="007420E4">
        <w:rPr>
          <w:lang w:val="es-MX"/>
        </w:rPr>
        <w:t xml:space="preserve">En estos dos casos y en los demás similares, hay que arreglar dos aspectos: </w:t>
      </w:r>
    </w:p>
    <w:p w:rsidR="009175C2" w:rsidRDefault="009175C2" w:rsidP="001B01A6">
      <w:pPr>
        <w:spacing w:after="0" w:line="360" w:lineRule="auto"/>
        <w:jc w:val="both"/>
        <w:rPr>
          <w:lang w:val="es-MX"/>
        </w:rPr>
      </w:pPr>
      <w:r w:rsidRPr="009175C2">
        <w:rPr>
          <w:b/>
          <w:lang w:val="es-MX"/>
        </w:rPr>
        <w:t>2.</w:t>
      </w:r>
      <w:r w:rsidR="001B6254">
        <w:rPr>
          <w:b/>
          <w:lang w:val="es-MX"/>
        </w:rPr>
        <w:t>4</w:t>
      </w:r>
      <w:r w:rsidRPr="009175C2">
        <w:rPr>
          <w:b/>
          <w:lang w:val="es-MX"/>
        </w:rPr>
        <w:t>.1</w:t>
      </w:r>
      <w:r>
        <w:rPr>
          <w:lang w:val="es-MX"/>
        </w:rPr>
        <w:t xml:space="preserve"> Q</w:t>
      </w:r>
      <w:r w:rsidR="007420E4">
        <w:rPr>
          <w:lang w:val="es-MX"/>
        </w:rPr>
        <w:t>ue la condición más favorable siempre comience por el número 1</w:t>
      </w:r>
      <w:r>
        <w:rPr>
          <w:lang w:val="es-MX"/>
        </w:rPr>
        <w:t>.</w:t>
      </w:r>
    </w:p>
    <w:p w:rsidR="009175C2" w:rsidRDefault="009175C2" w:rsidP="001B01A6">
      <w:pPr>
        <w:spacing w:after="0" w:line="360" w:lineRule="auto"/>
        <w:jc w:val="both"/>
        <w:rPr>
          <w:lang w:val="es-MX"/>
        </w:rPr>
      </w:pPr>
      <w:r w:rsidRPr="009175C2">
        <w:rPr>
          <w:b/>
          <w:lang w:val="es-MX"/>
        </w:rPr>
        <w:t>2.</w:t>
      </w:r>
      <w:r w:rsidR="001B6254">
        <w:rPr>
          <w:b/>
          <w:lang w:val="es-MX"/>
        </w:rPr>
        <w:t>4</w:t>
      </w:r>
      <w:r w:rsidRPr="009175C2">
        <w:rPr>
          <w:b/>
          <w:lang w:val="es-MX"/>
        </w:rPr>
        <w:t>.2</w:t>
      </w:r>
      <w:r>
        <w:rPr>
          <w:lang w:val="es-MX"/>
        </w:rPr>
        <w:t xml:space="preserve"> Q</w:t>
      </w:r>
      <w:r w:rsidR="007420E4">
        <w:rPr>
          <w:lang w:val="es-MX"/>
        </w:rPr>
        <w:t xml:space="preserve">ue el tipo de atributo </w:t>
      </w:r>
      <w:r>
        <w:rPr>
          <w:lang w:val="es-MX"/>
        </w:rPr>
        <w:t xml:space="preserve">a </w:t>
      </w:r>
      <w:r w:rsidR="007420E4">
        <w:rPr>
          <w:lang w:val="es-MX"/>
        </w:rPr>
        <w:t xml:space="preserve">que </w:t>
      </w:r>
      <w:r>
        <w:rPr>
          <w:lang w:val="es-MX"/>
        </w:rPr>
        <w:t>se refiere</w:t>
      </w:r>
      <w:r w:rsidR="007420E4">
        <w:rPr>
          <w:lang w:val="es-MX"/>
        </w:rPr>
        <w:t xml:space="preserve"> la columna sea número  entero</w:t>
      </w:r>
      <w:r>
        <w:rPr>
          <w:lang w:val="es-MX"/>
        </w:rPr>
        <w:t xml:space="preserve"> (Integer)</w:t>
      </w:r>
      <w:r w:rsidR="007420E4">
        <w:rPr>
          <w:lang w:val="es-MX"/>
        </w:rPr>
        <w:t>.</w:t>
      </w:r>
      <w:r w:rsidR="004F06F2">
        <w:rPr>
          <w:lang w:val="es-MX"/>
        </w:rPr>
        <w:t xml:space="preserve"> </w:t>
      </w:r>
    </w:p>
    <w:p w:rsidR="00EF37C8" w:rsidRDefault="004F06F2" w:rsidP="001B01A6">
      <w:pPr>
        <w:spacing w:after="0" w:line="360" w:lineRule="auto"/>
        <w:jc w:val="both"/>
        <w:rPr>
          <w:lang w:val="es-MX"/>
        </w:rPr>
      </w:pPr>
      <w:r>
        <w:rPr>
          <w:lang w:val="es-MX"/>
        </w:rPr>
        <w:t xml:space="preserve">En el </w:t>
      </w:r>
      <w:r w:rsidRPr="009D6C60">
        <w:rPr>
          <w:b/>
          <w:color w:val="FF0000"/>
          <w:lang w:val="es-MX"/>
        </w:rPr>
        <w:t>Anexo 3</w:t>
      </w:r>
      <w:r w:rsidRPr="009D6C60">
        <w:rPr>
          <w:color w:val="FF0000"/>
          <w:lang w:val="es-MX"/>
        </w:rPr>
        <w:t xml:space="preserve"> </w:t>
      </w:r>
      <w:r>
        <w:rPr>
          <w:lang w:val="es-MX"/>
        </w:rPr>
        <w:t xml:space="preserve">está implícita la forma de realizar estos arreglos, mientras que el </w:t>
      </w:r>
      <w:r w:rsidRPr="009D6C60">
        <w:rPr>
          <w:b/>
          <w:color w:val="FF0000"/>
          <w:lang w:val="es-MX"/>
        </w:rPr>
        <w:t>Anexo 4</w:t>
      </w:r>
      <w:r w:rsidRPr="009D6C60">
        <w:rPr>
          <w:color w:val="FF0000"/>
          <w:lang w:val="es-MX"/>
        </w:rPr>
        <w:t xml:space="preserve"> </w:t>
      </w:r>
      <w:r>
        <w:rPr>
          <w:lang w:val="es-MX"/>
        </w:rPr>
        <w:t>se refiere a la clasificación y codificación de los indicadores que aparecen en la base de datos</w:t>
      </w:r>
      <w:r w:rsidR="00C85970">
        <w:rPr>
          <w:lang w:val="es-MX"/>
        </w:rPr>
        <w:t xml:space="preserve"> y que tienen hasta cinco clases; los que tienen más de cinco clases aparecen en el </w:t>
      </w:r>
      <w:r w:rsidR="00C85970" w:rsidRPr="00C85970">
        <w:rPr>
          <w:b/>
          <w:color w:val="FF0000"/>
          <w:lang w:val="es-MX"/>
        </w:rPr>
        <w:t>Anexo 5</w:t>
      </w:r>
      <w:r w:rsidR="00D071F2">
        <w:rPr>
          <w:lang w:val="es-MX"/>
        </w:rPr>
        <w:t>, con excepción de las columnas referidas a</w:t>
      </w:r>
      <w:r w:rsidR="00FF0C19">
        <w:rPr>
          <w:lang w:val="es-MX"/>
        </w:rPr>
        <w:t xml:space="preserve"> ID,</w:t>
      </w:r>
      <w:r w:rsidR="00D071F2">
        <w:rPr>
          <w:lang w:val="es-MX"/>
        </w:rPr>
        <w:t xml:space="preserve"> tipo</w:t>
      </w:r>
      <w:r w:rsidR="004A75EA">
        <w:rPr>
          <w:lang w:val="es-MX"/>
        </w:rPr>
        <w:t>,</w:t>
      </w:r>
      <w:r w:rsidR="00D071F2">
        <w:rPr>
          <w:lang w:val="es-MX"/>
        </w:rPr>
        <w:t xml:space="preserve"> subtipo</w:t>
      </w:r>
      <w:r w:rsidR="004A75EA">
        <w:rPr>
          <w:lang w:val="es-MX"/>
        </w:rPr>
        <w:t xml:space="preserve"> y nombre de subtipo</w:t>
      </w:r>
      <w:r w:rsidR="00D071F2">
        <w:rPr>
          <w:lang w:val="es-MX"/>
        </w:rPr>
        <w:t xml:space="preserve">, para las cuales se dan indicaciones </w:t>
      </w:r>
      <w:r w:rsidR="006A58AC">
        <w:rPr>
          <w:lang w:val="es-MX"/>
        </w:rPr>
        <w:t>en el siguiente epígrafe 2.4.</w:t>
      </w:r>
    </w:p>
    <w:p w:rsidR="006A58AC" w:rsidRPr="006A58AC" w:rsidRDefault="006A58AC" w:rsidP="006A58AC">
      <w:pPr>
        <w:spacing w:after="0" w:line="360" w:lineRule="auto"/>
        <w:jc w:val="both"/>
        <w:rPr>
          <w:rFonts w:cs="Arial"/>
          <w:b/>
          <w:lang w:val="es-MX"/>
        </w:rPr>
      </w:pPr>
      <w:r w:rsidRPr="006A58AC">
        <w:rPr>
          <w:rFonts w:cs="Arial"/>
          <w:b/>
          <w:lang w:val="es-MX"/>
        </w:rPr>
        <w:t>2.</w:t>
      </w:r>
      <w:r w:rsidR="001B6254">
        <w:rPr>
          <w:rFonts w:cs="Arial"/>
          <w:b/>
          <w:lang w:val="es-MX"/>
        </w:rPr>
        <w:t>5</w:t>
      </w:r>
      <w:r w:rsidRPr="006A58AC">
        <w:rPr>
          <w:rFonts w:cs="Arial"/>
          <w:b/>
          <w:lang w:val="es-MX"/>
        </w:rPr>
        <w:t xml:space="preserve"> Codificación de las columnas ID, Tipo y Subtipo</w:t>
      </w:r>
      <w:r w:rsidR="00FA2BAD">
        <w:rPr>
          <w:rFonts w:cs="Arial"/>
          <w:b/>
          <w:lang w:val="es-MX"/>
        </w:rPr>
        <w:t xml:space="preserve"> y asignación de nombre de subtipo</w:t>
      </w:r>
      <w:r w:rsidR="00C85970">
        <w:rPr>
          <w:rFonts w:cs="Arial"/>
          <w:b/>
          <w:lang w:val="es-MX"/>
        </w:rPr>
        <w:t>.</w:t>
      </w:r>
    </w:p>
    <w:p w:rsidR="005F53A8" w:rsidRDefault="006A58AC" w:rsidP="006A58AC">
      <w:pPr>
        <w:spacing w:after="0" w:line="360" w:lineRule="auto"/>
        <w:jc w:val="both"/>
        <w:rPr>
          <w:rFonts w:cs="Arial"/>
        </w:rPr>
      </w:pPr>
      <w:r w:rsidRPr="001B25B7">
        <w:rPr>
          <w:rFonts w:cs="Arial"/>
          <w:b/>
        </w:rPr>
        <w:t>2.</w:t>
      </w:r>
      <w:r w:rsidR="001B6254">
        <w:rPr>
          <w:rFonts w:cs="Arial"/>
          <w:b/>
        </w:rPr>
        <w:t>5</w:t>
      </w:r>
      <w:r w:rsidRPr="001B25B7">
        <w:rPr>
          <w:rFonts w:cs="Arial"/>
          <w:b/>
        </w:rPr>
        <w:t>.1</w:t>
      </w:r>
      <w:r>
        <w:rPr>
          <w:rFonts w:cs="Arial"/>
        </w:rPr>
        <w:t xml:space="preserve"> </w:t>
      </w:r>
      <w:r w:rsidRPr="006A58AC">
        <w:rPr>
          <w:rFonts w:cs="Arial"/>
        </w:rPr>
        <w:t>Columna</w:t>
      </w:r>
      <w:r w:rsidRPr="006A58AC">
        <w:rPr>
          <w:rFonts w:cs="Arial"/>
          <w:b/>
        </w:rPr>
        <w:t xml:space="preserve"> ID:</w:t>
      </w:r>
      <w:r w:rsidRPr="006A58AC">
        <w:rPr>
          <w:rFonts w:cs="Arial"/>
        </w:rPr>
        <w:t xml:space="preserve"> Número entero (Integer) que identifica a la unidad cartográfica de suelo (UCS); los dos primeros dígitos son el código de la provincia</w:t>
      </w:r>
      <w:r w:rsidR="005F53A8">
        <w:rPr>
          <w:rFonts w:cs="Arial"/>
        </w:rPr>
        <w:t xml:space="preserve"> y los dígitos siguiente son el número de orden del polígono, el cual identifica a una UCS. Por ejemplo 290001 significa provincia Ciego de Ávila (29) y 0001 es el primer polígono de esa provincia. La cantidad de dígitos de este número de orden depende de la cantidad de UCS (polígonos) que exista dentro del territorio que abarca el mapa. En este ejemplo se sobreentiende que no pasan de 9999.</w:t>
      </w:r>
      <w:r w:rsidRPr="006A58AC">
        <w:rPr>
          <w:rFonts w:cs="Arial"/>
        </w:rPr>
        <w:t xml:space="preserve"> </w:t>
      </w:r>
    </w:p>
    <w:p w:rsidR="000E3CDE" w:rsidRDefault="001B25B7" w:rsidP="006A58AC">
      <w:pPr>
        <w:spacing w:after="0" w:line="360" w:lineRule="auto"/>
        <w:jc w:val="both"/>
        <w:rPr>
          <w:rFonts w:cs="Arial"/>
        </w:rPr>
      </w:pPr>
      <w:r w:rsidRPr="001B25B7">
        <w:rPr>
          <w:rFonts w:cs="Arial"/>
          <w:b/>
        </w:rPr>
        <w:lastRenderedPageBreak/>
        <w:t>2.</w:t>
      </w:r>
      <w:r w:rsidR="001B6254">
        <w:rPr>
          <w:rFonts w:cs="Arial"/>
          <w:b/>
        </w:rPr>
        <w:t>5</w:t>
      </w:r>
      <w:r w:rsidRPr="001B25B7">
        <w:rPr>
          <w:rFonts w:cs="Arial"/>
          <w:b/>
        </w:rPr>
        <w:t>.2</w:t>
      </w:r>
      <w:r>
        <w:rPr>
          <w:rFonts w:cs="Arial"/>
        </w:rPr>
        <w:t xml:space="preserve"> </w:t>
      </w:r>
      <w:r w:rsidR="006A58AC" w:rsidRPr="006A58AC">
        <w:rPr>
          <w:rFonts w:cs="Arial"/>
        </w:rPr>
        <w:t xml:space="preserve">Columna </w:t>
      </w:r>
      <w:proofErr w:type="spellStart"/>
      <w:r w:rsidR="006A58AC" w:rsidRPr="000E3CDE">
        <w:rPr>
          <w:rFonts w:cs="Arial"/>
          <w:b/>
          <w:i/>
        </w:rPr>
        <w:t>Cód_tipo</w:t>
      </w:r>
      <w:proofErr w:type="spellEnd"/>
      <w:r w:rsidR="006A58AC" w:rsidRPr="000E3CDE">
        <w:rPr>
          <w:rFonts w:cs="Arial"/>
          <w:b/>
          <w:i/>
        </w:rPr>
        <w:t>:</w:t>
      </w:r>
      <w:r w:rsidR="006A58AC" w:rsidRPr="006A58AC">
        <w:rPr>
          <w:rFonts w:cs="Arial"/>
        </w:rPr>
        <w:t xml:space="preserve"> Identifica al tipo con un número entero (Integer); </w:t>
      </w:r>
      <w:r w:rsidR="000E3CDE">
        <w:rPr>
          <w:rFonts w:cs="Arial"/>
        </w:rPr>
        <w:t xml:space="preserve">pueden aparecer provincias en las cuales los tipos estén identificados con números romanos del I al XXVIII; </w:t>
      </w:r>
      <w:r w:rsidR="006A58AC" w:rsidRPr="006A58AC">
        <w:rPr>
          <w:rFonts w:cs="Arial"/>
        </w:rPr>
        <w:t xml:space="preserve">en </w:t>
      </w:r>
      <w:r w:rsidR="000E3CDE">
        <w:rPr>
          <w:rFonts w:cs="Arial"/>
        </w:rPr>
        <w:t>estos casos</w:t>
      </w:r>
      <w:r w:rsidR="006A58AC" w:rsidRPr="006A58AC">
        <w:rPr>
          <w:rFonts w:cs="Arial"/>
        </w:rPr>
        <w:t xml:space="preserve"> sustituimos los números romanos por números del sistema decimal, en el mismo orden del 1 al 28</w:t>
      </w:r>
      <w:r w:rsidR="000E3CDE">
        <w:rPr>
          <w:rFonts w:cs="Arial"/>
        </w:rPr>
        <w:t xml:space="preserve">, para lo cual debe consultarse el </w:t>
      </w:r>
      <w:r w:rsidR="000E3CDE" w:rsidRPr="00C85970">
        <w:rPr>
          <w:rFonts w:cs="Arial"/>
          <w:b/>
          <w:color w:val="FF0000"/>
        </w:rPr>
        <w:t xml:space="preserve">Anexo </w:t>
      </w:r>
      <w:r w:rsidR="00885FFD">
        <w:rPr>
          <w:rFonts w:cs="Arial"/>
          <w:b/>
          <w:color w:val="FF0000"/>
        </w:rPr>
        <w:t>6</w:t>
      </w:r>
      <w:r w:rsidR="000E3CDE" w:rsidRPr="00C85970">
        <w:rPr>
          <w:rFonts w:cs="Arial"/>
          <w:b/>
          <w:color w:val="FF0000"/>
        </w:rPr>
        <w:t>.</w:t>
      </w:r>
      <w:r w:rsidR="006A58AC" w:rsidRPr="00C85970">
        <w:rPr>
          <w:rFonts w:cs="Arial"/>
          <w:color w:val="FF0000"/>
        </w:rPr>
        <w:t xml:space="preserve"> </w:t>
      </w:r>
    </w:p>
    <w:p w:rsidR="006A58AC" w:rsidRPr="006A58AC" w:rsidRDefault="001B25B7" w:rsidP="006A58AC">
      <w:pPr>
        <w:spacing w:after="0" w:line="360" w:lineRule="auto"/>
        <w:jc w:val="both"/>
        <w:rPr>
          <w:rFonts w:cs="Arial"/>
        </w:rPr>
      </w:pPr>
      <w:r w:rsidRPr="008B79FF">
        <w:rPr>
          <w:rFonts w:cs="Arial"/>
          <w:b/>
        </w:rPr>
        <w:t>2.</w:t>
      </w:r>
      <w:r w:rsidR="001B6254">
        <w:rPr>
          <w:rFonts w:cs="Arial"/>
          <w:b/>
        </w:rPr>
        <w:t>5</w:t>
      </w:r>
      <w:r w:rsidRPr="008B79FF">
        <w:rPr>
          <w:rFonts w:cs="Arial"/>
          <w:b/>
        </w:rPr>
        <w:t>.</w:t>
      </w:r>
      <w:r w:rsidR="000E3CDE" w:rsidRPr="008B79FF">
        <w:rPr>
          <w:rFonts w:cs="Arial"/>
          <w:b/>
        </w:rPr>
        <w:t>3</w:t>
      </w:r>
      <w:r>
        <w:rPr>
          <w:rFonts w:cs="Arial"/>
        </w:rPr>
        <w:t xml:space="preserve"> </w:t>
      </w:r>
      <w:r w:rsidR="006A58AC" w:rsidRPr="006A58AC">
        <w:rPr>
          <w:rFonts w:cs="Arial"/>
        </w:rPr>
        <w:t xml:space="preserve">Columna </w:t>
      </w:r>
      <w:proofErr w:type="spellStart"/>
      <w:r w:rsidR="006A58AC" w:rsidRPr="000E3CDE">
        <w:rPr>
          <w:rFonts w:cs="Arial"/>
          <w:b/>
          <w:i/>
        </w:rPr>
        <w:t>Cód_subt</w:t>
      </w:r>
      <w:proofErr w:type="spellEnd"/>
      <w:r w:rsidR="006A58AC" w:rsidRPr="006A58AC">
        <w:rPr>
          <w:rFonts w:cs="Arial"/>
        </w:rPr>
        <w:t xml:space="preserve"> (código del subtipo): Número entero (Integer) que identifica a un subtipo determinado. Este número se forma por la unión del código del tipo ya modificado (</w:t>
      </w:r>
      <w:r w:rsidR="000E3CDE">
        <w:rPr>
          <w:rFonts w:cs="Arial"/>
        </w:rPr>
        <w:t>Anexo 5)</w:t>
      </w:r>
      <w:r w:rsidR="006A58AC" w:rsidRPr="006A58AC">
        <w:rPr>
          <w:rFonts w:cs="Arial"/>
        </w:rPr>
        <w:t xml:space="preserve"> con el código del subtipo (después de modificar este último). </w:t>
      </w:r>
      <w:r w:rsidR="000E3CDE">
        <w:rPr>
          <w:rFonts w:cs="Arial"/>
        </w:rPr>
        <w:t>En las provincias donde</w:t>
      </w:r>
      <w:r w:rsidR="006A58AC" w:rsidRPr="006A58AC">
        <w:rPr>
          <w:rFonts w:cs="Arial"/>
        </w:rPr>
        <w:t xml:space="preserve"> el subtipo se identifi</w:t>
      </w:r>
      <w:r w:rsidR="000E3CDE">
        <w:rPr>
          <w:rFonts w:cs="Arial"/>
        </w:rPr>
        <w:t>que</w:t>
      </w:r>
      <w:r w:rsidR="006A58AC" w:rsidRPr="006A58AC">
        <w:rPr>
          <w:rFonts w:cs="Arial"/>
        </w:rPr>
        <w:t xml:space="preserve"> con letras mayúsculas en orden alfabético</w:t>
      </w:r>
      <w:r w:rsidR="000E3CDE">
        <w:rPr>
          <w:rFonts w:cs="Arial"/>
        </w:rPr>
        <w:t>,</w:t>
      </w:r>
      <w:r w:rsidR="006A58AC" w:rsidRPr="006A58AC">
        <w:rPr>
          <w:rFonts w:cs="Arial"/>
        </w:rPr>
        <w:t xml:space="preserve"> sustituimos esas letras por números del sistema decimal en el mismo orden. Por ejemplo: </w:t>
      </w:r>
      <w:proofErr w:type="gramStart"/>
      <w:r w:rsidR="006A58AC" w:rsidRPr="006A58AC">
        <w:rPr>
          <w:rFonts w:cs="Arial"/>
        </w:rPr>
        <w:t>A</w:t>
      </w:r>
      <w:r w:rsidR="000E3CDE">
        <w:rPr>
          <w:rFonts w:cs="Arial"/>
        </w:rPr>
        <w:t>(</w:t>
      </w:r>
      <w:proofErr w:type="gramEnd"/>
      <w:r w:rsidR="000E3CDE">
        <w:rPr>
          <w:rFonts w:cs="Arial"/>
        </w:rPr>
        <w:t>1),</w:t>
      </w:r>
      <w:r w:rsidR="006A58AC" w:rsidRPr="006A58AC">
        <w:rPr>
          <w:rFonts w:cs="Arial"/>
        </w:rPr>
        <w:t xml:space="preserve"> B (2); C (3) y así sucesivamente hasta la última letra (</w:t>
      </w:r>
      <w:r w:rsidR="006A58AC" w:rsidRPr="00BF3873">
        <w:rPr>
          <w:rFonts w:cs="Arial"/>
          <w:color w:val="FF0000"/>
        </w:rPr>
        <w:t>Anexo</w:t>
      </w:r>
      <w:r w:rsidR="000E3CDE" w:rsidRPr="00BF3873">
        <w:rPr>
          <w:rFonts w:cs="Arial"/>
          <w:color w:val="FF0000"/>
        </w:rPr>
        <w:t xml:space="preserve"> </w:t>
      </w:r>
      <w:r w:rsidR="00BF3873" w:rsidRPr="00BF3873">
        <w:rPr>
          <w:rFonts w:cs="Arial"/>
          <w:color w:val="FF0000"/>
        </w:rPr>
        <w:t>6</w:t>
      </w:r>
      <w:r w:rsidR="006A58AC" w:rsidRPr="006A58AC">
        <w:rPr>
          <w:rFonts w:cs="Arial"/>
        </w:rPr>
        <w:t>). Una vez modificados los códigos de tipos y subtipos</w:t>
      </w:r>
      <w:r w:rsidR="008B79FF">
        <w:rPr>
          <w:rFonts w:cs="Arial"/>
        </w:rPr>
        <w:t xml:space="preserve"> de forma individual</w:t>
      </w:r>
      <w:r w:rsidR="006A58AC" w:rsidRPr="006A58AC">
        <w:rPr>
          <w:rFonts w:cs="Arial"/>
        </w:rPr>
        <w:t>, formamos los códigos</w:t>
      </w:r>
      <w:r w:rsidR="008B79FF">
        <w:rPr>
          <w:rFonts w:cs="Arial"/>
        </w:rPr>
        <w:t xml:space="preserve"> completos</w:t>
      </w:r>
      <w:r w:rsidR="006A58AC" w:rsidRPr="006A58AC">
        <w:rPr>
          <w:rFonts w:cs="Arial"/>
        </w:rPr>
        <w:t xml:space="preserve"> de subtipos</w:t>
      </w:r>
      <w:r w:rsidR="007E7C3B">
        <w:rPr>
          <w:rFonts w:cs="Arial"/>
        </w:rPr>
        <w:t xml:space="preserve"> en la misma columna </w:t>
      </w:r>
      <w:r w:rsidR="007E7C3B" w:rsidRPr="007E7C3B">
        <w:rPr>
          <w:rFonts w:cs="Arial"/>
          <w:b/>
          <w:i/>
        </w:rPr>
        <w:t>Cód_subt</w:t>
      </w:r>
      <w:r w:rsidR="008B79FF">
        <w:rPr>
          <w:rFonts w:cs="Arial"/>
        </w:rPr>
        <w:t>.</w:t>
      </w:r>
      <w:r w:rsidR="006A58AC" w:rsidRPr="006A58AC">
        <w:rPr>
          <w:rFonts w:cs="Arial"/>
        </w:rPr>
        <w:t xml:space="preserve"> Para esto procedemos según el caso (pueden presentarse cuatro casos) como se muestra a continuación.</w:t>
      </w:r>
    </w:p>
    <w:p w:rsidR="006A58AC" w:rsidRPr="006A58AC" w:rsidRDefault="006A58AC" w:rsidP="006A58AC">
      <w:pPr>
        <w:spacing w:after="0" w:line="360" w:lineRule="auto"/>
        <w:jc w:val="both"/>
        <w:rPr>
          <w:rFonts w:cs="Arial"/>
        </w:rPr>
      </w:pPr>
      <w:r w:rsidRPr="006A58AC">
        <w:rPr>
          <w:rFonts w:cs="Arial"/>
        </w:rPr>
        <w:t xml:space="preserve">▪ Tipo y subtipo, ambos con un solo dígito: el nuevo código se forma por el código del tipo seguido de un cero y a continuación el código del subtipo. Ejemplo: 201 (Ferralítico Rojo Típico). En este caso el nuevo código siempre tendrá tres dígitos; el primero es el tipo, el cero es un separador y el que sigue es el subtipo. </w:t>
      </w:r>
      <w:bookmarkStart w:id="0" w:name="_GoBack"/>
      <w:bookmarkEnd w:id="0"/>
    </w:p>
    <w:p w:rsidR="006A58AC" w:rsidRPr="006A58AC" w:rsidRDefault="006A58AC" w:rsidP="006A58AC">
      <w:pPr>
        <w:spacing w:after="0" w:line="360" w:lineRule="auto"/>
        <w:jc w:val="both"/>
        <w:rPr>
          <w:rFonts w:cs="Arial"/>
        </w:rPr>
      </w:pPr>
      <w:r w:rsidRPr="006A58AC">
        <w:rPr>
          <w:rFonts w:cs="Arial"/>
        </w:rPr>
        <w:t xml:space="preserve"> ▪ Tipo con un solo dígito y subtipo con dos: el nuevo código se forma por los dos números, sin agregar cero después del código del tipo. Ejemplo: 221 (Ferralítico Rojo Compactado). En este caso el nuevo código siempre tendrá tres dígitos; el primero es el tipo y los dos siguientes son el subtipo.</w:t>
      </w:r>
    </w:p>
    <w:p w:rsidR="006A58AC" w:rsidRPr="006A58AC" w:rsidRDefault="006A58AC" w:rsidP="006A58AC">
      <w:pPr>
        <w:spacing w:after="0" w:line="360" w:lineRule="auto"/>
        <w:jc w:val="both"/>
        <w:rPr>
          <w:rFonts w:cs="Arial"/>
        </w:rPr>
      </w:pPr>
      <w:r w:rsidRPr="006A58AC">
        <w:rPr>
          <w:rFonts w:cs="Arial"/>
        </w:rPr>
        <w:t xml:space="preserve">▪ Tipo con dos dígitos y subtipo con uno solo: el nuevo código se forma por el código del tipo seguido de un cero y el código del subtipo. Ejemplo: 1001 (Pardo con Carbonatos Típico). En este caso el código siempre tendrá cuatro dígitos; los dos primeros corresponden al tipo, el tercero es el cero separador y el que sigue es el subtipo.  </w:t>
      </w:r>
    </w:p>
    <w:p w:rsidR="006A58AC" w:rsidRDefault="006A58AC" w:rsidP="006A58AC">
      <w:pPr>
        <w:spacing w:after="0" w:line="360" w:lineRule="auto"/>
        <w:jc w:val="both"/>
        <w:rPr>
          <w:rFonts w:cs="Arial"/>
        </w:rPr>
      </w:pPr>
      <w:r w:rsidRPr="006A58AC">
        <w:rPr>
          <w:rFonts w:cs="Arial"/>
        </w:rPr>
        <w:t>▪ Tipo con dos dígitos y subtipo también con dos: el nuevo código se forma por los dos números, sin agregar cero después del código del tipo. Ejemplo: 2618 (Aluvial Diferenciado).  En este caso el código siempre tendrá cuatro dígitos; los dos primeros corresponden al tipo y los dos siguientes al subtipo.</w:t>
      </w:r>
    </w:p>
    <w:p w:rsidR="00464A1B" w:rsidRPr="00EE00A6" w:rsidRDefault="00464A1B" w:rsidP="006A58AC">
      <w:pPr>
        <w:spacing w:after="0" w:line="360" w:lineRule="auto"/>
        <w:jc w:val="both"/>
        <w:rPr>
          <w:rFonts w:cs="Arial"/>
          <w:b/>
          <w:color w:val="FF0000"/>
        </w:rPr>
      </w:pPr>
      <w:r w:rsidRPr="00BB00D2">
        <w:rPr>
          <w:rFonts w:cs="Arial"/>
          <w:b/>
        </w:rPr>
        <w:t>2.</w:t>
      </w:r>
      <w:r w:rsidR="001B6254">
        <w:rPr>
          <w:rFonts w:cs="Arial"/>
          <w:b/>
        </w:rPr>
        <w:t>5</w:t>
      </w:r>
      <w:r w:rsidRPr="00BB00D2">
        <w:rPr>
          <w:rFonts w:cs="Arial"/>
          <w:b/>
        </w:rPr>
        <w:t>.4</w:t>
      </w:r>
      <w:r>
        <w:rPr>
          <w:rFonts w:cs="Arial"/>
        </w:rPr>
        <w:t xml:space="preserve"> </w:t>
      </w:r>
      <w:r w:rsidR="009618CB">
        <w:rPr>
          <w:rFonts w:cs="Arial"/>
        </w:rPr>
        <w:t xml:space="preserve">En las provincias donde se identifican los tipos y subtipos con códigos numéricos del Sistema Decimal (1, 2, 3, n) hay que comprobar que existe coincidencia con la codificación expresada en el </w:t>
      </w:r>
      <w:r w:rsidR="009618CB" w:rsidRPr="00EE00A6">
        <w:rPr>
          <w:rFonts w:cs="Arial"/>
          <w:b/>
          <w:color w:val="FF0000"/>
        </w:rPr>
        <w:t xml:space="preserve">Anexo </w:t>
      </w:r>
      <w:r w:rsidR="00EE00A6" w:rsidRPr="00EE00A6">
        <w:rPr>
          <w:rFonts w:cs="Arial"/>
          <w:b/>
          <w:color w:val="FF0000"/>
        </w:rPr>
        <w:t>6</w:t>
      </w:r>
      <w:r w:rsidR="009618CB" w:rsidRPr="00EE00A6">
        <w:rPr>
          <w:rFonts w:cs="Arial"/>
          <w:b/>
          <w:color w:val="FF0000"/>
        </w:rPr>
        <w:t xml:space="preserve">. </w:t>
      </w:r>
    </w:p>
    <w:p w:rsidR="00FA2BAD" w:rsidRDefault="00FA2BAD" w:rsidP="006A58AC">
      <w:pPr>
        <w:spacing w:after="0" w:line="360" w:lineRule="auto"/>
        <w:jc w:val="both"/>
        <w:rPr>
          <w:rFonts w:cs="Arial"/>
        </w:rPr>
      </w:pPr>
      <w:r w:rsidRPr="00FA2BAD">
        <w:rPr>
          <w:rFonts w:cs="Arial"/>
          <w:b/>
        </w:rPr>
        <w:t>2.</w:t>
      </w:r>
      <w:r w:rsidR="001B6254">
        <w:rPr>
          <w:rFonts w:cs="Arial"/>
          <w:b/>
        </w:rPr>
        <w:t>5</w:t>
      </w:r>
      <w:r w:rsidRPr="00FA2BAD">
        <w:rPr>
          <w:rFonts w:cs="Arial"/>
          <w:b/>
        </w:rPr>
        <w:t>.5</w:t>
      </w:r>
      <w:r>
        <w:rPr>
          <w:rFonts w:cs="Arial"/>
        </w:rPr>
        <w:t xml:space="preserve"> Columna </w:t>
      </w:r>
      <w:r w:rsidRPr="00FA2BAD">
        <w:rPr>
          <w:rFonts w:cs="Arial"/>
          <w:b/>
          <w:i/>
        </w:rPr>
        <w:t>Nombre_subtipo</w:t>
      </w:r>
      <w:r>
        <w:rPr>
          <w:rFonts w:cs="Arial"/>
        </w:rPr>
        <w:t>: En esta columna se utilizan caracteres; el nombre se forma por la combinación del nombre del tipo y del subtipo correspondiente.</w:t>
      </w:r>
    </w:p>
    <w:p w:rsidR="005C167F" w:rsidRPr="005C167F" w:rsidRDefault="005C167F" w:rsidP="006A58AC">
      <w:pPr>
        <w:spacing w:after="0" w:line="360" w:lineRule="auto"/>
        <w:jc w:val="both"/>
        <w:rPr>
          <w:rFonts w:cs="Arial"/>
          <w:color w:val="FF0000"/>
        </w:rPr>
      </w:pPr>
      <w:r w:rsidRPr="005C167F">
        <w:rPr>
          <w:rFonts w:cs="Arial"/>
          <w:color w:val="FF0000"/>
        </w:rPr>
        <w:t>2.6 Cambio del orden en las categorías y códigos que identifican a las mismas</w:t>
      </w:r>
      <w:r w:rsidR="001879D0">
        <w:rPr>
          <w:rFonts w:cs="Arial"/>
          <w:color w:val="FF0000"/>
        </w:rPr>
        <w:t>.</w:t>
      </w:r>
    </w:p>
    <w:p w:rsidR="0099797D" w:rsidRDefault="0099797D" w:rsidP="001B01A6">
      <w:pPr>
        <w:spacing w:after="0" w:line="360" w:lineRule="auto"/>
        <w:jc w:val="both"/>
        <w:rPr>
          <w:b/>
          <w:lang w:val="es-MX"/>
        </w:rPr>
      </w:pPr>
      <w:r w:rsidRPr="00D071F2">
        <w:rPr>
          <w:b/>
          <w:lang w:val="es-MX"/>
        </w:rPr>
        <w:t>2.</w:t>
      </w:r>
      <w:r w:rsidR="005C167F">
        <w:rPr>
          <w:b/>
          <w:lang w:val="es-MX"/>
        </w:rPr>
        <w:t>7</w:t>
      </w:r>
      <w:r w:rsidRPr="00D071F2">
        <w:rPr>
          <w:b/>
          <w:lang w:val="es-MX"/>
        </w:rPr>
        <w:t xml:space="preserve"> Preparación para el empalme de las provincias</w:t>
      </w:r>
    </w:p>
    <w:p w:rsidR="009F04DE" w:rsidRDefault="00880F92" w:rsidP="001B01A6">
      <w:pPr>
        <w:spacing w:after="0" w:line="360" w:lineRule="auto"/>
        <w:jc w:val="both"/>
        <w:rPr>
          <w:lang w:val="es-MX"/>
        </w:rPr>
      </w:pPr>
      <w:r w:rsidRPr="00880F92">
        <w:rPr>
          <w:lang w:val="es-MX"/>
        </w:rPr>
        <w:t>En la preparación para el empalme</w:t>
      </w:r>
      <w:r>
        <w:rPr>
          <w:lang w:val="es-MX"/>
        </w:rPr>
        <w:t xml:space="preserve"> deben comprobarse y arreglarse, si es necesario, los siguientes aspectos:</w:t>
      </w:r>
    </w:p>
    <w:p w:rsidR="00880F92" w:rsidRDefault="00FC1765" w:rsidP="001B01A6">
      <w:pPr>
        <w:spacing w:after="0" w:line="360" w:lineRule="auto"/>
        <w:jc w:val="both"/>
        <w:rPr>
          <w:lang w:val="es-MX"/>
        </w:rPr>
      </w:pPr>
      <w:r w:rsidRPr="00FC1765">
        <w:rPr>
          <w:b/>
          <w:lang w:val="es-MX"/>
        </w:rPr>
        <w:t>2.</w:t>
      </w:r>
      <w:r w:rsidR="001B6254">
        <w:rPr>
          <w:b/>
          <w:lang w:val="es-MX"/>
        </w:rPr>
        <w:t>6</w:t>
      </w:r>
      <w:r w:rsidRPr="00FC1765">
        <w:rPr>
          <w:b/>
          <w:lang w:val="es-MX"/>
        </w:rPr>
        <w:t>.1</w:t>
      </w:r>
      <w:r w:rsidR="00F23B7E">
        <w:rPr>
          <w:lang w:val="es-MX"/>
        </w:rPr>
        <w:t xml:space="preserve"> </w:t>
      </w:r>
      <w:r w:rsidR="00880F92">
        <w:rPr>
          <w:lang w:val="es-MX"/>
        </w:rPr>
        <w:t xml:space="preserve">El área del mapa de suelos debe </w:t>
      </w:r>
      <w:r w:rsidR="00F23B7E">
        <w:rPr>
          <w:lang w:val="es-MX"/>
        </w:rPr>
        <w:t>ser la misma que ocupa la provincia que corresponda por la actual DPA.</w:t>
      </w:r>
    </w:p>
    <w:p w:rsidR="00F23B7E" w:rsidRDefault="00FC1765" w:rsidP="001B01A6">
      <w:pPr>
        <w:spacing w:after="0" w:line="360" w:lineRule="auto"/>
        <w:jc w:val="both"/>
        <w:rPr>
          <w:lang w:val="es-MX"/>
        </w:rPr>
      </w:pPr>
      <w:r w:rsidRPr="00FC1765">
        <w:rPr>
          <w:b/>
          <w:lang w:val="es-MX"/>
        </w:rPr>
        <w:lastRenderedPageBreak/>
        <w:t>2.</w:t>
      </w:r>
      <w:r w:rsidR="001B6254">
        <w:rPr>
          <w:b/>
          <w:lang w:val="es-MX"/>
        </w:rPr>
        <w:t>6</w:t>
      </w:r>
      <w:r w:rsidRPr="00FC1765">
        <w:rPr>
          <w:b/>
          <w:lang w:val="es-MX"/>
        </w:rPr>
        <w:t>.2</w:t>
      </w:r>
      <w:r w:rsidR="00F23B7E">
        <w:rPr>
          <w:lang w:val="es-MX"/>
        </w:rPr>
        <w:t xml:space="preserve"> Si el mapa de suelos sobrepasa el área de la provincia y se superpone con el de la provincia aledaña, hay que realizar los arreglos que corresponda.</w:t>
      </w:r>
    </w:p>
    <w:p w:rsidR="00F23B7E" w:rsidRDefault="00FC1765" w:rsidP="001B01A6">
      <w:pPr>
        <w:spacing w:after="0" w:line="360" w:lineRule="auto"/>
        <w:jc w:val="both"/>
        <w:rPr>
          <w:lang w:val="es-MX"/>
        </w:rPr>
      </w:pPr>
      <w:r w:rsidRPr="00FC1765">
        <w:rPr>
          <w:b/>
          <w:lang w:val="es-MX"/>
        </w:rPr>
        <w:t>2.</w:t>
      </w:r>
      <w:r w:rsidR="001B6254">
        <w:rPr>
          <w:b/>
          <w:lang w:val="es-MX"/>
        </w:rPr>
        <w:t>6</w:t>
      </w:r>
      <w:r w:rsidRPr="00FC1765">
        <w:rPr>
          <w:b/>
          <w:lang w:val="es-MX"/>
        </w:rPr>
        <w:t>.3</w:t>
      </w:r>
      <w:r>
        <w:rPr>
          <w:lang w:val="es-MX"/>
        </w:rPr>
        <w:t xml:space="preserve"> </w:t>
      </w:r>
      <w:r w:rsidR="00F23B7E">
        <w:rPr>
          <w:lang w:val="es-MX"/>
        </w:rPr>
        <w:t>Antes de realizar el empalme, hay que comprobar la continuidad de una provincia con la siguiente.</w:t>
      </w:r>
    </w:p>
    <w:p w:rsidR="00F23B7E" w:rsidRPr="00880F92" w:rsidRDefault="00F23B7E" w:rsidP="001B01A6">
      <w:pPr>
        <w:spacing w:after="0" w:line="360" w:lineRule="auto"/>
        <w:jc w:val="both"/>
        <w:rPr>
          <w:lang w:val="es-MX"/>
        </w:rPr>
      </w:pPr>
    </w:p>
    <w:p w:rsidR="00D071F2" w:rsidRPr="00D071F2" w:rsidRDefault="00D071F2" w:rsidP="001B01A6">
      <w:pPr>
        <w:spacing w:after="0" w:line="360" w:lineRule="auto"/>
        <w:jc w:val="both"/>
        <w:rPr>
          <w:b/>
          <w:lang w:val="es-MX"/>
        </w:rPr>
      </w:pPr>
    </w:p>
    <w:sectPr w:rsidR="00D071F2" w:rsidRPr="00D071F2" w:rsidSect="004126EC">
      <w:footerReference w:type="default" r:id="rId8"/>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45AB" w:rsidRDefault="003645AB" w:rsidP="007218AB">
      <w:pPr>
        <w:spacing w:after="0" w:line="240" w:lineRule="auto"/>
      </w:pPr>
      <w:r>
        <w:separator/>
      </w:r>
    </w:p>
  </w:endnote>
  <w:endnote w:type="continuationSeparator" w:id="0">
    <w:p w:rsidR="003645AB" w:rsidRDefault="003645AB" w:rsidP="0072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8883859"/>
      <w:docPartObj>
        <w:docPartGallery w:val="Page Numbers (Bottom of Page)"/>
        <w:docPartUnique/>
      </w:docPartObj>
    </w:sdtPr>
    <w:sdtEndPr/>
    <w:sdtContent>
      <w:p w:rsidR="009B6A21" w:rsidRDefault="00A13703">
        <w:pPr>
          <w:pStyle w:val="Piedepgina"/>
          <w:jc w:val="center"/>
        </w:pPr>
        <w:r>
          <w:fldChar w:fldCharType="begin"/>
        </w:r>
        <w:r w:rsidR="009B6A21">
          <w:instrText>PAGE   \* MERGEFORMAT</w:instrText>
        </w:r>
        <w:r>
          <w:fldChar w:fldCharType="separate"/>
        </w:r>
        <w:r w:rsidR="00BF3873">
          <w:rPr>
            <w:noProof/>
          </w:rPr>
          <w:t>3</w:t>
        </w:r>
        <w:r>
          <w:fldChar w:fldCharType="end"/>
        </w:r>
      </w:p>
    </w:sdtContent>
  </w:sdt>
  <w:p w:rsidR="009B6A21" w:rsidRDefault="009B6A2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45AB" w:rsidRDefault="003645AB" w:rsidP="007218AB">
      <w:pPr>
        <w:spacing w:after="0" w:line="240" w:lineRule="auto"/>
      </w:pPr>
      <w:r>
        <w:separator/>
      </w:r>
    </w:p>
  </w:footnote>
  <w:footnote w:type="continuationSeparator" w:id="0">
    <w:p w:rsidR="003645AB" w:rsidRDefault="003645AB" w:rsidP="007218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046E7"/>
    <w:multiLevelType w:val="hybridMultilevel"/>
    <w:tmpl w:val="B2C013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508A0E68"/>
    <w:multiLevelType w:val="hybridMultilevel"/>
    <w:tmpl w:val="F30A48B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4FC"/>
    <w:rsid w:val="00003DFD"/>
    <w:rsid w:val="00004CE1"/>
    <w:rsid w:val="000114DA"/>
    <w:rsid w:val="000121D5"/>
    <w:rsid w:val="000126DD"/>
    <w:rsid w:val="00014020"/>
    <w:rsid w:val="000169A4"/>
    <w:rsid w:val="00016C95"/>
    <w:rsid w:val="000219AD"/>
    <w:rsid w:val="00023034"/>
    <w:rsid w:val="00023364"/>
    <w:rsid w:val="00023F70"/>
    <w:rsid w:val="00024148"/>
    <w:rsid w:val="00025503"/>
    <w:rsid w:val="00026206"/>
    <w:rsid w:val="000266BD"/>
    <w:rsid w:val="00026F25"/>
    <w:rsid w:val="00031143"/>
    <w:rsid w:val="000312A5"/>
    <w:rsid w:val="00040E2D"/>
    <w:rsid w:val="000429A4"/>
    <w:rsid w:val="00042E51"/>
    <w:rsid w:val="0004340F"/>
    <w:rsid w:val="00045024"/>
    <w:rsid w:val="00046130"/>
    <w:rsid w:val="00047699"/>
    <w:rsid w:val="00050993"/>
    <w:rsid w:val="00052950"/>
    <w:rsid w:val="00053BD9"/>
    <w:rsid w:val="00054748"/>
    <w:rsid w:val="00057BDF"/>
    <w:rsid w:val="00060903"/>
    <w:rsid w:val="00060F07"/>
    <w:rsid w:val="00060FE5"/>
    <w:rsid w:val="0006123E"/>
    <w:rsid w:val="0006333B"/>
    <w:rsid w:val="000641FC"/>
    <w:rsid w:val="000668A5"/>
    <w:rsid w:val="00067A00"/>
    <w:rsid w:val="00067AB9"/>
    <w:rsid w:val="0007190F"/>
    <w:rsid w:val="000737B1"/>
    <w:rsid w:val="000760EE"/>
    <w:rsid w:val="000774B5"/>
    <w:rsid w:val="00094FCF"/>
    <w:rsid w:val="00095DA0"/>
    <w:rsid w:val="000973E9"/>
    <w:rsid w:val="000A06FC"/>
    <w:rsid w:val="000A17D8"/>
    <w:rsid w:val="000A2A24"/>
    <w:rsid w:val="000A3788"/>
    <w:rsid w:val="000A5671"/>
    <w:rsid w:val="000A598D"/>
    <w:rsid w:val="000B038A"/>
    <w:rsid w:val="000B1F86"/>
    <w:rsid w:val="000C14C5"/>
    <w:rsid w:val="000C3FE6"/>
    <w:rsid w:val="000C460D"/>
    <w:rsid w:val="000C6A45"/>
    <w:rsid w:val="000C7920"/>
    <w:rsid w:val="000D085D"/>
    <w:rsid w:val="000D0E25"/>
    <w:rsid w:val="000D101F"/>
    <w:rsid w:val="000D3170"/>
    <w:rsid w:val="000D40E6"/>
    <w:rsid w:val="000E0A02"/>
    <w:rsid w:val="000E3CDE"/>
    <w:rsid w:val="000E4072"/>
    <w:rsid w:val="000E6F58"/>
    <w:rsid w:val="000F0A07"/>
    <w:rsid w:val="00100EC1"/>
    <w:rsid w:val="0010140A"/>
    <w:rsid w:val="001062F6"/>
    <w:rsid w:val="00106AE5"/>
    <w:rsid w:val="0011125C"/>
    <w:rsid w:val="001123D5"/>
    <w:rsid w:val="00112713"/>
    <w:rsid w:val="0011387C"/>
    <w:rsid w:val="00113BBA"/>
    <w:rsid w:val="00114EAB"/>
    <w:rsid w:val="00116946"/>
    <w:rsid w:val="001205AA"/>
    <w:rsid w:val="0012206B"/>
    <w:rsid w:val="00122251"/>
    <w:rsid w:val="001228F1"/>
    <w:rsid w:val="0012761E"/>
    <w:rsid w:val="00135656"/>
    <w:rsid w:val="00137003"/>
    <w:rsid w:val="001371D7"/>
    <w:rsid w:val="00140B23"/>
    <w:rsid w:val="00143CCF"/>
    <w:rsid w:val="001454B9"/>
    <w:rsid w:val="00145F67"/>
    <w:rsid w:val="00146B23"/>
    <w:rsid w:val="00146F45"/>
    <w:rsid w:val="00150967"/>
    <w:rsid w:val="00151861"/>
    <w:rsid w:val="00154342"/>
    <w:rsid w:val="001565C5"/>
    <w:rsid w:val="00161CB2"/>
    <w:rsid w:val="00162251"/>
    <w:rsid w:val="00162922"/>
    <w:rsid w:val="001641FF"/>
    <w:rsid w:val="00166DF7"/>
    <w:rsid w:val="0016786C"/>
    <w:rsid w:val="001736E4"/>
    <w:rsid w:val="00173DD5"/>
    <w:rsid w:val="00176C40"/>
    <w:rsid w:val="0018053C"/>
    <w:rsid w:val="00180D91"/>
    <w:rsid w:val="001879D0"/>
    <w:rsid w:val="0019184D"/>
    <w:rsid w:val="00192A8F"/>
    <w:rsid w:val="001938EE"/>
    <w:rsid w:val="00194157"/>
    <w:rsid w:val="001944AE"/>
    <w:rsid w:val="001968C2"/>
    <w:rsid w:val="001A2DCB"/>
    <w:rsid w:val="001A5302"/>
    <w:rsid w:val="001A572C"/>
    <w:rsid w:val="001A609F"/>
    <w:rsid w:val="001A63CD"/>
    <w:rsid w:val="001B01A6"/>
    <w:rsid w:val="001B0C5A"/>
    <w:rsid w:val="001B13F2"/>
    <w:rsid w:val="001B1ECB"/>
    <w:rsid w:val="001B20C3"/>
    <w:rsid w:val="001B25B7"/>
    <w:rsid w:val="001B2B6A"/>
    <w:rsid w:val="001B4F81"/>
    <w:rsid w:val="001B5298"/>
    <w:rsid w:val="001B6254"/>
    <w:rsid w:val="001B6C46"/>
    <w:rsid w:val="001C0472"/>
    <w:rsid w:val="001C0D6C"/>
    <w:rsid w:val="001C1792"/>
    <w:rsid w:val="001C280E"/>
    <w:rsid w:val="001C4740"/>
    <w:rsid w:val="001C681F"/>
    <w:rsid w:val="001C6B89"/>
    <w:rsid w:val="001D205F"/>
    <w:rsid w:val="001D398F"/>
    <w:rsid w:val="001D4EF7"/>
    <w:rsid w:val="001D4FFD"/>
    <w:rsid w:val="001E0168"/>
    <w:rsid w:val="001F1981"/>
    <w:rsid w:val="001F24E7"/>
    <w:rsid w:val="001F6062"/>
    <w:rsid w:val="00200D1A"/>
    <w:rsid w:val="00203AEA"/>
    <w:rsid w:val="00203D80"/>
    <w:rsid w:val="00204BFB"/>
    <w:rsid w:val="00205909"/>
    <w:rsid w:val="00205D56"/>
    <w:rsid w:val="0021067E"/>
    <w:rsid w:val="00211263"/>
    <w:rsid w:val="002168F6"/>
    <w:rsid w:val="0021701D"/>
    <w:rsid w:val="00220944"/>
    <w:rsid w:val="002215D7"/>
    <w:rsid w:val="00221B50"/>
    <w:rsid w:val="0022291E"/>
    <w:rsid w:val="002232CF"/>
    <w:rsid w:val="00223588"/>
    <w:rsid w:val="00224D79"/>
    <w:rsid w:val="0022710A"/>
    <w:rsid w:val="00231953"/>
    <w:rsid w:val="00234F3D"/>
    <w:rsid w:val="00235664"/>
    <w:rsid w:val="00237956"/>
    <w:rsid w:val="0024031E"/>
    <w:rsid w:val="0024269A"/>
    <w:rsid w:val="002458DD"/>
    <w:rsid w:val="00247A04"/>
    <w:rsid w:val="00250FF0"/>
    <w:rsid w:val="002514B9"/>
    <w:rsid w:val="002533A9"/>
    <w:rsid w:val="00253815"/>
    <w:rsid w:val="00256FC2"/>
    <w:rsid w:val="00257C90"/>
    <w:rsid w:val="00260816"/>
    <w:rsid w:val="0026405F"/>
    <w:rsid w:val="00265569"/>
    <w:rsid w:val="00265E69"/>
    <w:rsid w:val="00266EDE"/>
    <w:rsid w:val="0027657C"/>
    <w:rsid w:val="00282D6F"/>
    <w:rsid w:val="0028399D"/>
    <w:rsid w:val="00285ED6"/>
    <w:rsid w:val="0029024C"/>
    <w:rsid w:val="002918EB"/>
    <w:rsid w:val="00294126"/>
    <w:rsid w:val="00295009"/>
    <w:rsid w:val="00296D88"/>
    <w:rsid w:val="00296E56"/>
    <w:rsid w:val="002A27BE"/>
    <w:rsid w:val="002A40D1"/>
    <w:rsid w:val="002A5EC1"/>
    <w:rsid w:val="002B2038"/>
    <w:rsid w:val="002B3444"/>
    <w:rsid w:val="002B4439"/>
    <w:rsid w:val="002B4ECB"/>
    <w:rsid w:val="002B55BB"/>
    <w:rsid w:val="002C0105"/>
    <w:rsid w:val="002C0CE5"/>
    <w:rsid w:val="002C1213"/>
    <w:rsid w:val="002C2E7F"/>
    <w:rsid w:val="002C4ECE"/>
    <w:rsid w:val="002D0815"/>
    <w:rsid w:val="002D1DD7"/>
    <w:rsid w:val="002D29DE"/>
    <w:rsid w:val="002D4B6D"/>
    <w:rsid w:val="002D5CF1"/>
    <w:rsid w:val="002E37A0"/>
    <w:rsid w:val="002E393F"/>
    <w:rsid w:val="002E5975"/>
    <w:rsid w:val="002E68C3"/>
    <w:rsid w:val="002E70B9"/>
    <w:rsid w:val="002F1E1B"/>
    <w:rsid w:val="002F3A70"/>
    <w:rsid w:val="002F45D0"/>
    <w:rsid w:val="002F5A32"/>
    <w:rsid w:val="00301A1A"/>
    <w:rsid w:val="0030330C"/>
    <w:rsid w:val="00305165"/>
    <w:rsid w:val="003061A7"/>
    <w:rsid w:val="003066CB"/>
    <w:rsid w:val="00307329"/>
    <w:rsid w:val="0030775E"/>
    <w:rsid w:val="00314A2A"/>
    <w:rsid w:val="00320453"/>
    <w:rsid w:val="00330C66"/>
    <w:rsid w:val="00331CCD"/>
    <w:rsid w:val="0033566F"/>
    <w:rsid w:val="00336B70"/>
    <w:rsid w:val="003372F0"/>
    <w:rsid w:val="00337EDD"/>
    <w:rsid w:val="00340300"/>
    <w:rsid w:val="00341684"/>
    <w:rsid w:val="00343278"/>
    <w:rsid w:val="003445D7"/>
    <w:rsid w:val="00351414"/>
    <w:rsid w:val="00353252"/>
    <w:rsid w:val="00353E49"/>
    <w:rsid w:val="00356BFD"/>
    <w:rsid w:val="00357D85"/>
    <w:rsid w:val="003606D9"/>
    <w:rsid w:val="003645AB"/>
    <w:rsid w:val="00365327"/>
    <w:rsid w:val="00372009"/>
    <w:rsid w:val="003730CF"/>
    <w:rsid w:val="00377CC0"/>
    <w:rsid w:val="00381A71"/>
    <w:rsid w:val="00382E33"/>
    <w:rsid w:val="00385066"/>
    <w:rsid w:val="00386DF3"/>
    <w:rsid w:val="00387232"/>
    <w:rsid w:val="00387A44"/>
    <w:rsid w:val="00393827"/>
    <w:rsid w:val="003966E9"/>
    <w:rsid w:val="003A069E"/>
    <w:rsid w:val="003A1DC3"/>
    <w:rsid w:val="003A2D30"/>
    <w:rsid w:val="003A3901"/>
    <w:rsid w:val="003A3B4B"/>
    <w:rsid w:val="003A4A9F"/>
    <w:rsid w:val="003B0170"/>
    <w:rsid w:val="003B1428"/>
    <w:rsid w:val="003B588B"/>
    <w:rsid w:val="003B6A48"/>
    <w:rsid w:val="003B700F"/>
    <w:rsid w:val="003B70C5"/>
    <w:rsid w:val="003B7435"/>
    <w:rsid w:val="003C0D0D"/>
    <w:rsid w:val="003C4BF5"/>
    <w:rsid w:val="003C4CF6"/>
    <w:rsid w:val="003D132A"/>
    <w:rsid w:val="003D3E25"/>
    <w:rsid w:val="003D58F7"/>
    <w:rsid w:val="003D69C9"/>
    <w:rsid w:val="003E1A47"/>
    <w:rsid w:val="003E52DB"/>
    <w:rsid w:val="003E59E7"/>
    <w:rsid w:val="003E5D08"/>
    <w:rsid w:val="003E7CA3"/>
    <w:rsid w:val="003F0787"/>
    <w:rsid w:val="003F1AF3"/>
    <w:rsid w:val="003F1E81"/>
    <w:rsid w:val="003F32CD"/>
    <w:rsid w:val="003F7EA7"/>
    <w:rsid w:val="00400A50"/>
    <w:rsid w:val="00403877"/>
    <w:rsid w:val="00404B21"/>
    <w:rsid w:val="00406F0E"/>
    <w:rsid w:val="00412111"/>
    <w:rsid w:val="004126EC"/>
    <w:rsid w:val="00413D47"/>
    <w:rsid w:val="00416839"/>
    <w:rsid w:val="004207A0"/>
    <w:rsid w:val="0042179D"/>
    <w:rsid w:val="004232C0"/>
    <w:rsid w:val="00424083"/>
    <w:rsid w:val="00424B2B"/>
    <w:rsid w:val="0042655E"/>
    <w:rsid w:val="00427712"/>
    <w:rsid w:val="004304E4"/>
    <w:rsid w:val="0043203C"/>
    <w:rsid w:val="00434A00"/>
    <w:rsid w:val="00435ADC"/>
    <w:rsid w:val="00436FB2"/>
    <w:rsid w:val="00437223"/>
    <w:rsid w:val="004441E4"/>
    <w:rsid w:val="0044591F"/>
    <w:rsid w:val="0045008D"/>
    <w:rsid w:val="00450807"/>
    <w:rsid w:val="004512F3"/>
    <w:rsid w:val="0045396F"/>
    <w:rsid w:val="00454E35"/>
    <w:rsid w:val="00455A4C"/>
    <w:rsid w:val="00456DEE"/>
    <w:rsid w:val="00457D70"/>
    <w:rsid w:val="00464197"/>
    <w:rsid w:val="00464A1B"/>
    <w:rsid w:val="00475705"/>
    <w:rsid w:val="00475837"/>
    <w:rsid w:val="00476E8A"/>
    <w:rsid w:val="0048198E"/>
    <w:rsid w:val="00483854"/>
    <w:rsid w:val="004862EF"/>
    <w:rsid w:val="004868E1"/>
    <w:rsid w:val="00486A09"/>
    <w:rsid w:val="00491052"/>
    <w:rsid w:val="0049246D"/>
    <w:rsid w:val="004943C1"/>
    <w:rsid w:val="00495B80"/>
    <w:rsid w:val="00496379"/>
    <w:rsid w:val="004976C2"/>
    <w:rsid w:val="004A75EA"/>
    <w:rsid w:val="004A7828"/>
    <w:rsid w:val="004B0714"/>
    <w:rsid w:val="004B3E57"/>
    <w:rsid w:val="004B414F"/>
    <w:rsid w:val="004C1D20"/>
    <w:rsid w:val="004C27F8"/>
    <w:rsid w:val="004C38F3"/>
    <w:rsid w:val="004C42E0"/>
    <w:rsid w:val="004C47A6"/>
    <w:rsid w:val="004C5F27"/>
    <w:rsid w:val="004D1AC8"/>
    <w:rsid w:val="004D377F"/>
    <w:rsid w:val="004D760B"/>
    <w:rsid w:val="004E016E"/>
    <w:rsid w:val="004E117F"/>
    <w:rsid w:val="004E28C6"/>
    <w:rsid w:val="004E32FF"/>
    <w:rsid w:val="004E7E69"/>
    <w:rsid w:val="004F06F2"/>
    <w:rsid w:val="004F0D05"/>
    <w:rsid w:val="004F740F"/>
    <w:rsid w:val="004F74D2"/>
    <w:rsid w:val="0050023A"/>
    <w:rsid w:val="00503313"/>
    <w:rsid w:val="00503665"/>
    <w:rsid w:val="005050CA"/>
    <w:rsid w:val="005056CD"/>
    <w:rsid w:val="0050715B"/>
    <w:rsid w:val="00510D79"/>
    <w:rsid w:val="00512CFB"/>
    <w:rsid w:val="00513BA0"/>
    <w:rsid w:val="00515F1C"/>
    <w:rsid w:val="00524B0C"/>
    <w:rsid w:val="0052639D"/>
    <w:rsid w:val="00531CCD"/>
    <w:rsid w:val="005322F2"/>
    <w:rsid w:val="00532384"/>
    <w:rsid w:val="005343B9"/>
    <w:rsid w:val="00540D02"/>
    <w:rsid w:val="0054420C"/>
    <w:rsid w:val="00546043"/>
    <w:rsid w:val="00546193"/>
    <w:rsid w:val="005467C6"/>
    <w:rsid w:val="0055189B"/>
    <w:rsid w:val="00552395"/>
    <w:rsid w:val="00553ACE"/>
    <w:rsid w:val="005551C0"/>
    <w:rsid w:val="00556B72"/>
    <w:rsid w:val="00561C03"/>
    <w:rsid w:val="0056234F"/>
    <w:rsid w:val="0056236D"/>
    <w:rsid w:val="00562739"/>
    <w:rsid w:val="00570DF6"/>
    <w:rsid w:val="00577949"/>
    <w:rsid w:val="00577BB1"/>
    <w:rsid w:val="005817E4"/>
    <w:rsid w:val="00581B58"/>
    <w:rsid w:val="00586B7F"/>
    <w:rsid w:val="00591E2F"/>
    <w:rsid w:val="00591ECC"/>
    <w:rsid w:val="005963B7"/>
    <w:rsid w:val="0059645A"/>
    <w:rsid w:val="00597A3F"/>
    <w:rsid w:val="005A115D"/>
    <w:rsid w:val="005A4A8F"/>
    <w:rsid w:val="005A6512"/>
    <w:rsid w:val="005A6D76"/>
    <w:rsid w:val="005B03FE"/>
    <w:rsid w:val="005B18FE"/>
    <w:rsid w:val="005B1A26"/>
    <w:rsid w:val="005B2069"/>
    <w:rsid w:val="005B2FE9"/>
    <w:rsid w:val="005B35D1"/>
    <w:rsid w:val="005B4A9B"/>
    <w:rsid w:val="005B7079"/>
    <w:rsid w:val="005C167F"/>
    <w:rsid w:val="005C2CDF"/>
    <w:rsid w:val="005C50DA"/>
    <w:rsid w:val="005C54DD"/>
    <w:rsid w:val="005C7D60"/>
    <w:rsid w:val="005D09C1"/>
    <w:rsid w:val="005D3064"/>
    <w:rsid w:val="005D3D06"/>
    <w:rsid w:val="005D41D7"/>
    <w:rsid w:val="005D430E"/>
    <w:rsid w:val="005D5D6A"/>
    <w:rsid w:val="005D786A"/>
    <w:rsid w:val="005E3F98"/>
    <w:rsid w:val="005E6BB0"/>
    <w:rsid w:val="005E7913"/>
    <w:rsid w:val="005F53A8"/>
    <w:rsid w:val="006038E7"/>
    <w:rsid w:val="00604D73"/>
    <w:rsid w:val="006115E4"/>
    <w:rsid w:val="0061161F"/>
    <w:rsid w:val="00612053"/>
    <w:rsid w:val="00617435"/>
    <w:rsid w:val="0062130D"/>
    <w:rsid w:val="00621447"/>
    <w:rsid w:val="006216A5"/>
    <w:rsid w:val="00621D82"/>
    <w:rsid w:val="006225F9"/>
    <w:rsid w:val="00626B15"/>
    <w:rsid w:val="00626DF5"/>
    <w:rsid w:val="00630608"/>
    <w:rsid w:val="00635C29"/>
    <w:rsid w:val="00637BD1"/>
    <w:rsid w:val="006408B5"/>
    <w:rsid w:val="00640A7E"/>
    <w:rsid w:val="00641810"/>
    <w:rsid w:val="00645315"/>
    <w:rsid w:val="00650A3F"/>
    <w:rsid w:val="0065135C"/>
    <w:rsid w:val="00651979"/>
    <w:rsid w:val="00652084"/>
    <w:rsid w:val="00653B3A"/>
    <w:rsid w:val="00654618"/>
    <w:rsid w:val="006559C5"/>
    <w:rsid w:val="006564F4"/>
    <w:rsid w:val="00656C58"/>
    <w:rsid w:val="00656EC6"/>
    <w:rsid w:val="00661667"/>
    <w:rsid w:val="006626CB"/>
    <w:rsid w:val="00663DAD"/>
    <w:rsid w:val="0066501F"/>
    <w:rsid w:val="00665470"/>
    <w:rsid w:val="006737DA"/>
    <w:rsid w:val="00676E01"/>
    <w:rsid w:val="00681481"/>
    <w:rsid w:val="00682C98"/>
    <w:rsid w:val="00685D7C"/>
    <w:rsid w:val="00686A22"/>
    <w:rsid w:val="00690703"/>
    <w:rsid w:val="00694B7C"/>
    <w:rsid w:val="00696B72"/>
    <w:rsid w:val="006A1950"/>
    <w:rsid w:val="006A3B57"/>
    <w:rsid w:val="006A539C"/>
    <w:rsid w:val="006A58AC"/>
    <w:rsid w:val="006B0D8C"/>
    <w:rsid w:val="006B1185"/>
    <w:rsid w:val="006B311A"/>
    <w:rsid w:val="006B5CC6"/>
    <w:rsid w:val="006B6E08"/>
    <w:rsid w:val="006B78E4"/>
    <w:rsid w:val="006C16AE"/>
    <w:rsid w:val="006C2D62"/>
    <w:rsid w:val="006C3D7B"/>
    <w:rsid w:val="006C40A4"/>
    <w:rsid w:val="006C4BDC"/>
    <w:rsid w:val="006C6D47"/>
    <w:rsid w:val="006C7754"/>
    <w:rsid w:val="006D3A04"/>
    <w:rsid w:val="006D3D14"/>
    <w:rsid w:val="006D5046"/>
    <w:rsid w:val="006D6FC2"/>
    <w:rsid w:val="006D73F9"/>
    <w:rsid w:val="006E1B49"/>
    <w:rsid w:val="006E5749"/>
    <w:rsid w:val="006E582A"/>
    <w:rsid w:val="006E6B0A"/>
    <w:rsid w:val="006E6C75"/>
    <w:rsid w:val="006E72AF"/>
    <w:rsid w:val="006F0B0C"/>
    <w:rsid w:val="006F0D10"/>
    <w:rsid w:val="006F3698"/>
    <w:rsid w:val="006F4717"/>
    <w:rsid w:val="0070053C"/>
    <w:rsid w:val="007036FA"/>
    <w:rsid w:val="00705722"/>
    <w:rsid w:val="007076AF"/>
    <w:rsid w:val="0070775C"/>
    <w:rsid w:val="00707933"/>
    <w:rsid w:val="00710D70"/>
    <w:rsid w:val="00711F22"/>
    <w:rsid w:val="00713837"/>
    <w:rsid w:val="00715D95"/>
    <w:rsid w:val="00721428"/>
    <w:rsid w:val="007218AB"/>
    <w:rsid w:val="007250E7"/>
    <w:rsid w:val="007271CB"/>
    <w:rsid w:val="00732DA2"/>
    <w:rsid w:val="007353BA"/>
    <w:rsid w:val="007364E7"/>
    <w:rsid w:val="00740C8F"/>
    <w:rsid w:val="007420E4"/>
    <w:rsid w:val="00743F51"/>
    <w:rsid w:val="00744F44"/>
    <w:rsid w:val="00745BCF"/>
    <w:rsid w:val="0074616D"/>
    <w:rsid w:val="0074680A"/>
    <w:rsid w:val="00747E1B"/>
    <w:rsid w:val="00751032"/>
    <w:rsid w:val="0075158C"/>
    <w:rsid w:val="007524E2"/>
    <w:rsid w:val="00754548"/>
    <w:rsid w:val="0075518E"/>
    <w:rsid w:val="007576D9"/>
    <w:rsid w:val="00763B35"/>
    <w:rsid w:val="00764DC6"/>
    <w:rsid w:val="00764FA8"/>
    <w:rsid w:val="00765250"/>
    <w:rsid w:val="00766C5A"/>
    <w:rsid w:val="007679E7"/>
    <w:rsid w:val="007716BA"/>
    <w:rsid w:val="00772598"/>
    <w:rsid w:val="00773336"/>
    <w:rsid w:val="007736EF"/>
    <w:rsid w:val="007759EF"/>
    <w:rsid w:val="00777CCE"/>
    <w:rsid w:val="007846BB"/>
    <w:rsid w:val="00790209"/>
    <w:rsid w:val="0079210C"/>
    <w:rsid w:val="0079615B"/>
    <w:rsid w:val="007966BD"/>
    <w:rsid w:val="00797FB3"/>
    <w:rsid w:val="007A4246"/>
    <w:rsid w:val="007A4F05"/>
    <w:rsid w:val="007A66EC"/>
    <w:rsid w:val="007A7E27"/>
    <w:rsid w:val="007B1C48"/>
    <w:rsid w:val="007B3328"/>
    <w:rsid w:val="007B3545"/>
    <w:rsid w:val="007B6938"/>
    <w:rsid w:val="007B72C0"/>
    <w:rsid w:val="007C0DC4"/>
    <w:rsid w:val="007C29EB"/>
    <w:rsid w:val="007C2BA5"/>
    <w:rsid w:val="007C33E8"/>
    <w:rsid w:val="007C3E12"/>
    <w:rsid w:val="007C66FF"/>
    <w:rsid w:val="007C68FC"/>
    <w:rsid w:val="007C6A7E"/>
    <w:rsid w:val="007C791D"/>
    <w:rsid w:val="007D35D2"/>
    <w:rsid w:val="007D37A5"/>
    <w:rsid w:val="007D3E99"/>
    <w:rsid w:val="007D4648"/>
    <w:rsid w:val="007D61A1"/>
    <w:rsid w:val="007E2144"/>
    <w:rsid w:val="007E3EB1"/>
    <w:rsid w:val="007E59F5"/>
    <w:rsid w:val="007E6D00"/>
    <w:rsid w:val="007E7C3B"/>
    <w:rsid w:val="007F0543"/>
    <w:rsid w:val="007F23E4"/>
    <w:rsid w:val="007F25B0"/>
    <w:rsid w:val="007F2F11"/>
    <w:rsid w:val="007F71FA"/>
    <w:rsid w:val="008000A0"/>
    <w:rsid w:val="00801BDE"/>
    <w:rsid w:val="00803B33"/>
    <w:rsid w:val="0080494B"/>
    <w:rsid w:val="008130B7"/>
    <w:rsid w:val="0081340D"/>
    <w:rsid w:val="00815655"/>
    <w:rsid w:val="00820358"/>
    <w:rsid w:val="0082214C"/>
    <w:rsid w:val="00823E60"/>
    <w:rsid w:val="00826980"/>
    <w:rsid w:val="00830606"/>
    <w:rsid w:val="008317E6"/>
    <w:rsid w:val="008356EA"/>
    <w:rsid w:val="00835A3A"/>
    <w:rsid w:val="0083721B"/>
    <w:rsid w:val="00843780"/>
    <w:rsid w:val="008466C8"/>
    <w:rsid w:val="008512ED"/>
    <w:rsid w:val="00854E2D"/>
    <w:rsid w:val="00855A34"/>
    <w:rsid w:val="00855F44"/>
    <w:rsid w:val="00860A57"/>
    <w:rsid w:val="008619B6"/>
    <w:rsid w:val="008646F8"/>
    <w:rsid w:val="008702D9"/>
    <w:rsid w:val="00871A2F"/>
    <w:rsid w:val="00880F92"/>
    <w:rsid w:val="00882936"/>
    <w:rsid w:val="00885FFD"/>
    <w:rsid w:val="00887AEB"/>
    <w:rsid w:val="00891CB9"/>
    <w:rsid w:val="0089390B"/>
    <w:rsid w:val="00893A38"/>
    <w:rsid w:val="00894B97"/>
    <w:rsid w:val="0089546D"/>
    <w:rsid w:val="00896120"/>
    <w:rsid w:val="008A33A7"/>
    <w:rsid w:val="008A5A93"/>
    <w:rsid w:val="008A7B82"/>
    <w:rsid w:val="008B0150"/>
    <w:rsid w:val="008B1A42"/>
    <w:rsid w:val="008B1CCF"/>
    <w:rsid w:val="008B26D9"/>
    <w:rsid w:val="008B2828"/>
    <w:rsid w:val="008B79FF"/>
    <w:rsid w:val="008C0451"/>
    <w:rsid w:val="008C3494"/>
    <w:rsid w:val="008C3E1D"/>
    <w:rsid w:val="008C43BA"/>
    <w:rsid w:val="008C5CA0"/>
    <w:rsid w:val="008D1B7E"/>
    <w:rsid w:val="008D4EA7"/>
    <w:rsid w:val="008D4FF7"/>
    <w:rsid w:val="008D52FA"/>
    <w:rsid w:val="008D5D00"/>
    <w:rsid w:val="008D764E"/>
    <w:rsid w:val="008D7BD2"/>
    <w:rsid w:val="008E020C"/>
    <w:rsid w:val="008E0D2E"/>
    <w:rsid w:val="008E2F35"/>
    <w:rsid w:val="008E5AA0"/>
    <w:rsid w:val="008F6671"/>
    <w:rsid w:val="008F679A"/>
    <w:rsid w:val="008F6D67"/>
    <w:rsid w:val="008F7D45"/>
    <w:rsid w:val="0090188A"/>
    <w:rsid w:val="00902F3B"/>
    <w:rsid w:val="0090485B"/>
    <w:rsid w:val="00907762"/>
    <w:rsid w:val="00907EDE"/>
    <w:rsid w:val="009125CD"/>
    <w:rsid w:val="0091277D"/>
    <w:rsid w:val="00912B13"/>
    <w:rsid w:val="009139AE"/>
    <w:rsid w:val="0091556E"/>
    <w:rsid w:val="0091630D"/>
    <w:rsid w:val="0091639A"/>
    <w:rsid w:val="009175C2"/>
    <w:rsid w:val="00923AF0"/>
    <w:rsid w:val="009250A0"/>
    <w:rsid w:val="00925BFE"/>
    <w:rsid w:val="00925F12"/>
    <w:rsid w:val="00927EAB"/>
    <w:rsid w:val="00930E20"/>
    <w:rsid w:val="00932247"/>
    <w:rsid w:val="0093251E"/>
    <w:rsid w:val="009326A4"/>
    <w:rsid w:val="00932CA4"/>
    <w:rsid w:val="009335D1"/>
    <w:rsid w:val="0093498F"/>
    <w:rsid w:val="00936045"/>
    <w:rsid w:val="00936110"/>
    <w:rsid w:val="009403BB"/>
    <w:rsid w:val="00940FAE"/>
    <w:rsid w:val="00941F92"/>
    <w:rsid w:val="00942A02"/>
    <w:rsid w:val="009457C3"/>
    <w:rsid w:val="00947E8B"/>
    <w:rsid w:val="009508A6"/>
    <w:rsid w:val="0095181C"/>
    <w:rsid w:val="009531E8"/>
    <w:rsid w:val="00954B6C"/>
    <w:rsid w:val="00956C0F"/>
    <w:rsid w:val="00957BDA"/>
    <w:rsid w:val="00957CDF"/>
    <w:rsid w:val="0096111C"/>
    <w:rsid w:val="009618CB"/>
    <w:rsid w:val="00961B0B"/>
    <w:rsid w:val="0096387B"/>
    <w:rsid w:val="009669F9"/>
    <w:rsid w:val="00966C4E"/>
    <w:rsid w:val="009673BA"/>
    <w:rsid w:val="0097300A"/>
    <w:rsid w:val="0097408C"/>
    <w:rsid w:val="00974A8E"/>
    <w:rsid w:val="00981C9D"/>
    <w:rsid w:val="00983DA7"/>
    <w:rsid w:val="00985D6E"/>
    <w:rsid w:val="00987E39"/>
    <w:rsid w:val="009961A1"/>
    <w:rsid w:val="0099797D"/>
    <w:rsid w:val="009A1A4C"/>
    <w:rsid w:val="009A450C"/>
    <w:rsid w:val="009A69C1"/>
    <w:rsid w:val="009A7CE0"/>
    <w:rsid w:val="009B1C84"/>
    <w:rsid w:val="009B27F5"/>
    <w:rsid w:val="009B483C"/>
    <w:rsid w:val="009B6A21"/>
    <w:rsid w:val="009C0A66"/>
    <w:rsid w:val="009C3597"/>
    <w:rsid w:val="009C7F44"/>
    <w:rsid w:val="009D0192"/>
    <w:rsid w:val="009D01A8"/>
    <w:rsid w:val="009D3BEC"/>
    <w:rsid w:val="009D3FA4"/>
    <w:rsid w:val="009D4527"/>
    <w:rsid w:val="009D6C60"/>
    <w:rsid w:val="009E7DB6"/>
    <w:rsid w:val="009F04DE"/>
    <w:rsid w:val="009F0F55"/>
    <w:rsid w:val="009F3083"/>
    <w:rsid w:val="009F333D"/>
    <w:rsid w:val="009F4D14"/>
    <w:rsid w:val="009F5C83"/>
    <w:rsid w:val="009F5E3A"/>
    <w:rsid w:val="009F6709"/>
    <w:rsid w:val="009F6BCA"/>
    <w:rsid w:val="009F7FC0"/>
    <w:rsid w:val="00A00857"/>
    <w:rsid w:val="00A050AE"/>
    <w:rsid w:val="00A06B81"/>
    <w:rsid w:val="00A072D4"/>
    <w:rsid w:val="00A10A9B"/>
    <w:rsid w:val="00A10E45"/>
    <w:rsid w:val="00A11981"/>
    <w:rsid w:val="00A12C8B"/>
    <w:rsid w:val="00A12EA8"/>
    <w:rsid w:val="00A1304E"/>
    <w:rsid w:val="00A13703"/>
    <w:rsid w:val="00A164E1"/>
    <w:rsid w:val="00A22752"/>
    <w:rsid w:val="00A2596E"/>
    <w:rsid w:val="00A32142"/>
    <w:rsid w:val="00A33E4D"/>
    <w:rsid w:val="00A35CF0"/>
    <w:rsid w:val="00A3612E"/>
    <w:rsid w:val="00A37961"/>
    <w:rsid w:val="00A416D3"/>
    <w:rsid w:val="00A42A9F"/>
    <w:rsid w:val="00A42D75"/>
    <w:rsid w:val="00A445AB"/>
    <w:rsid w:val="00A448AC"/>
    <w:rsid w:val="00A55307"/>
    <w:rsid w:val="00A56468"/>
    <w:rsid w:val="00A565E4"/>
    <w:rsid w:val="00A61FA3"/>
    <w:rsid w:val="00A6342F"/>
    <w:rsid w:val="00A64F29"/>
    <w:rsid w:val="00A65B44"/>
    <w:rsid w:val="00A74456"/>
    <w:rsid w:val="00A76ADE"/>
    <w:rsid w:val="00A777CF"/>
    <w:rsid w:val="00A778B8"/>
    <w:rsid w:val="00A8053E"/>
    <w:rsid w:val="00A8225D"/>
    <w:rsid w:val="00A83B4F"/>
    <w:rsid w:val="00A8406F"/>
    <w:rsid w:val="00A852D7"/>
    <w:rsid w:val="00A8619E"/>
    <w:rsid w:val="00A906B8"/>
    <w:rsid w:val="00A93A7E"/>
    <w:rsid w:val="00A96F09"/>
    <w:rsid w:val="00AA0D1C"/>
    <w:rsid w:val="00AA37BC"/>
    <w:rsid w:val="00AA5CB9"/>
    <w:rsid w:val="00AB1FF0"/>
    <w:rsid w:val="00AB68C9"/>
    <w:rsid w:val="00AC1363"/>
    <w:rsid w:val="00AC2065"/>
    <w:rsid w:val="00AC235C"/>
    <w:rsid w:val="00AC27F0"/>
    <w:rsid w:val="00AC2C6A"/>
    <w:rsid w:val="00AC3122"/>
    <w:rsid w:val="00AC3270"/>
    <w:rsid w:val="00AC3F0A"/>
    <w:rsid w:val="00AC47EE"/>
    <w:rsid w:val="00AC797E"/>
    <w:rsid w:val="00AC79BC"/>
    <w:rsid w:val="00AC7AEC"/>
    <w:rsid w:val="00AD234C"/>
    <w:rsid w:val="00AD4569"/>
    <w:rsid w:val="00AD5CB1"/>
    <w:rsid w:val="00AD6FB6"/>
    <w:rsid w:val="00AE20F1"/>
    <w:rsid w:val="00AE5D34"/>
    <w:rsid w:val="00AE6165"/>
    <w:rsid w:val="00AE6CC1"/>
    <w:rsid w:val="00AE7ABF"/>
    <w:rsid w:val="00AE7FEC"/>
    <w:rsid w:val="00AF209A"/>
    <w:rsid w:val="00AF5DFF"/>
    <w:rsid w:val="00AF6788"/>
    <w:rsid w:val="00B00FD0"/>
    <w:rsid w:val="00B0174B"/>
    <w:rsid w:val="00B055B8"/>
    <w:rsid w:val="00B079F8"/>
    <w:rsid w:val="00B13247"/>
    <w:rsid w:val="00B2557F"/>
    <w:rsid w:val="00B2721C"/>
    <w:rsid w:val="00B27FB9"/>
    <w:rsid w:val="00B30E69"/>
    <w:rsid w:val="00B372A2"/>
    <w:rsid w:val="00B403ED"/>
    <w:rsid w:val="00B4082F"/>
    <w:rsid w:val="00B40A2E"/>
    <w:rsid w:val="00B4198C"/>
    <w:rsid w:val="00B42106"/>
    <w:rsid w:val="00B426D6"/>
    <w:rsid w:val="00B43194"/>
    <w:rsid w:val="00B4397C"/>
    <w:rsid w:val="00B454CA"/>
    <w:rsid w:val="00B512D3"/>
    <w:rsid w:val="00B545ED"/>
    <w:rsid w:val="00B554DF"/>
    <w:rsid w:val="00B6024C"/>
    <w:rsid w:val="00B60369"/>
    <w:rsid w:val="00B60F0D"/>
    <w:rsid w:val="00B615BA"/>
    <w:rsid w:val="00B6168E"/>
    <w:rsid w:val="00B64BA8"/>
    <w:rsid w:val="00B64E0A"/>
    <w:rsid w:val="00B65155"/>
    <w:rsid w:val="00B668B6"/>
    <w:rsid w:val="00B66AEC"/>
    <w:rsid w:val="00B7187F"/>
    <w:rsid w:val="00B71CDC"/>
    <w:rsid w:val="00B71D32"/>
    <w:rsid w:val="00B72913"/>
    <w:rsid w:val="00B72B26"/>
    <w:rsid w:val="00B72E1B"/>
    <w:rsid w:val="00B73D94"/>
    <w:rsid w:val="00B75A1D"/>
    <w:rsid w:val="00B76D25"/>
    <w:rsid w:val="00B80217"/>
    <w:rsid w:val="00B8066B"/>
    <w:rsid w:val="00B80AC6"/>
    <w:rsid w:val="00B81CC5"/>
    <w:rsid w:val="00B82D04"/>
    <w:rsid w:val="00B90043"/>
    <w:rsid w:val="00B90927"/>
    <w:rsid w:val="00B9094C"/>
    <w:rsid w:val="00B91B82"/>
    <w:rsid w:val="00B92491"/>
    <w:rsid w:val="00B93D09"/>
    <w:rsid w:val="00B949F5"/>
    <w:rsid w:val="00B95456"/>
    <w:rsid w:val="00B97E0F"/>
    <w:rsid w:val="00BA32C6"/>
    <w:rsid w:val="00BA33A6"/>
    <w:rsid w:val="00BA438F"/>
    <w:rsid w:val="00BA5144"/>
    <w:rsid w:val="00BA7ADF"/>
    <w:rsid w:val="00BA7DB6"/>
    <w:rsid w:val="00BB00D2"/>
    <w:rsid w:val="00BB12FD"/>
    <w:rsid w:val="00BB5D4C"/>
    <w:rsid w:val="00BB6A28"/>
    <w:rsid w:val="00BB7482"/>
    <w:rsid w:val="00BB7DDE"/>
    <w:rsid w:val="00BC0095"/>
    <w:rsid w:val="00BC1110"/>
    <w:rsid w:val="00BC30BC"/>
    <w:rsid w:val="00BD5B88"/>
    <w:rsid w:val="00BE1052"/>
    <w:rsid w:val="00BE5156"/>
    <w:rsid w:val="00BF3873"/>
    <w:rsid w:val="00C001B6"/>
    <w:rsid w:val="00C012D6"/>
    <w:rsid w:val="00C0291D"/>
    <w:rsid w:val="00C06617"/>
    <w:rsid w:val="00C108B3"/>
    <w:rsid w:val="00C14649"/>
    <w:rsid w:val="00C156A1"/>
    <w:rsid w:val="00C15700"/>
    <w:rsid w:val="00C1634B"/>
    <w:rsid w:val="00C2036D"/>
    <w:rsid w:val="00C21FBE"/>
    <w:rsid w:val="00C22951"/>
    <w:rsid w:val="00C23D86"/>
    <w:rsid w:val="00C24D10"/>
    <w:rsid w:val="00C2672F"/>
    <w:rsid w:val="00C27BF0"/>
    <w:rsid w:val="00C32660"/>
    <w:rsid w:val="00C326FC"/>
    <w:rsid w:val="00C344D4"/>
    <w:rsid w:val="00C36BE7"/>
    <w:rsid w:val="00C439C7"/>
    <w:rsid w:val="00C46588"/>
    <w:rsid w:val="00C50FE6"/>
    <w:rsid w:val="00C568D5"/>
    <w:rsid w:val="00C600D1"/>
    <w:rsid w:val="00C62B35"/>
    <w:rsid w:val="00C653C2"/>
    <w:rsid w:val="00C67E17"/>
    <w:rsid w:val="00C724A9"/>
    <w:rsid w:val="00C750C7"/>
    <w:rsid w:val="00C76CFE"/>
    <w:rsid w:val="00C80930"/>
    <w:rsid w:val="00C810C4"/>
    <w:rsid w:val="00C82764"/>
    <w:rsid w:val="00C828F4"/>
    <w:rsid w:val="00C849AD"/>
    <w:rsid w:val="00C85278"/>
    <w:rsid w:val="00C85970"/>
    <w:rsid w:val="00C9161D"/>
    <w:rsid w:val="00C9368B"/>
    <w:rsid w:val="00C939BE"/>
    <w:rsid w:val="00C96CF2"/>
    <w:rsid w:val="00C97615"/>
    <w:rsid w:val="00CA0582"/>
    <w:rsid w:val="00CA2F2C"/>
    <w:rsid w:val="00CA3913"/>
    <w:rsid w:val="00CA72D0"/>
    <w:rsid w:val="00CB0ABA"/>
    <w:rsid w:val="00CB345C"/>
    <w:rsid w:val="00CB3A94"/>
    <w:rsid w:val="00CB602E"/>
    <w:rsid w:val="00CC1C27"/>
    <w:rsid w:val="00CC257B"/>
    <w:rsid w:val="00CC2740"/>
    <w:rsid w:val="00CC2930"/>
    <w:rsid w:val="00CC6EB8"/>
    <w:rsid w:val="00CD018F"/>
    <w:rsid w:val="00CD1598"/>
    <w:rsid w:val="00CD6B34"/>
    <w:rsid w:val="00CD6D51"/>
    <w:rsid w:val="00CD6E08"/>
    <w:rsid w:val="00CD6EB3"/>
    <w:rsid w:val="00CD7FEB"/>
    <w:rsid w:val="00CE4EA2"/>
    <w:rsid w:val="00CE5E11"/>
    <w:rsid w:val="00CF2DA0"/>
    <w:rsid w:val="00CF6808"/>
    <w:rsid w:val="00CF7D57"/>
    <w:rsid w:val="00D000CD"/>
    <w:rsid w:val="00D007A4"/>
    <w:rsid w:val="00D019FC"/>
    <w:rsid w:val="00D02FF1"/>
    <w:rsid w:val="00D03629"/>
    <w:rsid w:val="00D04FA3"/>
    <w:rsid w:val="00D071F2"/>
    <w:rsid w:val="00D1006E"/>
    <w:rsid w:val="00D1068B"/>
    <w:rsid w:val="00D12394"/>
    <w:rsid w:val="00D13E1C"/>
    <w:rsid w:val="00D15E2B"/>
    <w:rsid w:val="00D17099"/>
    <w:rsid w:val="00D20132"/>
    <w:rsid w:val="00D20E7B"/>
    <w:rsid w:val="00D212FA"/>
    <w:rsid w:val="00D21593"/>
    <w:rsid w:val="00D23961"/>
    <w:rsid w:val="00D260CA"/>
    <w:rsid w:val="00D26534"/>
    <w:rsid w:val="00D26DA7"/>
    <w:rsid w:val="00D30153"/>
    <w:rsid w:val="00D3124F"/>
    <w:rsid w:val="00D32DBE"/>
    <w:rsid w:val="00D32FC3"/>
    <w:rsid w:val="00D349EE"/>
    <w:rsid w:val="00D354D9"/>
    <w:rsid w:val="00D365D1"/>
    <w:rsid w:val="00D416BD"/>
    <w:rsid w:val="00D41F9B"/>
    <w:rsid w:val="00D42FF2"/>
    <w:rsid w:val="00D4459B"/>
    <w:rsid w:val="00D50E1A"/>
    <w:rsid w:val="00D5279C"/>
    <w:rsid w:val="00D5347F"/>
    <w:rsid w:val="00D641EC"/>
    <w:rsid w:val="00D6703B"/>
    <w:rsid w:val="00D70BE6"/>
    <w:rsid w:val="00D74759"/>
    <w:rsid w:val="00D74BDC"/>
    <w:rsid w:val="00D74E0E"/>
    <w:rsid w:val="00D77EAF"/>
    <w:rsid w:val="00D814B2"/>
    <w:rsid w:val="00D84E4C"/>
    <w:rsid w:val="00D869E3"/>
    <w:rsid w:val="00D90AE4"/>
    <w:rsid w:val="00D90CD4"/>
    <w:rsid w:val="00D91E6A"/>
    <w:rsid w:val="00D9697F"/>
    <w:rsid w:val="00D976E1"/>
    <w:rsid w:val="00D97F9B"/>
    <w:rsid w:val="00DA2D6F"/>
    <w:rsid w:val="00DA4E64"/>
    <w:rsid w:val="00DA6852"/>
    <w:rsid w:val="00DB089A"/>
    <w:rsid w:val="00DB0A83"/>
    <w:rsid w:val="00DB1646"/>
    <w:rsid w:val="00DB2919"/>
    <w:rsid w:val="00DB4228"/>
    <w:rsid w:val="00DB43FB"/>
    <w:rsid w:val="00DB4740"/>
    <w:rsid w:val="00DB50E0"/>
    <w:rsid w:val="00DB7F22"/>
    <w:rsid w:val="00DC0BDF"/>
    <w:rsid w:val="00DC0BE3"/>
    <w:rsid w:val="00DC1AE9"/>
    <w:rsid w:val="00DC4D5D"/>
    <w:rsid w:val="00DD00E6"/>
    <w:rsid w:val="00DD1412"/>
    <w:rsid w:val="00DD2E66"/>
    <w:rsid w:val="00DD42E0"/>
    <w:rsid w:val="00DD5224"/>
    <w:rsid w:val="00DD5F8B"/>
    <w:rsid w:val="00DE7BEE"/>
    <w:rsid w:val="00DF00FB"/>
    <w:rsid w:val="00DF01DB"/>
    <w:rsid w:val="00DF0D56"/>
    <w:rsid w:val="00DF4A58"/>
    <w:rsid w:val="00DF67ED"/>
    <w:rsid w:val="00DF790E"/>
    <w:rsid w:val="00E01379"/>
    <w:rsid w:val="00E01989"/>
    <w:rsid w:val="00E029C8"/>
    <w:rsid w:val="00E03C77"/>
    <w:rsid w:val="00E04587"/>
    <w:rsid w:val="00E05FA9"/>
    <w:rsid w:val="00E07897"/>
    <w:rsid w:val="00E07F06"/>
    <w:rsid w:val="00E132C0"/>
    <w:rsid w:val="00E167BF"/>
    <w:rsid w:val="00E16F59"/>
    <w:rsid w:val="00E171DF"/>
    <w:rsid w:val="00E23862"/>
    <w:rsid w:val="00E23B9B"/>
    <w:rsid w:val="00E25D54"/>
    <w:rsid w:val="00E27BE3"/>
    <w:rsid w:val="00E34AC6"/>
    <w:rsid w:val="00E34FAF"/>
    <w:rsid w:val="00E360D9"/>
    <w:rsid w:val="00E36EFD"/>
    <w:rsid w:val="00E373E6"/>
    <w:rsid w:val="00E425B5"/>
    <w:rsid w:val="00E4338F"/>
    <w:rsid w:val="00E43BE4"/>
    <w:rsid w:val="00E43D9B"/>
    <w:rsid w:val="00E44D7D"/>
    <w:rsid w:val="00E45712"/>
    <w:rsid w:val="00E525D1"/>
    <w:rsid w:val="00E54565"/>
    <w:rsid w:val="00E565C4"/>
    <w:rsid w:val="00E604E9"/>
    <w:rsid w:val="00E60DF8"/>
    <w:rsid w:val="00E63CAA"/>
    <w:rsid w:val="00E6615A"/>
    <w:rsid w:val="00E700D1"/>
    <w:rsid w:val="00E70227"/>
    <w:rsid w:val="00E718E4"/>
    <w:rsid w:val="00E728C2"/>
    <w:rsid w:val="00E737BD"/>
    <w:rsid w:val="00E74AA2"/>
    <w:rsid w:val="00E75034"/>
    <w:rsid w:val="00E76987"/>
    <w:rsid w:val="00E814AD"/>
    <w:rsid w:val="00E8293C"/>
    <w:rsid w:val="00E83E01"/>
    <w:rsid w:val="00E8480E"/>
    <w:rsid w:val="00E85C5D"/>
    <w:rsid w:val="00E86D83"/>
    <w:rsid w:val="00E87769"/>
    <w:rsid w:val="00E93912"/>
    <w:rsid w:val="00E93950"/>
    <w:rsid w:val="00E93DDC"/>
    <w:rsid w:val="00E93EB7"/>
    <w:rsid w:val="00E959EF"/>
    <w:rsid w:val="00E96F30"/>
    <w:rsid w:val="00EA24E7"/>
    <w:rsid w:val="00EA73D5"/>
    <w:rsid w:val="00EB0FF5"/>
    <w:rsid w:val="00EB392C"/>
    <w:rsid w:val="00EB62DB"/>
    <w:rsid w:val="00EC1F40"/>
    <w:rsid w:val="00EC3EB0"/>
    <w:rsid w:val="00EC748D"/>
    <w:rsid w:val="00EC7CB2"/>
    <w:rsid w:val="00ED09AD"/>
    <w:rsid w:val="00ED1A2E"/>
    <w:rsid w:val="00ED1B6C"/>
    <w:rsid w:val="00ED5A64"/>
    <w:rsid w:val="00ED7F9D"/>
    <w:rsid w:val="00EE00A6"/>
    <w:rsid w:val="00EE2674"/>
    <w:rsid w:val="00EE4656"/>
    <w:rsid w:val="00EF019F"/>
    <w:rsid w:val="00EF280B"/>
    <w:rsid w:val="00EF37C8"/>
    <w:rsid w:val="00EF5BC5"/>
    <w:rsid w:val="00EF72D1"/>
    <w:rsid w:val="00EF732D"/>
    <w:rsid w:val="00EF7716"/>
    <w:rsid w:val="00F00226"/>
    <w:rsid w:val="00F006D7"/>
    <w:rsid w:val="00F01EEA"/>
    <w:rsid w:val="00F0570C"/>
    <w:rsid w:val="00F10EBE"/>
    <w:rsid w:val="00F131F8"/>
    <w:rsid w:val="00F15F10"/>
    <w:rsid w:val="00F20F54"/>
    <w:rsid w:val="00F23420"/>
    <w:rsid w:val="00F23B7E"/>
    <w:rsid w:val="00F25A4E"/>
    <w:rsid w:val="00F25B88"/>
    <w:rsid w:val="00F27601"/>
    <w:rsid w:val="00F3044E"/>
    <w:rsid w:val="00F32078"/>
    <w:rsid w:val="00F3468F"/>
    <w:rsid w:val="00F3541F"/>
    <w:rsid w:val="00F4129B"/>
    <w:rsid w:val="00F50D83"/>
    <w:rsid w:val="00F51FE5"/>
    <w:rsid w:val="00F520A8"/>
    <w:rsid w:val="00F53782"/>
    <w:rsid w:val="00F5389F"/>
    <w:rsid w:val="00F54BC5"/>
    <w:rsid w:val="00F54F74"/>
    <w:rsid w:val="00F5771F"/>
    <w:rsid w:val="00F61C84"/>
    <w:rsid w:val="00F622D6"/>
    <w:rsid w:val="00F664AA"/>
    <w:rsid w:val="00F66E95"/>
    <w:rsid w:val="00F679D5"/>
    <w:rsid w:val="00F70AAC"/>
    <w:rsid w:val="00F70BAB"/>
    <w:rsid w:val="00F712B6"/>
    <w:rsid w:val="00F712F5"/>
    <w:rsid w:val="00F77039"/>
    <w:rsid w:val="00F8060E"/>
    <w:rsid w:val="00F81200"/>
    <w:rsid w:val="00F82E71"/>
    <w:rsid w:val="00F84607"/>
    <w:rsid w:val="00F90829"/>
    <w:rsid w:val="00F93924"/>
    <w:rsid w:val="00F958C4"/>
    <w:rsid w:val="00F97266"/>
    <w:rsid w:val="00FA2BAD"/>
    <w:rsid w:val="00FA3477"/>
    <w:rsid w:val="00FA3725"/>
    <w:rsid w:val="00FA43B2"/>
    <w:rsid w:val="00FA65EA"/>
    <w:rsid w:val="00FB6F1D"/>
    <w:rsid w:val="00FB6F48"/>
    <w:rsid w:val="00FB741F"/>
    <w:rsid w:val="00FC1765"/>
    <w:rsid w:val="00FC3264"/>
    <w:rsid w:val="00FD2067"/>
    <w:rsid w:val="00FD241F"/>
    <w:rsid w:val="00FD342B"/>
    <w:rsid w:val="00FD4DE1"/>
    <w:rsid w:val="00FD51E0"/>
    <w:rsid w:val="00FD74D6"/>
    <w:rsid w:val="00FE093A"/>
    <w:rsid w:val="00FE3B99"/>
    <w:rsid w:val="00FE3FA4"/>
    <w:rsid w:val="00FE6A62"/>
    <w:rsid w:val="00FE72AA"/>
    <w:rsid w:val="00FE7359"/>
    <w:rsid w:val="00FE7E29"/>
    <w:rsid w:val="00FE7EE6"/>
    <w:rsid w:val="00FF0C19"/>
    <w:rsid w:val="00FF1C8E"/>
    <w:rsid w:val="00FF1EB6"/>
    <w:rsid w:val="00FF3F4A"/>
    <w:rsid w:val="00FF5D11"/>
    <w:rsid w:val="00FF613A"/>
    <w:rsid w:val="00FF64FC"/>
  </w:rsids>
  <m:mathPr>
    <m:mathFont m:val="Cambria Math"/>
    <m:brkBin m:val="before"/>
    <m:brkBinSub m:val="--"/>
    <m:smallFrac/>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70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250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250E7"/>
    <w:rPr>
      <w:rFonts w:ascii="Tahoma" w:hAnsi="Tahoma" w:cs="Tahoma"/>
      <w:sz w:val="16"/>
      <w:szCs w:val="16"/>
      <w:lang w:val="es-ES"/>
    </w:rPr>
  </w:style>
  <w:style w:type="paragraph" w:styleId="Encabezado">
    <w:name w:val="header"/>
    <w:basedOn w:val="Normal"/>
    <w:link w:val="EncabezadoCar"/>
    <w:uiPriority w:val="99"/>
    <w:unhideWhenUsed/>
    <w:rsid w:val="007218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18AB"/>
    <w:rPr>
      <w:lang w:val="es-ES"/>
    </w:rPr>
  </w:style>
  <w:style w:type="paragraph" w:styleId="Piedepgina">
    <w:name w:val="footer"/>
    <w:basedOn w:val="Normal"/>
    <w:link w:val="PiedepginaCar"/>
    <w:uiPriority w:val="99"/>
    <w:unhideWhenUsed/>
    <w:rsid w:val="007218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18AB"/>
    <w:rPr>
      <w:lang w:val="es-ES"/>
    </w:rPr>
  </w:style>
  <w:style w:type="paragraph" w:styleId="Prrafodelista">
    <w:name w:val="List Paragraph"/>
    <w:basedOn w:val="Normal"/>
    <w:uiPriority w:val="34"/>
    <w:qFormat/>
    <w:rsid w:val="006D6FC2"/>
    <w:pPr>
      <w:ind w:left="720"/>
      <w:contextualSpacing/>
    </w:pPr>
  </w:style>
  <w:style w:type="character" w:styleId="Hipervnculo">
    <w:name w:val="Hyperlink"/>
    <w:basedOn w:val="Fuentedeprrafopredeter"/>
    <w:uiPriority w:val="99"/>
    <w:unhideWhenUsed/>
    <w:rsid w:val="00552395"/>
    <w:rPr>
      <w:color w:val="0000FF" w:themeColor="hyperlink"/>
      <w:u w:val="single"/>
    </w:rPr>
  </w:style>
  <w:style w:type="paragraph" w:customStyle="1" w:styleId="Default">
    <w:name w:val="Default"/>
    <w:rsid w:val="00211263"/>
    <w:pPr>
      <w:autoSpaceDE w:val="0"/>
      <w:autoSpaceDN w:val="0"/>
      <w:adjustRightInd w:val="0"/>
      <w:spacing w:after="0" w:line="240" w:lineRule="auto"/>
    </w:pPr>
    <w:rPr>
      <w:rFonts w:ascii="Franklin Gothic Book" w:hAnsi="Franklin Gothic Book" w:cs="Franklin Gothic Book"/>
      <w:color w:val="000000"/>
      <w:sz w:val="24"/>
      <w:szCs w:val="24"/>
      <w:lang w:val="es-MX"/>
    </w:rPr>
  </w:style>
  <w:style w:type="paragraph" w:styleId="NormalWeb">
    <w:name w:val="Normal (Web)"/>
    <w:basedOn w:val="Normal"/>
    <w:uiPriority w:val="99"/>
    <w:semiHidden/>
    <w:unhideWhenUsed/>
    <w:rsid w:val="005D430E"/>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70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250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250E7"/>
    <w:rPr>
      <w:rFonts w:ascii="Tahoma" w:hAnsi="Tahoma" w:cs="Tahoma"/>
      <w:sz w:val="16"/>
      <w:szCs w:val="16"/>
      <w:lang w:val="es-ES"/>
    </w:rPr>
  </w:style>
  <w:style w:type="paragraph" w:styleId="Encabezado">
    <w:name w:val="header"/>
    <w:basedOn w:val="Normal"/>
    <w:link w:val="EncabezadoCar"/>
    <w:uiPriority w:val="99"/>
    <w:unhideWhenUsed/>
    <w:rsid w:val="007218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18AB"/>
    <w:rPr>
      <w:lang w:val="es-ES"/>
    </w:rPr>
  </w:style>
  <w:style w:type="paragraph" w:styleId="Piedepgina">
    <w:name w:val="footer"/>
    <w:basedOn w:val="Normal"/>
    <w:link w:val="PiedepginaCar"/>
    <w:uiPriority w:val="99"/>
    <w:unhideWhenUsed/>
    <w:rsid w:val="007218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18AB"/>
    <w:rPr>
      <w:lang w:val="es-ES"/>
    </w:rPr>
  </w:style>
  <w:style w:type="paragraph" w:styleId="Prrafodelista">
    <w:name w:val="List Paragraph"/>
    <w:basedOn w:val="Normal"/>
    <w:uiPriority w:val="34"/>
    <w:qFormat/>
    <w:rsid w:val="006D6FC2"/>
    <w:pPr>
      <w:ind w:left="720"/>
      <w:contextualSpacing/>
    </w:pPr>
  </w:style>
  <w:style w:type="character" w:styleId="Hipervnculo">
    <w:name w:val="Hyperlink"/>
    <w:basedOn w:val="Fuentedeprrafopredeter"/>
    <w:uiPriority w:val="99"/>
    <w:unhideWhenUsed/>
    <w:rsid w:val="00552395"/>
    <w:rPr>
      <w:color w:val="0000FF" w:themeColor="hyperlink"/>
      <w:u w:val="single"/>
    </w:rPr>
  </w:style>
  <w:style w:type="paragraph" w:customStyle="1" w:styleId="Default">
    <w:name w:val="Default"/>
    <w:rsid w:val="00211263"/>
    <w:pPr>
      <w:autoSpaceDE w:val="0"/>
      <w:autoSpaceDN w:val="0"/>
      <w:adjustRightInd w:val="0"/>
      <w:spacing w:after="0" w:line="240" w:lineRule="auto"/>
    </w:pPr>
    <w:rPr>
      <w:rFonts w:ascii="Franklin Gothic Book" w:hAnsi="Franklin Gothic Book" w:cs="Franklin Gothic Book"/>
      <w:color w:val="000000"/>
      <w:sz w:val="24"/>
      <w:szCs w:val="24"/>
      <w:lang w:val="es-MX"/>
    </w:rPr>
  </w:style>
  <w:style w:type="paragraph" w:styleId="NormalWeb">
    <w:name w:val="Normal (Web)"/>
    <w:basedOn w:val="Normal"/>
    <w:uiPriority w:val="99"/>
    <w:semiHidden/>
    <w:unhideWhenUsed/>
    <w:rsid w:val="005D430E"/>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21782">
      <w:bodyDiv w:val="1"/>
      <w:marLeft w:val="0"/>
      <w:marRight w:val="0"/>
      <w:marTop w:val="0"/>
      <w:marBottom w:val="0"/>
      <w:divBdr>
        <w:top w:val="none" w:sz="0" w:space="0" w:color="auto"/>
        <w:left w:val="none" w:sz="0" w:space="0" w:color="auto"/>
        <w:bottom w:val="none" w:sz="0" w:space="0" w:color="auto"/>
        <w:right w:val="none" w:sz="0" w:space="0" w:color="auto"/>
      </w:divBdr>
    </w:div>
    <w:div w:id="100153184">
      <w:bodyDiv w:val="1"/>
      <w:marLeft w:val="0"/>
      <w:marRight w:val="0"/>
      <w:marTop w:val="0"/>
      <w:marBottom w:val="0"/>
      <w:divBdr>
        <w:top w:val="none" w:sz="0" w:space="0" w:color="auto"/>
        <w:left w:val="none" w:sz="0" w:space="0" w:color="auto"/>
        <w:bottom w:val="none" w:sz="0" w:space="0" w:color="auto"/>
        <w:right w:val="none" w:sz="0" w:space="0" w:color="auto"/>
      </w:divBdr>
    </w:div>
    <w:div w:id="440144684">
      <w:bodyDiv w:val="1"/>
      <w:marLeft w:val="0"/>
      <w:marRight w:val="0"/>
      <w:marTop w:val="0"/>
      <w:marBottom w:val="0"/>
      <w:divBdr>
        <w:top w:val="none" w:sz="0" w:space="0" w:color="auto"/>
        <w:left w:val="none" w:sz="0" w:space="0" w:color="auto"/>
        <w:bottom w:val="none" w:sz="0" w:space="0" w:color="auto"/>
        <w:right w:val="none" w:sz="0" w:space="0" w:color="auto"/>
      </w:divBdr>
    </w:div>
    <w:div w:id="660810901">
      <w:bodyDiv w:val="1"/>
      <w:marLeft w:val="0"/>
      <w:marRight w:val="0"/>
      <w:marTop w:val="0"/>
      <w:marBottom w:val="0"/>
      <w:divBdr>
        <w:top w:val="none" w:sz="0" w:space="0" w:color="auto"/>
        <w:left w:val="none" w:sz="0" w:space="0" w:color="auto"/>
        <w:bottom w:val="none" w:sz="0" w:space="0" w:color="auto"/>
        <w:right w:val="none" w:sz="0" w:space="0" w:color="auto"/>
      </w:divBdr>
      <w:divsChild>
        <w:div w:id="1303198048">
          <w:marLeft w:val="0"/>
          <w:marRight w:val="0"/>
          <w:marTop w:val="0"/>
          <w:marBottom w:val="0"/>
          <w:divBdr>
            <w:top w:val="none" w:sz="0" w:space="0" w:color="auto"/>
            <w:left w:val="none" w:sz="0" w:space="0" w:color="auto"/>
            <w:bottom w:val="none" w:sz="0" w:space="0" w:color="auto"/>
            <w:right w:val="none" w:sz="0" w:space="0" w:color="auto"/>
          </w:divBdr>
          <w:divsChild>
            <w:div w:id="1756592936">
              <w:marLeft w:val="0"/>
              <w:marRight w:val="0"/>
              <w:marTop w:val="0"/>
              <w:marBottom w:val="0"/>
              <w:divBdr>
                <w:top w:val="none" w:sz="0" w:space="0" w:color="auto"/>
                <w:left w:val="none" w:sz="0" w:space="0" w:color="auto"/>
                <w:bottom w:val="none" w:sz="0" w:space="0" w:color="auto"/>
                <w:right w:val="none" w:sz="0" w:space="0" w:color="auto"/>
              </w:divBdr>
              <w:divsChild>
                <w:div w:id="1840269358">
                  <w:marLeft w:val="0"/>
                  <w:marRight w:val="0"/>
                  <w:marTop w:val="0"/>
                  <w:marBottom w:val="0"/>
                  <w:divBdr>
                    <w:top w:val="none" w:sz="0" w:space="0" w:color="auto"/>
                    <w:left w:val="none" w:sz="0" w:space="0" w:color="auto"/>
                    <w:bottom w:val="none" w:sz="0" w:space="0" w:color="auto"/>
                    <w:right w:val="none" w:sz="0" w:space="0" w:color="auto"/>
                  </w:divBdr>
                </w:div>
                <w:div w:id="840240195">
                  <w:marLeft w:val="0"/>
                  <w:marRight w:val="0"/>
                  <w:marTop w:val="0"/>
                  <w:marBottom w:val="0"/>
                  <w:divBdr>
                    <w:top w:val="none" w:sz="0" w:space="0" w:color="auto"/>
                    <w:left w:val="none" w:sz="0" w:space="0" w:color="auto"/>
                    <w:bottom w:val="none" w:sz="0" w:space="0" w:color="auto"/>
                    <w:right w:val="none" w:sz="0" w:space="0" w:color="auto"/>
                  </w:divBdr>
                </w:div>
                <w:div w:id="1702512797">
                  <w:marLeft w:val="0"/>
                  <w:marRight w:val="0"/>
                  <w:marTop w:val="0"/>
                  <w:marBottom w:val="0"/>
                  <w:divBdr>
                    <w:top w:val="none" w:sz="0" w:space="0" w:color="auto"/>
                    <w:left w:val="none" w:sz="0" w:space="0" w:color="auto"/>
                    <w:bottom w:val="none" w:sz="0" w:space="0" w:color="auto"/>
                    <w:right w:val="none" w:sz="0" w:space="0" w:color="auto"/>
                  </w:divBdr>
                </w:div>
                <w:div w:id="1387683949">
                  <w:marLeft w:val="0"/>
                  <w:marRight w:val="0"/>
                  <w:marTop w:val="0"/>
                  <w:marBottom w:val="0"/>
                  <w:divBdr>
                    <w:top w:val="none" w:sz="0" w:space="0" w:color="auto"/>
                    <w:left w:val="none" w:sz="0" w:space="0" w:color="auto"/>
                    <w:bottom w:val="none" w:sz="0" w:space="0" w:color="auto"/>
                    <w:right w:val="none" w:sz="0" w:space="0" w:color="auto"/>
                  </w:divBdr>
                </w:div>
                <w:div w:id="1333140587">
                  <w:marLeft w:val="0"/>
                  <w:marRight w:val="0"/>
                  <w:marTop w:val="0"/>
                  <w:marBottom w:val="0"/>
                  <w:divBdr>
                    <w:top w:val="none" w:sz="0" w:space="0" w:color="auto"/>
                    <w:left w:val="none" w:sz="0" w:space="0" w:color="auto"/>
                    <w:bottom w:val="none" w:sz="0" w:space="0" w:color="auto"/>
                    <w:right w:val="none" w:sz="0" w:space="0" w:color="auto"/>
                  </w:divBdr>
                </w:div>
                <w:div w:id="953563286">
                  <w:marLeft w:val="0"/>
                  <w:marRight w:val="0"/>
                  <w:marTop w:val="0"/>
                  <w:marBottom w:val="0"/>
                  <w:divBdr>
                    <w:top w:val="none" w:sz="0" w:space="0" w:color="auto"/>
                    <w:left w:val="none" w:sz="0" w:space="0" w:color="auto"/>
                    <w:bottom w:val="none" w:sz="0" w:space="0" w:color="auto"/>
                    <w:right w:val="none" w:sz="0" w:space="0" w:color="auto"/>
                  </w:divBdr>
                </w:div>
                <w:div w:id="1943950831">
                  <w:marLeft w:val="0"/>
                  <w:marRight w:val="0"/>
                  <w:marTop w:val="0"/>
                  <w:marBottom w:val="0"/>
                  <w:divBdr>
                    <w:top w:val="none" w:sz="0" w:space="0" w:color="auto"/>
                    <w:left w:val="none" w:sz="0" w:space="0" w:color="auto"/>
                    <w:bottom w:val="none" w:sz="0" w:space="0" w:color="auto"/>
                    <w:right w:val="none" w:sz="0" w:space="0" w:color="auto"/>
                  </w:divBdr>
                </w:div>
                <w:div w:id="1354920059">
                  <w:marLeft w:val="0"/>
                  <w:marRight w:val="0"/>
                  <w:marTop w:val="0"/>
                  <w:marBottom w:val="0"/>
                  <w:divBdr>
                    <w:top w:val="none" w:sz="0" w:space="0" w:color="auto"/>
                    <w:left w:val="none" w:sz="0" w:space="0" w:color="auto"/>
                    <w:bottom w:val="none" w:sz="0" w:space="0" w:color="auto"/>
                    <w:right w:val="none" w:sz="0" w:space="0" w:color="auto"/>
                  </w:divBdr>
                </w:div>
                <w:div w:id="10851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77382">
      <w:bodyDiv w:val="1"/>
      <w:marLeft w:val="0"/>
      <w:marRight w:val="0"/>
      <w:marTop w:val="0"/>
      <w:marBottom w:val="0"/>
      <w:divBdr>
        <w:top w:val="none" w:sz="0" w:space="0" w:color="auto"/>
        <w:left w:val="none" w:sz="0" w:space="0" w:color="auto"/>
        <w:bottom w:val="none" w:sz="0" w:space="0" w:color="auto"/>
        <w:right w:val="none" w:sz="0" w:space="0" w:color="auto"/>
      </w:divBdr>
    </w:div>
    <w:div w:id="1014262416">
      <w:bodyDiv w:val="1"/>
      <w:marLeft w:val="0"/>
      <w:marRight w:val="0"/>
      <w:marTop w:val="0"/>
      <w:marBottom w:val="0"/>
      <w:divBdr>
        <w:top w:val="none" w:sz="0" w:space="0" w:color="auto"/>
        <w:left w:val="none" w:sz="0" w:space="0" w:color="auto"/>
        <w:bottom w:val="none" w:sz="0" w:space="0" w:color="auto"/>
        <w:right w:val="none" w:sz="0" w:space="0" w:color="auto"/>
      </w:divBdr>
    </w:div>
    <w:div w:id="1472752374">
      <w:bodyDiv w:val="1"/>
      <w:marLeft w:val="0"/>
      <w:marRight w:val="0"/>
      <w:marTop w:val="0"/>
      <w:marBottom w:val="0"/>
      <w:divBdr>
        <w:top w:val="none" w:sz="0" w:space="0" w:color="auto"/>
        <w:left w:val="none" w:sz="0" w:space="0" w:color="auto"/>
        <w:bottom w:val="none" w:sz="0" w:space="0" w:color="auto"/>
        <w:right w:val="none" w:sz="0" w:space="0" w:color="auto"/>
      </w:divBdr>
    </w:div>
    <w:div w:id="1753550241">
      <w:bodyDiv w:val="1"/>
      <w:marLeft w:val="0"/>
      <w:marRight w:val="0"/>
      <w:marTop w:val="0"/>
      <w:marBottom w:val="0"/>
      <w:divBdr>
        <w:top w:val="none" w:sz="0" w:space="0" w:color="auto"/>
        <w:left w:val="none" w:sz="0" w:space="0" w:color="auto"/>
        <w:bottom w:val="none" w:sz="0" w:space="0" w:color="auto"/>
        <w:right w:val="none" w:sz="0" w:space="0" w:color="auto"/>
      </w:divBdr>
    </w:div>
    <w:div w:id="1819954764">
      <w:bodyDiv w:val="1"/>
      <w:marLeft w:val="0"/>
      <w:marRight w:val="0"/>
      <w:marTop w:val="0"/>
      <w:marBottom w:val="0"/>
      <w:divBdr>
        <w:top w:val="none" w:sz="0" w:space="0" w:color="auto"/>
        <w:left w:val="none" w:sz="0" w:space="0" w:color="auto"/>
        <w:bottom w:val="none" w:sz="0" w:space="0" w:color="auto"/>
        <w:right w:val="none" w:sz="0" w:space="0" w:color="auto"/>
      </w:divBdr>
    </w:div>
    <w:div w:id="214646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Pages>
  <Words>1396</Words>
  <Characters>7683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dc:creator>
  <cp:lastModifiedBy>Luis</cp:lastModifiedBy>
  <cp:revision>106</cp:revision>
  <dcterms:created xsi:type="dcterms:W3CDTF">2017-01-28T15:44:00Z</dcterms:created>
  <dcterms:modified xsi:type="dcterms:W3CDTF">2017-04-02T17:32:00Z</dcterms:modified>
</cp:coreProperties>
</file>