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FORM 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161616"/>
          <w:rtl w:val="0"/>
        </w:rPr>
        <w:t xml:space="preserve">MAJOR PART 2 Vocabulary and Sentence Structure Evidence-Based Practices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best practices to model the lesson after.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0"/>
        <w:tblGridChange w:id="0">
          <w:tblGrid>
            <w:gridCol w:w="10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Evidence-Based Practice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children retrieve and use words from a unit theme within sentences related to the writing topic.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Encourage children to play with words by making connections, grouping them into categories, and exploring how they relate to the writing topic or unit theme.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 children connecting or “mortar” words like "because" for cause and effect and "also" to add ideas, helping them organize and link their thoughts clearly in writing.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Explicitly and systematically focus on one language structure at a time—like subject-verb clauses or prepositional phrases–to build sentence awareness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 children’s sentence development by having them build, rearrange, combine, and expand sentences related to the writing topic or unit theme.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