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Trader Performance vs Market Sentiment Analysis</w:t>
      </w:r>
    </w:p>
    <w:p>
      <w:r>
        <w:t>This analysis focuses on actionable insights rather than descriptive statistics.</w:t>
      </w:r>
    </w:p>
    <w:p>
      <w:pPr>
        <w:pStyle w:val="Heading1"/>
      </w:pPr>
      <w:r>
        <w:t>1. Methodology</w:t>
      </w:r>
    </w:p>
    <w:p>
      <w:r>
        <w:t>We analyzed the relationship between market sentiment (Fear/Greed index) and trader behavior using two datasets:</w:t>
        <w:br/>
        <w:t>- Bitcoin Fear &amp; Greed Index</w:t>
        <w:br/>
        <w:t>- Hyperliquid trader transaction data</w:t>
        <w:br/>
        <w:br/>
        <w:t>Steps performed:</w:t>
        <w:br/>
        <w:t>- Data cleaning and preprocessing (handling mixed date formats, duplicates)</w:t>
        <w:br/>
        <w:t>- Daily aggregation of trading metrics</w:t>
        <w:br/>
        <w:t>- Feature engineering (PnL, win rate, trade size, frequency)</w:t>
        <w:br/>
        <w:t>- Sentiment alignment and merging</w:t>
        <w:br/>
        <w:t>- Segmentation analysis (trade size, trader frequency)</w:t>
      </w:r>
    </w:p>
    <w:p>
      <w:pPr>
        <w:pStyle w:val="Heading1"/>
      </w:pPr>
      <w:r>
        <w:t>2. Key Visualizations</w:t>
      </w:r>
    </w:p>
    <w:p>
      <w:r>
        <w:t>PnL Distribution across Sentiment:</w:t>
      </w:r>
    </w:p>
    <w:p>
      <w:r>
        <w:drawing>
          <wp:inline xmlns:a="http://schemas.openxmlformats.org/drawingml/2006/main" xmlns:pic="http://schemas.openxmlformats.org/drawingml/2006/picture">
            <wp:extent cx="4572000" cy="3342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01 1216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42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Win Rate Comparison:</w:t>
      </w:r>
    </w:p>
    <w:p>
      <w:r>
        <w:drawing>
          <wp:inline xmlns:a="http://schemas.openxmlformats.org/drawingml/2006/main" xmlns:pic="http://schemas.openxmlformats.org/drawingml/2006/picture">
            <wp:extent cx="4572000" cy="28684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01 1216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8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Trade Size by Sentiment:</w:t>
      </w:r>
    </w:p>
    <w:p>
      <w:r>
        <w:drawing>
          <wp:inline xmlns:a="http://schemas.openxmlformats.org/drawingml/2006/main" xmlns:pic="http://schemas.openxmlformats.org/drawingml/2006/picture">
            <wp:extent cx="4572000" cy="24050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01 1216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5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Key Insights</w:t>
      </w:r>
    </w:p>
    <w:p>
      <w:r>
        <w:t>1. Traders perform significantly better during Fear periods (~33,866) compared to Greed (~9,099).</w:t>
        <w:br/>
        <w:t>2. Lower trade sizes outperform higher trade sizes, indicating better risk-adjusted returns.</w:t>
        <w:br/>
        <w:t>3. Frequent traders (~35,270) significantly outperform infrequent traders (~1,331).</w:t>
        <w:br/>
        <w:t>4. Market sentiment influences behavior:</w:t>
        <w:br/>
        <w:t xml:space="preserve">   - Fear → cautious but profitable</w:t>
        <w:br/>
        <w:t xml:space="preserve">   - Greed → aggressive but volatile</w:t>
      </w:r>
    </w:p>
    <w:p>
      <w:pPr>
        <w:pStyle w:val="Heading1"/>
      </w:pPr>
      <w:r>
        <w:t>4. Strategy Recommendations</w:t>
      </w:r>
    </w:p>
    <w:p>
      <w:r>
        <w:t>- Reduce position size during Extreme Greed</w:t>
        <w:br/>
        <w:t>- Increase trading activity during Fear markets</w:t>
        <w:br/>
        <w:t>- Avoid large aggressive trades</w:t>
        <w:br/>
        <w:t>- Focus on consistent execution over high-risk bets</w:t>
      </w:r>
    </w:p>
    <w:p>
      <w:pPr>
        <w:pStyle w:val="Heading1"/>
      </w:pPr>
      <w:r>
        <w:t>5. Conclusion</w:t>
      </w:r>
    </w:p>
    <w:p>
      <w:r>
        <w:t>Market sentiment plays a critical role in trader performance. Contrary to common belief, Fear markets provide better profitability, while Greed introduces instability. Adaptive, disciplined, and active traders achieve the best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