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59" w:lineRule="auto"/>
        <w:ind w:left="10"/>
        <w:jc w:val="center"/>
        <w:rPr>
          <w:rFonts w:ascii="Calibri" w:cs="Calibri" w:eastAsia="Calibri" w:hAnsi="Calibri"/>
          <w:sz w:val="21"/>
          <w:szCs w:val="21"/>
        </w:rPr>
      </w:pPr>
      <w:r w:rsidDel="00000000" w:rsidR="00000000" w:rsidRPr="00000000">
        <w:rPr>
          <w:rFonts w:ascii="Calibri" w:cs="Calibri" w:eastAsia="Calibri" w:hAnsi="Calibri"/>
          <w:b w:val="1"/>
          <w:bCs w:val="1"/>
          <w:sz w:val="30"/>
          <w:szCs w:val="30"/>
          <w:rtl w:val="0"/>
        </w:rPr>
        <w:t xml:space="preserve">Algorithmic Addiction in Social Recommender Systems:</w:t>
      </w:r>
      <w:r w:rsidDel="00000000" w:rsidR="00000000" w:rsidRPr="00000000">
        <w:rPr>
          <w:rtl w:val="0"/>
        </w:rPr>
      </w:r>
    </w:p>
    <w:p w:rsidR="00000000" w:rsidDel="00000000" w:rsidP="00000000" w:rsidRDefault="00000000" w:rsidRPr="00000000" w14:paraId="00000002">
      <w:pPr>
        <w:spacing w:after="898" w:line="259" w:lineRule="auto"/>
        <w:ind w:left="10"/>
        <w:jc w:val="center"/>
        <w:rPr>
          <w:rFonts w:ascii="Calibri" w:cs="Calibri" w:eastAsia="Calibri" w:hAnsi="Calibri"/>
          <w:sz w:val="21"/>
          <w:szCs w:val="21"/>
        </w:rPr>
      </w:pPr>
      <w:r w:rsidDel="00000000" w:rsidR="00000000" w:rsidRPr="00000000">
        <w:rPr>
          <w:rFonts w:ascii="Calibri" w:cs="Calibri" w:eastAsia="Calibri" w:hAnsi="Calibri"/>
          <w:b w:val="1"/>
          <w:bCs w:val="1"/>
          <w:sz w:val="30"/>
          <w:szCs w:val="30"/>
          <w:rtl w:val="0"/>
        </w:rPr>
        <w:t xml:space="preserve">Development of an Ethical AI Audit and Pro-Social Pivot Strategy under the EU Digital Fairness Act</w:t>
      </w:r>
      <w:r w:rsidDel="00000000" w:rsidR="00000000" w:rsidRPr="00000000">
        <w:rPr>
          <w:rtl w:val="0"/>
        </w:rPr>
      </w:r>
    </w:p>
    <w:p w:rsidR="00000000" w:rsidDel="00000000" w:rsidP="00000000" w:rsidRDefault="00000000" w:rsidRPr="00000000" w14:paraId="00000003">
      <w:pPr>
        <w:spacing w:after="110" w:line="323"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numPr>
          <w:ilvl w:val="0"/>
          <w:numId w:val="1"/>
        </w:numPr>
        <w:spacing w:after="318" w:line="259" w:lineRule="auto"/>
        <w:ind w:left="456" w:hanging="471"/>
        <w:jc w:val="left"/>
        <w:rPr>
          <w:rFonts w:ascii="Calibri" w:cs="Calibri" w:eastAsia="Calibri" w:hAnsi="Calibri"/>
          <w:b w:val="1"/>
          <w:bCs w:val="1"/>
          <w:sz w:val="30"/>
          <w:szCs w:val="30"/>
        </w:rPr>
      </w:pPr>
      <w:bookmarkStart w:colFirst="0" w:colLast="0" w:name="_pbtyeyllivxh" w:id="0"/>
      <w:bookmarkEnd w:id="0"/>
      <w:r w:rsidDel="00000000" w:rsidR="00000000" w:rsidRPr="00000000">
        <w:rPr>
          <w:rFonts w:ascii="Calibri" w:cs="Calibri" w:eastAsia="Calibri" w:hAnsi="Calibri"/>
          <w:sz w:val="30"/>
          <w:szCs w:val="30"/>
          <w:rtl w:val="0"/>
        </w:rPr>
        <w:t xml:space="preserve">Problem Description and Regulatory Environment</w:t>
      </w:r>
    </w:p>
    <w:p w:rsidR="00000000" w:rsidDel="00000000" w:rsidP="00000000" w:rsidRDefault="00000000" w:rsidRPr="00000000" w14:paraId="00000005">
      <w:pPr>
        <w:pStyle w:val="Heading2"/>
        <w:numPr>
          <w:ilvl w:val="1"/>
          <w:numId w:val="1"/>
        </w:numPr>
        <w:spacing w:after="106" w:line="259" w:lineRule="auto"/>
        <w:ind w:left="618" w:hanging="633"/>
        <w:jc w:val="left"/>
        <w:rPr>
          <w:rFonts w:ascii="Calibri" w:cs="Calibri" w:eastAsia="Calibri" w:hAnsi="Calibri"/>
          <w:b w:val="1"/>
          <w:bCs w:val="1"/>
          <w:sz w:val="27"/>
          <w:szCs w:val="27"/>
        </w:rPr>
      </w:pPr>
      <w:bookmarkStart w:colFirst="0" w:colLast="0" w:name="_z6pq5qjty3us" w:id="1"/>
      <w:bookmarkEnd w:id="1"/>
      <w:r w:rsidDel="00000000" w:rsidR="00000000" w:rsidRPr="00000000">
        <w:rPr>
          <w:rFonts w:ascii="Calibri" w:cs="Calibri" w:eastAsia="Calibri" w:hAnsi="Calibri"/>
          <w:sz w:val="27"/>
          <w:szCs w:val="27"/>
          <w:rtl w:val="0"/>
        </w:rPr>
        <w:t xml:space="preserve">Motivation and Practical Relevance</w:t>
      </w:r>
    </w:p>
    <w:p w:rsidR="00000000" w:rsidDel="00000000" w:rsidP="00000000" w:rsidRDefault="00000000" w:rsidRPr="00000000" w14:paraId="00000006">
      <w:pPr>
        <w:spacing w:after="110" w:line="323" w:lineRule="auto"/>
        <w:ind w:left="-5" w:right="447" w:hanging="1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Dark-pattern research has documented the anatomy of manipulative design in striking detail. Subscription flows are engineered to make cancelling harder than signing up. Illusory-urgency countdowns and misleading brand associations are built into standard UI templates (Sanikidze, </w:t>
      </w:r>
      <w:r w:rsidDel="00000000" w:rsidR="00000000" w:rsidRPr="00000000">
        <w:rPr>
          <w:rFonts w:ascii="Calibri" w:cs="Calibri" w:eastAsia="Calibri" w:hAnsi="Calibri"/>
          <w:color w:val="0000ff"/>
          <w:sz w:val="21"/>
          <w:szCs w:val="21"/>
          <w:rtl w:val="0"/>
        </w:rPr>
        <w:t xml:space="preserve">2026</w:t>
      </w:r>
      <w:r w:rsidDel="00000000" w:rsidR="00000000" w:rsidRPr="00000000">
        <w:rPr>
          <w:rFonts w:ascii="Calibri" w:cs="Calibri" w:eastAsia="Calibri" w:hAnsi="Calibri"/>
          <w:sz w:val="21"/>
          <w:szCs w:val="21"/>
          <w:rtl w:val="0"/>
        </w:rPr>
        <w:t xml:space="preserve">, p. 390). This is deliberate design: behavioural evidence confirms that a "only two left" message shifts a neutral non-purchase into a perceived loss (Bansal, </w:t>
      </w:r>
      <w:r w:rsidDel="00000000" w:rsidR="00000000" w:rsidRPr="00000000">
        <w:rPr>
          <w:rFonts w:ascii="Calibri" w:cs="Calibri" w:eastAsia="Calibri" w:hAnsi="Calibri"/>
          <w:color w:val="0000ff"/>
          <w:sz w:val="21"/>
          <w:szCs w:val="21"/>
          <w:rtl w:val="0"/>
        </w:rPr>
        <w:t xml:space="preserve">2026</w:t>
      </w:r>
      <w:r w:rsidDel="00000000" w:rsidR="00000000" w:rsidRPr="00000000">
        <w:rPr>
          <w:rFonts w:ascii="Calibri" w:cs="Calibri" w:eastAsia="Calibri" w:hAnsi="Calibri"/>
          <w:sz w:val="21"/>
          <w:szCs w:val="21"/>
          <w:rtl w:val="0"/>
        </w:rPr>
        <w:t xml:space="preserve">, p. 135), because scarcity cues activate loss-framing over deliberation. As AI-driven personalisation scales these techniques, the exploitation of predictable cognitive vulnerabilities becomes systematic, making a targeted audit methodology practically necessary.</w:t>
      </w:r>
    </w:p>
    <w:p w:rsidR="00000000" w:rsidDel="00000000" w:rsidP="00000000" w:rsidRDefault="00000000" w:rsidRPr="00000000" w14:paraId="00000007">
      <w:pPr>
        <w:spacing w:after="110" w:line="323" w:lineRule="auto"/>
        <w:ind w:left="-5" w:right="447" w:hanging="1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European legislation is already taking steps to stop this trend. The DSA needs to be massively scaled with respect to the identification of systemic risks to civic discourse and non-profiled recommendations (T et al., </w:t>
      </w:r>
      <w:r w:rsidDel="00000000" w:rsidR="00000000" w:rsidRPr="00000000">
        <w:rPr>
          <w:rFonts w:ascii="Calibri" w:cs="Calibri" w:eastAsia="Calibri" w:hAnsi="Calibri"/>
          <w:color w:val="0000ff"/>
          <w:sz w:val="21"/>
          <w:szCs w:val="21"/>
          <w:rtl w:val="0"/>
        </w:rPr>
        <w:t xml:space="preserve">2026</w:t>
      </w:r>
      <w:r w:rsidDel="00000000" w:rsidR="00000000" w:rsidRPr="00000000">
        <w:rPr>
          <w:rFonts w:ascii="Calibri" w:cs="Calibri" w:eastAsia="Calibri" w:hAnsi="Calibri"/>
          <w:sz w:val="21"/>
          <w:szCs w:val="21"/>
          <w:rtl w:val="0"/>
        </w:rPr>
        <w:t xml:space="preserve">, p. 12; Chukhray &amp; Koval, </w:t>
      </w:r>
      <w:r w:rsidDel="00000000" w:rsidR="00000000" w:rsidRPr="00000000">
        <w:rPr>
          <w:rFonts w:ascii="Calibri" w:cs="Calibri" w:eastAsia="Calibri" w:hAnsi="Calibri"/>
          <w:color w:val="0000ff"/>
          <w:sz w:val="21"/>
          <w:szCs w:val="21"/>
          <w:rtl w:val="0"/>
        </w:rPr>
        <w:t xml:space="preserve">2026</w:t>
      </w:r>
      <w:r w:rsidDel="00000000" w:rsidR="00000000" w:rsidRPr="00000000">
        <w:rPr>
          <w:rFonts w:ascii="Calibri" w:cs="Calibri" w:eastAsia="Calibri" w:hAnsi="Calibri"/>
          <w:sz w:val="21"/>
          <w:szCs w:val="21"/>
          <w:rtl w:val="0"/>
        </w:rPr>
        <w:t xml:space="preserve">, p. 2). The AI Act takes a more stringent step, excluding subliminal manipulation and manipulative effects from the “unacceptable risk” tier (T et al., </w:t>
      </w:r>
      <w:r w:rsidDel="00000000" w:rsidR="00000000" w:rsidRPr="00000000">
        <w:rPr>
          <w:rFonts w:ascii="Calibri" w:cs="Calibri" w:eastAsia="Calibri" w:hAnsi="Calibri"/>
          <w:color w:val="0000ff"/>
          <w:sz w:val="21"/>
          <w:szCs w:val="21"/>
          <w:rtl w:val="0"/>
        </w:rPr>
        <w:t xml:space="preserve">2026</w:t>
      </w:r>
      <w:r w:rsidDel="00000000" w:rsidR="00000000" w:rsidRPr="00000000">
        <w:rPr>
          <w:rFonts w:ascii="Calibri" w:cs="Calibri" w:eastAsia="Calibri" w:hAnsi="Calibri"/>
          <w:sz w:val="21"/>
          <w:szCs w:val="21"/>
          <w:rtl w:val="0"/>
        </w:rPr>
        <w:t xml:space="preserve">, p. 12; Sanikidze, </w:t>
      </w:r>
      <w:r w:rsidDel="00000000" w:rsidR="00000000" w:rsidRPr="00000000">
        <w:rPr>
          <w:rFonts w:ascii="Calibri" w:cs="Calibri" w:eastAsia="Calibri" w:hAnsi="Calibri"/>
          <w:color w:val="0000ff"/>
          <w:sz w:val="21"/>
          <w:szCs w:val="21"/>
          <w:rtl w:val="0"/>
        </w:rPr>
        <w:t xml:space="preserve">2026</w:t>
      </w:r>
      <w:r w:rsidDel="00000000" w:rsidR="00000000" w:rsidRPr="00000000">
        <w:rPr>
          <w:rFonts w:ascii="Calibri" w:cs="Calibri" w:eastAsia="Calibri" w:hAnsi="Calibri"/>
          <w:sz w:val="21"/>
          <w:szCs w:val="21"/>
          <w:rtl w:val="0"/>
        </w:rPr>
        <w:t xml:space="preserve">, p. 390). An appropriate Digital Fairness Act would intertwine the DSA and consumer protection into a problem space on addictive design and unfair personalisation.</w:t>
      </w:r>
    </w:p>
    <w:p w:rsidR="00000000" w:rsidDel="00000000" w:rsidP="00000000" w:rsidRDefault="00000000" w:rsidRPr="00000000" w14:paraId="00000008">
      <w:pPr>
        <w:spacing w:after="110" w:line="323" w:lineRule="auto"/>
        <w:ind w:left="-5" w:right="447" w:hanging="1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same argument has been made for proposals on global AI-governance. According to Kostenko's "AI Law Model", systems must not violate humans' dignity, autonomy and psycho-emotional comfort, restricting manipulation of behaviour or digital addictions (Kostenko, </w:t>
      </w:r>
      <w:r w:rsidDel="00000000" w:rsidR="00000000" w:rsidRPr="00000000">
        <w:rPr>
          <w:rFonts w:ascii="Calibri" w:cs="Calibri" w:eastAsia="Calibri" w:hAnsi="Calibri"/>
          <w:color w:val="0000ff"/>
          <w:sz w:val="21"/>
          <w:szCs w:val="21"/>
          <w:rtl w:val="0"/>
        </w:rPr>
        <w:t xml:space="preserve">2025</w:t>
      </w:r>
      <w:r w:rsidDel="00000000" w:rsidR="00000000" w:rsidRPr="00000000">
        <w:rPr>
          <w:rFonts w:ascii="Calibri" w:cs="Calibri" w:eastAsia="Calibri" w:hAnsi="Calibri"/>
          <w:sz w:val="21"/>
          <w:szCs w:val="21"/>
          <w:rtl w:val="0"/>
        </w:rPr>
        <w:t xml:space="preserve">, pp. 61–62). The fairness principle prohibits unfair systems that are based on biased information, and certification, limitation of rights powers and public value-based reports are required for high-risk fields (Kostenko, </w:t>
      </w:r>
      <w:r w:rsidDel="00000000" w:rsidR="00000000" w:rsidRPr="00000000">
        <w:rPr>
          <w:rFonts w:ascii="Calibri" w:cs="Calibri" w:eastAsia="Calibri" w:hAnsi="Calibri"/>
          <w:color w:val="0000ff"/>
          <w:sz w:val="21"/>
          <w:szCs w:val="21"/>
          <w:rtl w:val="0"/>
        </w:rPr>
        <w:t xml:space="preserve">2025</w:t>
      </w:r>
      <w:r w:rsidDel="00000000" w:rsidR="00000000" w:rsidRPr="00000000">
        <w:rPr>
          <w:rFonts w:ascii="Calibri" w:cs="Calibri" w:eastAsia="Calibri" w:hAnsi="Calibri"/>
          <w:sz w:val="21"/>
          <w:szCs w:val="21"/>
          <w:rtl w:val="0"/>
        </w:rPr>
        <w:t xml:space="preserve">, pp. 73–74).</w:t>
      </w:r>
    </w:p>
    <w:p w:rsidR="00000000" w:rsidDel="00000000" w:rsidP="00000000" w:rsidRDefault="00000000" w:rsidRPr="00000000" w14:paraId="00000009">
      <w:pPr>
        <w:spacing w:after="333" w:line="323" w:lineRule="auto"/>
        <w:ind w:left="-5" w:right="447" w:hanging="1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need is felt even more acutely by digital-literacy gaps. There is evidence in the survey that shows that self-assessed basic skills are high, but there are challenges evidenced in the survey in recognising hidden content and advanced manipulation in both the GDPR/DSA/AI Act (Chukhray &amp; Koval, </w:t>
      </w:r>
      <w:r w:rsidDel="00000000" w:rsidR="00000000" w:rsidRPr="00000000">
        <w:rPr>
          <w:rFonts w:ascii="Calibri" w:cs="Calibri" w:eastAsia="Calibri" w:hAnsi="Calibri"/>
          <w:color w:val="0000ff"/>
          <w:sz w:val="21"/>
          <w:szCs w:val="21"/>
          <w:rtl w:val="0"/>
        </w:rPr>
        <w:t xml:space="preserve">2026</w:t>
      </w:r>
      <w:r w:rsidDel="00000000" w:rsidR="00000000" w:rsidRPr="00000000">
        <w:rPr>
          <w:rFonts w:ascii="Calibri" w:cs="Calibri" w:eastAsia="Calibri" w:hAnsi="Calibri"/>
          <w:sz w:val="21"/>
          <w:szCs w:val="21"/>
          <w:rtl w:val="0"/>
        </w:rPr>
        <w:t xml:space="preserve">, p. 2; T et al., </w:t>
      </w:r>
      <w:r w:rsidDel="00000000" w:rsidR="00000000" w:rsidRPr="00000000">
        <w:rPr>
          <w:rFonts w:ascii="Calibri" w:cs="Calibri" w:eastAsia="Calibri" w:hAnsi="Calibri"/>
          <w:color w:val="0000ff"/>
          <w:sz w:val="21"/>
          <w:szCs w:val="21"/>
          <w:rtl w:val="0"/>
        </w:rPr>
        <w:t xml:space="preserve">2026</w:t>
      </w:r>
      <w:r w:rsidDel="00000000" w:rsidR="00000000" w:rsidRPr="00000000">
        <w:rPr>
          <w:rFonts w:ascii="Calibri" w:cs="Calibri" w:eastAsia="Calibri" w:hAnsi="Calibri"/>
          <w:sz w:val="21"/>
          <w:szCs w:val="21"/>
          <w:rtl w:val="0"/>
        </w:rPr>
        <w:t xml:space="preserve">, p. 12). Users are not convinced that regulation can make an environment safe, and their awareness must also carry the burden. The "principles-to-practice gap" literature highlights that high-level principle statements do not include details about how to handle data governance or post-deployment monitoring (Bahangulu &amp; Owusu-Berko, </w:t>
      </w:r>
      <w:r w:rsidDel="00000000" w:rsidR="00000000" w:rsidRPr="00000000">
        <w:rPr>
          <w:rFonts w:ascii="Calibri" w:cs="Calibri" w:eastAsia="Calibri" w:hAnsi="Calibri"/>
          <w:color w:val="0000ff"/>
          <w:sz w:val="21"/>
          <w:szCs w:val="21"/>
          <w:rtl w:val="0"/>
        </w:rPr>
        <w:t xml:space="preserve">2025</w:t>
      </w:r>
      <w:r w:rsidDel="00000000" w:rsidR="00000000" w:rsidRPr="00000000">
        <w:rPr>
          <w:rFonts w:ascii="Calibri" w:cs="Calibri" w:eastAsia="Calibri" w:hAnsi="Calibri"/>
          <w:sz w:val="21"/>
          <w:szCs w:val="21"/>
          <w:rtl w:val="0"/>
        </w:rPr>
        <w:t xml:space="preserve">, p. 9; Catapang, </w:t>
      </w:r>
      <w:r w:rsidDel="00000000" w:rsidR="00000000" w:rsidRPr="00000000">
        <w:rPr>
          <w:rFonts w:ascii="Calibri" w:cs="Calibri" w:eastAsia="Calibri" w:hAnsi="Calibri"/>
          <w:color w:val="0000ff"/>
          <w:sz w:val="21"/>
          <w:szCs w:val="21"/>
          <w:rtl w:val="0"/>
        </w:rPr>
        <w:t xml:space="preserve">2026</w:t>
      </w:r>
      <w:r w:rsidDel="00000000" w:rsidR="00000000" w:rsidRPr="00000000">
        <w:rPr>
          <w:rFonts w:ascii="Calibri" w:cs="Calibri" w:eastAsia="Calibri" w:hAnsi="Calibri"/>
          <w:sz w:val="21"/>
          <w:szCs w:val="21"/>
          <w:rtl w:val="0"/>
        </w:rPr>
        <w:t xml:space="preserve">, p. 12). Across high-risk sectors, such as social recommender systems determining attention at scale, accountability registries and human-in-the-loop oversight are increasingly becoming a prerequisite for deployment (Kostenko, </w:t>
      </w:r>
      <w:r w:rsidDel="00000000" w:rsidR="00000000" w:rsidRPr="00000000">
        <w:rPr>
          <w:rFonts w:ascii="Calibri" w:cs="Calibri" w:eastAsia="Calibri" w:hAnsi="Calibri"/>
          <w:color w:val="0000ff"/>
          <w:sz w:val="21"/>
          <w:szCs w:val="21"/>
          <w:rtl w:val="0"/>
        </w:rPr>
        <w:t xml:space="preserve">2025</w:t>
      </w:r>
      <w:r w:rsidDel="00000000" w:rsidR="00000000" w:rsidRPr="00000000">
        <w:rPr>
          <w:rFonts w:ascii="Calibri" w:cs="Calibri" w:eastAsia="Calibri" w:hAnsi="Calibri"/>
          <w:sz w:val="21"/>
          <w:szCs w:val="21"/>
          <w:rtl w:val="0"/>
        </w:rPr>
        <w:t xml:space="preserve">, p. 83; Grace Malachi et al., </w:t>
      </w:r>
      <w:r w:rsidDel="00000000" w:rsidR="00000000" w:rsidRPr="00000000">
        <w:rPr>
          <w:rFonts w:ascii="Calibri" w:cs="Calibri" w:eastAsia="Calibri" w:hAnsi="Calibri"/>
          <w:color w:val="0000ff"/>
          <w:sz w:val="21"/>
          <w:szCs w:val="21"/>
          <w:rtl w:val="0"/>
        </w:rPr>
        <w:t xml:space="preserve">2025</w:t>
      </w:r>
      <w:r w:rsidDel="00000000" w:rsidR="00000000" w:rsidRPr="00000000">
        <w:rPr>
          <w:rFonts w:ascii="Calibri" w:cs="Calibri" w:eastAsia="Calibri" w:hAnsi="Calibri"/>
          <w:sz w:val="21"/>
          <w:szCs w:val="21"/>
          <w:rtl w:val="0"/>
        </w:rPr>
        <w:t xml:space="preserve">, p. 11; Selvam &amp; González Vallejo, </w:t>
      </w:r>
      <w:r w:rsidDel="00000000" w:rsidR="00000000" w:rsidRPr="00000000">
        <w:rPr>
          <w:rFonts w:ascii="Calibri" w:cs="Calibri" w:eastAsia="Calibri" w:hAnsi="Calibri"/>
          <w:color w:val="0000ff"/>
          <w:sz w:val="21"/>
          <w:szCs w:val="21"/>
          <w:rtl w:val="0"/>
        </w:rPr>
        <w:t xml:space="preserve">2025</w:t>
      </w:r>
      <w:r w:rsidDel="00000000" w:rsidR="00000000" w:rsidRPr="00000000">
        <w:rPr>
          <w:rFonts w:ascii="Calibri" w:cs="Calibri" w:eastAsia="Calibri" w:hAnsi="Calibri"/>
          <w:sz w:val="21"/>
          <w:szCs w:val="21"/>
          <w:rtl w:val="0"/>
        </w:rPr>
        <w:t xml:space="preserve">, p. 21; Kostenko, </w:t>
      </w:r>
      <w:r w:rsidDel="00000000" w:rsidR="00000000" w:rsidRPr="00000000">
        <w:rPr>
          <w:rFonts w:ascii="Calibri" w:cs="Calibri" w:eastAsia="Calibri" w:hAnsi="Calibri"/>
          <w:color w:val="0000ff"/>
          <w:sz w:val="21"/>
          <w:szCs w:val="21"/>
          <w:rtl w:val="0"/>
        </w:rPr>
        <w:t xml:space="preserve">2025</w:t>
      </w:r>
      <w:r w:rsidDel="00000000" w:rsidR="00000000" w:rsidRPr="00000000">
        <w:rPr>
          <w:rFonts w:ascii="Calibri" w:cs="Calibri" w:eastAsia="Calibri" w:hAnsi="Calibri"/>
          <w:sz w:val="21"/>
          <w:szCs w:val="21"/>
          <w:rtl w:val="0"/>
        </w:rPr>
        <w:t xml:space="preserve">, p. 108). Hence, an ethics-driven, clear and pro-social audit strategy and pivot strategy is timely and academically warranted.</w:t>
      </w:r>
    </w:p>
    <w:p w:rsidR="00000000" w:rsidDel="00000000" w:rsidP="00000000" w:rsidRDefault="00000000" w:rsidRPr="00000000" w14:paraId="0000000A">
      <w:pPr>
        <w:pStyle w:val="Heading2"/>
        <w:numPr>
          <w:ilvl w:val="1"/>
          <w:numId w:val="1"/>
        </w:numPr>
        <w:spacing w:after="106" w:line="259" w:lineRule="auto"/>
        <w:ind w:left="618" w:hanging="633"/>
        <w:jc w:val="left"/>
        <w:rPr>
          <w:rFonts w:ascii="Calibri" w:cs="Calibri" w:eastAsia="Calibri" w:hAnsi="Calibri"/>
          <w:b w:val="1"/>
          <w:bCs w:val="1"/>
          <w:sz w:val="27"/>
          <w:szCs w:val="27"/>
        </w:rPr>
      </w:pPr>
      <w:bookmarkStart w:colFirst="0" w:colLast="0" w:name="_isjzdkf8jwwk" w:id="2"/>
      <w:bookmarkEnd w:id="2"/>
      <w:r w:rsidDel="00000000" w:rsidR="00000000" w:rsidRPr="00000000">
        <w:rPr>
          <w:rFonts w:ascii="Calibri" w:cs="Calibri" w:eastAsia="Calibri" w:hAnsi="Calibri"/>
          <w:sz w:val="27"/>
          <w:szCs w:val="27"/>
          <w:rtl w:val="0"/>
        </w:rPr>
        <w:t xml:space="preserve">Research Objectives and Central Questions</w:t>
      </w:r>
    </w:p>
    <w:p w:rsidR="00000000" w:rsidDel="00000000" w:rsidP="00000000" w:rsidRDefault="00000000" w:rsidRPr="00000000" w14:paraId="0000000B">
      <w:pPr>
        <w:spacing w:after="110" w:line="323" w:lineRule="auto"/>
        <w:ind w:left="-5" w:right="447" w:hanging="1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Interface tactics in digital retail are not isolated creative decisions. Research on urgency marketing and dark patterns shows they are systematically organised around psychological vulnerabilities and short-term revenue objectives (Bansal, </w:t>
      </w:r>
      <w:r w:rsidDel="00000000" w:rsidR="00000000" w:rsidRPr="00000000">
        <w:rPr>
          <w:rFonts w:ascii="Calibri" w:cs="Calibri" w:eastAsia="Calibri" w:hAnsi="Calibri"/>
          <w:color w:val="0000ff"/>
          <w:sz w:val="21"/>
          <w:szCs w:val="21"/>
          <w:rtl w:val="0"/>
        </w:rPr>
        <w:t xml:space="preserve">2026</w:t>
      </w:r>
      <w:r w:rsidDel="00000000" w:rsidR="00000000" w:rsidRPr="00000000">
        <w:rPr>
          <w:rFonts w:ascii="Calibri" w:cs="Calibri" w:eastAsia="Calibri" w:hAnsi="Calibri"/>
          <w:sz w:val="21"/>
          <w:szCs w:val="21"/>
          <w:rtl w:val="0"/>
        </w:rPr>
        <w:t xml:space="preserve">, p. 136). This project’s first objective is a secondary-research synthesis mapping such manipulation-oriented choices in recommender-driven environments through a coding matrix drawing on scarcity, psychological targeting and revenue optimisation constructs.</w:t>
      </w:r>
    </w:p>
    <w:p w:rsidR="00000000" w:rsidDel="00000000" w:rsidP="00000000" w:rsidRDefault="00000000" w:rsidRPr="00000000" w14:paraId="0000000C">
      <w:pPr>
        <w:spacing w:after="110" w:line="323" w:lineRule="auto"/>
        <w:ind w:left="-5" w:right="447" w:hanging="1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 second objective follows regulatory ambition. The AI Act bans subliminal manipulation and manipulative effects significantly harming behaviour; the DSA requires very large platforms to assess systemic risks to civic discourse and to offer at least one non-profiled recommendation option (T et al., </w:t>
      </w:r>
      <w:r w:rsidDel="00000000" w:rsidR="00000000" w:rsidRPr="00000000">
        <w:rPr>
          <w:rFonts w:ascii="Calibri" w:cs="Calibri" w:eastAsia="Calibri" w:hAnsi="Calibri"/>
          <w:color w:val="0000ff"/>
          <w:sz w:val="21"/>
          <w:szCs w:val="21"/>
          <w:rtl w:val="0"/>
        </w:rPr>
        <w:t xml:space="preserve">2026</w:t>
      </w:r>
      <w:r w:rsidDel="00000000" w:rsidR="00000000" w:rsidRPr="00000000">
        <w:rPr>
          <w:rFonts w:ascii="Calibri" w:cs="Calibri" w:eastAsia="Calibri" w:hAnsi="Calibri"/>
          <w:sz w:val="21"/>
          <w:szCs w:val="21"/>
          <w:rtl w:val="0"/>
        </w:rPr>
        <w:t xml:space="preserve">, p. 2248). A forthcoming Digital Fairness Act will complement this by targeting addictive design and unfair personalisation as its own problem space (Sanikidze, </w:t>
      </w:r>
      <w:r w:rsidDel="00000000" w:rsidR="00000000" w:rsidRPr="00000000">
        <w:rPr>
          <w:rFonts w:ascii="Calibri" w:cs="Calibri" w:eastAsia="Calibri" w:hAnsi="Calibri"/>
          <w:color w:val="0000ff"/>
          <w:sz w:val="21"/>
          <w:szCs w:val="21"/>
          <w:rtl w:val="0"/>
        </w:rPr>
        <w:t xml:space="preserve">2026</w:t>
      </w:r>
      <w:r w:rsidDel="00000000" w:rsidR="00000000" w:rsidRPr="00000000">
        <w:rPr>
          <w:rFonts w:ascii="Calibri" w:cs="Calibri" w:eastAsia="Calibri" w:hAnsi="Calibri"/>
          <w:sz w:val="21"/>
          <w:szCs w:val="21"/>
          <w:rtl w:val="0"/>
        </w:rPr>
        <w:t xml:space="preserve">, p. 390). Translating these obligations into operational audit questions is the practical task. Here the DFA is policy trajectory; the AI Act and DSA remain the binding anchor frameworks (Sanikidze, </w:t>
      </w:r>
      <w:r w:rsidDel="00000000" w:rsidR="00000000" w:rsidRPr="00000000">
        <w:rPr>
          <w:rFonts w:ascii="Calibri" w:cs="Calibri" w:eastAsia="Calibri" w:hAnsi="Calibri"/>
          <w:color w:val="0000ff"/>
          <w:sz w:val="21"/>
          <w:szCs w:val="21"/>
          <w:rtl w:val="0"/>
        </w:rPr>
        <w:t xml:space="preserve">2026</w:t>
      </w:r>
      <w:r w:rsidDel="00000000" w:rsidR="00000000" w:rsidRPr="00000000">
        <w:rPr>
          <w:rFonts w:ascii="Calibri" w:cs="Calibri" w:eastAsia="Calibri" w:hAnsi="Calibri"/>
          <w:sz w:val="21"/>
          <w:szCs w:val="21"/>
          <w:rtl w:val="0"/>
        </w:rPr>
        <w:t xml:space="preserve">, p. 390; T et al., </w:t>
      </w:r>
      <w:r w:rsidDel="00000000" w:rsidR="00000000" w:rsidRPr="00000000">
        <w:rPr>
          <w:rFonts w:ascii="Calibri" w:cs="Calibri" w:eastAsia="Calibri" w:hAnsi="Calibri"/>
          <w:color w:val="0000ff"/>
          <w:sz w:val="21"/>
          <w:szCs w:val="21"/>
          <w:rtl w:val="0"/>
        </w:rPr>
        <w:t xml:space="preserve">2026</w:t>
      </w:r>
      <w:r w:rsidDel="00000000" w:rsidR="00000000" w:rsidRPr="00000000">
        <w:rPr>
          <w:rFonts w:ascii="Calibri" w:cs="Calibri" w:eastAsia="Calibri" w:hAnsi="Calibri"/>
          <w:sz w:val="21"/>
          <w:szCs w:val="21"/>
          <w:rtl w:val="0"/>
        </w:rPr>
        <w:t xml:space="preserve">, p. 2248).</w:t>
      </w:r>
    </w:p>
    <w:p w:rsidR="00000000" w:rsidDel="00000000" w:rsidP="00000000" w:rsidRDefault="00000000" w:rsidRPr="00000000" w14:paraId="0000000D">
      <w:pPr>
        <w:spacing w:after="110" w:line="323" w:lineRule="auto"/>
        <w:ind w:left="-5" w:right="447" w:hanging="1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 third objective is methodological. Qualitative and secondary designs examining AI systems and regulatory texts stress triangulating regulatory intent, platform practice and documented harm (Khare et al., </w:t>
      </w:r>
      <w:r w:rsidDel="00000000" w:rsidR="00000000" w:rsidRPr="00000000">
        <w:rPr>
          <w:rFonts w:ascii="Calibri" w:cs="Calibri" w:eastAsia="Calibri" w:hAnsi="Calibri"/>
          <w:color w:val="0000ff"/>
          <w:sz w:val="21"/>
          <w:szCs w:val="21"/>
          <w:rtl w:val="0"/>
        </w:rPr>
        <w:t xml:space="preserve">2026</w:t>
      </w:r>
      <w:r w:rsidDel="00000000" w:rsidR="00000000" w:rsidRPr="00000000">
        <w:rPr>
          <w:rFonts w:ascii="Calibri" w:cs="Calibri" w:eastAsia="Calibri" w:hAnsi="Calibri"/>
          <w:sz w:val="21"/>
          <w:szCs w:val="21"/>
          <w:rtl w:val="0"/>
        </w:rPr>
        <w:t xml:space="preserve">, p. 7; T et al., </w:t>
      </w:r>
      <w:r w:rsidDel="00000000" w:rsidR="00000000" w:rsidRPr="00000000">
        <w:rPr>
          <w:rFonts w:ascii="Calibri" w:cs="Calibri" w:eastAsia="Calibri" w:hAnsi="Calibri"/>
          <w:color w:val="0000ff"/>
          <w:sz w:val="21"/>
          <w:szCs w:val="21"/>
          <w:rtl w:val="0"/>
        </w:rPr>
        <w:t xml:space="preserve">2026</w:t>
      </w:r>
      <w:r w:rsidDel="00000000" w:rsidR="00000000" w:rsidRPr="00000000">
        <w:rPr>
          <w:rFonts w:ascii="Calibri" w:cs="Calibri" w:eastAsia="Calibri" w:hAnsi="Calibri"/>
          <w:sz w:val="21"/>
          <w:szCs w:val="21"/>
          <w:rtl w:val="0"/>
        </w:rPr>
        <w:t xml:space="preserve">, p. 6; Mariia, </w:t>
      </w:r>
      <w:r w:rsidDel="00000000" w:rsidR="00000000" w:rsidRPr="00000000">
        <w:rPr>
          <w:rFonts w:ascii="Calibri" w:cs="Calibri" w:eastAsia="Calibri" w:hAnsi="Calibri"/>
          <w:color w:val="0000ff"/>
          <w:sz w:val="21"/>
          <w:szCs w:val="21"/>
          <w:rtl w:val="0"/>
        </w:rPr>
        <w:t xml:space="preserve">2025</w:t>
      </w:r>
      <w:r w:rsidDel="00000000" w:rsidR="00000000" w:rsidRPr="00000000">
        <w:rPr>
          <w:rFonts w:ascii="Calibri" w:cs="Calibri" w:eastAsia="Calibri" w:hAnsi="Calibri"/>
          <w:sz w:val="21"/>
          <w:szCs w:val="21"/>
          <w:rtl w:val="0"/>
        </w:rPr>
        <w:t xml:space="preserve">, p. 3). This study works from an interpretive synthesis of secondary materials; proprietary telemetry was not available. Black-box algorithms are assessed through documented UI behaviour and regulator findings, following Garr’s convergent-parallel content-curation design and Chakraborty et al.’s mixed-methods education-ethics work as templates for evaluating algorithmic risk, calibrated to that same opacity, without internal model access (Mariia, </w:t>
      </w:r>
      <w:r w:rsidDel="00000000" w:rsidR="00000000" w:rsidRPr="00000000">
        <w:rPr>
          <w:rFonts w:ascii="Calibri" w:cs="Calibri" w:eastAsia="Calibri" w:hAnsi="Calibri"/>
          <w:color w:val="0000ff"/>
          <w:sz w:val="21"/>
          <w:szCs w:val="21"/>
          <w:rtl w:val="0"/>
        </w:rPr>
        <w:t xml:space="preserve">2025</w:t>
      </w:r>
      <w:r w:rsidDel="00000000" w:rsidR="00000000" w:rsidRPr="00000000">
        <w:rPr>
          <w:rFonts w:ascii="Calibri" w:cs="Calibri" w:eastAsia="Calibri" w:hAnsi="Calibri"/>
          <w:sz w:val="21"/>
          <w:szCs w:val="21"/>
          <w:rtl w:val="0"/>
        </w:rPr>
        <w:t xml:space="preserve">, p. 3; Chakraborty et al., </w:t>
      </w:r>
      <w:r w:rsidDel="00000000" w:rsidR="00000000" w:rsidRPr="00000000">
        <w:rPr>
          <w:rFonts w:ascii="Calibri" w:cs="Calibri" w:eastAsia="Calibri" w:hAnsi="Calibri"/>
          <w:color w:val="0000ff"/>
          <w:sz w:val="21"/>
          <w:szCs w:val="21"/>
          <w:rtl w:val="0"/>
        </w:rPr>
        <w:t xml:space="preserve">2025</w:t>
      </w:r>
      <w:r w:rsidDel="00000000" w:rsidR="00000000" w:rsidRPr="00000000">
        <w:rPr>
          <w:rFonts w:ascii="Calibri" w:cs="Calibri" w:eastAsia="Calibri" w:hAnsi="Calibri"/>
          <w:sz w:val="21"/>
          <w:szCs w:val="21"/>
          <w:rtl w:val="0"/>
        </w:rPr>
        <w:t xml:space="preserve">, p. 5).</w:t>
      </w:r>
    </w:p>
    <w:p w:rsidR="00000000" w:rsidDel="00000000" w:rsidP="00000000" w:rsidRDefault="00000000" w:rsidRPr="00000000" w14:paraId="0000000E">
      <w:pPr>
        <w:spacing w:after="110" w:line="323" w:lineRule="auto"/>
        <w:ind w:left="-5" w:right="427" w:hanging="1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central questions operate at the level of observable outputs and regulatory alignment. Do engagement-optimising recommendation architectures embed structural incentives similar to those identified in political recommender systems, where optimisation objectives and training dynamics contribute to polarisation (T et al., </w:t>
      </w:r>
      <w:r w:rsidDel="00000000" w:rsidR="00000000" w:rsidRPr="00000000">
        <w:rPr>
          <w:rFonts w:ascii="Calibri" w:cs="Calibri" w:eastAsia="Calibri" w:hAnsi="Calibri"/>
          <w:color w:val="0000ff"/>
          <w:sz w:val="21"/>
          <w:szCs w:val="21"/>
          <w:rtl w:val="0"/>
        </w:rPr>
        <w:t xml:space="preserve">2026</w:t>
      </w:r>
      <w:r w:rsidDel="00000000" w:rsidR="00000000" w:rsidRPr="00000000">
        <w:rPr>
          <w:rFonts w:ascii="Calibri" w:cs="Calibri" w:eastAsia="Calibri" w:hAnsi="Calibri"/>
          <w:sz w:val="21"/>
          <w:szCs w:val="21"/>
          <w:rtl w:val="0"/>
        </w:rPr>
        <w:t xml:space="preserve">, p. 6)? How far do existing and emerging EU instruments (AI Act, DSA, Digital Markets Act, projected DFA) function as a de facto governance regime for addictive design (Sanikidze, </w:t>
      </w:r>
      <w:r w:rsidDel="00000000" w:rsidR="00000000" w:rsidRPr="00000000">
        <w:rPr>
          <w:rFonts w:ascii="Calibri" w:cs="Calibri" w:eastAsia="Calibri" w:hAnsi="Calibri"/>
          <w:color w:val="0000ff"/>
          <w:sz w:val="21"/>
          <w:szCs w:val="21"/>
          <w:rtl w:val="0"/>
        </w:rPr>
        <w:t xml:space="preserve">2026</w:t>
      </w:r>
      <w:r w:rsidDel="00000000" w:rsidR="00000000" w:rsidRPr="00000000">
        <w:rPr>
          <w:rFonts w:ascii="Calibri" w:cs="Calibri" w:eastAsia="Calibri" w:hAnsi="Calibri"/>
          <w:sz w:val="21"/>
          <w:szCs w:val="21"/>
          <w:rtl w:val="0"/>
        </w:rPr>
        <w:t xml:space="preserve">, p. 390; T et al., </w:t>
      </w:r>
      <w:r w:rsidDel="00000000" w:rsidR="00000000" w:rsidRPr="00000000">
        <w:rPr>
          <w:rFonts w:ascii="Calibri" w:cs="Calibri" w:eastAsia="Calibri" w:hAnsi="Calibri"/>
          <w:color w:val="0000ff"/>
          <w:sz w:val="21"/>
          <w:szCs w:val="21"/>
          <w:rtl w:val="0"/>
        </w:rPr>
        <w:t xml:space="preserve">2026</w:t>
      </w:r>
      <w:r w:rsidDel="00000000" w:rsidR="00000000" w:rsidRPr="00000000">
        <w:rPr>
          <w:rFonts w:ascii="Calibri" w:cs="Calibri" w:eastAsia="Calibri" w:hAnsi="Calibri"/>
          <w:sz w:val="21"/>
          <w:szCs w:val="21"/>
          <w:rtl w:val="0"/>
        </w:rPr>
        <w:t xml:space="preserve">, p. 2248; Kustura, </w:t>
      </w:r>
      <w:r w:rsidDel="00000000" w:rsidR="00000000" w:rsidRPr="00000000">
        <w:rPr>
          <w:rFonts w:ascii="Calibri" w:cs="Calibri" w:eastAsia="Calibri" w:hAnsi="Calibri"/>
          <w:color w:val="0000ff"/>
          <w:sz w:val="21"/>
          <w:szCs w:val="21"/>
          <w:rtl w:val="0"/>
        </w:rPr>
        <w:t xml:space="preserve">2025</w:t>
      </w:r>
      <w:r w:rsidDel="00000000" w:rsidR="00000000" w:rsidRPr="00000000">
        <w:rPr>
          <w:rFonts w:ascii="Calibri" w:cs="Calibri" w:eastAsia="Calibri" w:hAnsi="Calibri"/>
          <w:sz w:val="21"/>
          <w:szCs w:val="21"/>
          <w:rtl w:val="0"/>
        </w:rPr>
        <w:t xml:space="preserve">, p. 2)?</w:t>
      </w:r>
    </w:p>
    <w:p w:rsidR="00000000" w:rsidDel="00000000" w:rsidP="00000000" w:rsidRDefault="00000000" w:rsidRPr="00000000" w14:paraId="0000000F">
      <w:pPr>
        <w:spacing w:after="334" w:line="323" w:lineRule="auto"/>
        <w:ind w:left="-5" w:right="447" w:hanging="1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ultimate goal is based on studies on ethical marketing practices in the field of AI and on digital responsibility in companies. Asante and Adeoba (Asante &amp; Adeoba, </w:t>
      </w:r>
      <w:r w:rsidDel="00000000" w:rsidR="00000000" w:rsidRPr="00000000">
        <w:rPr>
          <w:rFonts w:ascii="Calibri" w:cs="Calibri" w:eastAsia="Calibri" w:hAnsi="Calibri"/>
          <w:color w:val="0000ff"/>
          <w:sz w:val="21"/>
          <w:szCs w:val="21"/>
          <w:rtl w:val="0"/>
        </w:rPr>
        <w:t xml:space="preserve">2026</w:t>
      </w:r>
      <w:r w:rsidDel="00000000" w:rsidR="00000000" w:rsidRPr="00000000">
        <w:rPr>
          <w:rFonts w:ascii="Calibri" w:cs="Calibri" w:eastAsia="Calibri" w:hAnsi="Calibri"/>
          <w:sz w:val="21"/>
          <w:szCs w:val="21"/>
          <w:rtl w:val="0"/>
        </w:rPr>
        <w:t xml:space="preserve">, p. 11; Asante &amp; Adeoba, </w:t>
      </w:r>
      <w:r w:rsidDel="00000000" w:rsidR="00000000" w:rsidRPr="00000000">
        <w:rPr>
          <w:rFonts w:ascii="Calibri" w:cs="Calibri" w:eastAsia="Calibri" w:hAnsi="Calibri"/>
          <w:color w:val="0000ff"/>
          <w:sz w:val="21"/>
          <w:szCs w:val="21"/>
          <w:rtl w:val="0"/>
        </w:rPr>
        <w:t xml:space="preserve">2026</w:t>
      </w:r>
      <w:r w:rsidDel="00000000" w:rsidR="00000000" w:rsidRPr="00000000">
        <w:rPr>
          <w:rFonts w:ascii="Calibri" w:cs="Calibri" w:eastAsia="Calibri" w:hAnsi="Calibri"/>
          <w:sz w:val="21"/>
          <w:szCs w:val="21"/>
          <w:rtl w:val="0"/>
        </w:rPr>
        <w:t xml:space="preserve">, p. 16) describe Communities of Practice and CSR as mechanisms that transform internal ethical learning into policy and algorithm audits, with stakeholders' trust as their foundation. In replacing general rules, principles and ethics with specific tasks in the lifecycle, Catapang's Ethics-by-Design account removes moral abstraction from everyday practice (Catapang, </w:t>
      </w:r>
      <w:r w:rsidDel="00000000" w:rsidR="00000000" w:rsidRPr="00000000">
        <w:rPr>
          <w:rFonts w:ascii="Calibri" w:cs="Calibri" w:eastAsia="Calibri" w:hAnsi="Calibri"/>
          <w:color w:val="0000ff"/>
          <w:sz w:val="21"/>
          <w:szCs w:val="21"/>
          <w:rtl w:val="0"/>
        </w:rPr>
        <w:t xml:space="preserve">2026</w:t>
      </w:r>
      <w:r w:rsidDel="00000000" w:rsidR="00000000" w:rsidRPr="00000000">
        <w:rPr>
          <w:rFonts w:ascii="Calibri" w:cs="Calibri" w:eastAsia="Calibri" w:hAnsi="Calibri"/>
          <w:sz w:val="21"/>
          <w:szCs w:val="21"/>
          <w:rtl w:val="0"/>
        </w:rPr>
        <w:t xml:space="preserve">, p. 12). In this case, the working goal is a practical audit toolkit, a decision-making matrix, accessible to management teams, connected to the framework of CSR governance and aimed at maintaining engagements in EU risk-based regulation (Asante &amp; Adeoba, </w:t>
      </w:r>
      <w:r w:rsidDel="00000000" w:rsidR="00000000" w:rsidRPr="00000000">
        <w:rPr>
          <w:rFonts w:ascii="Calibri" w:cs="Calibri" w:eastAsia="Calibri" w:hAnsi="Calibri"/>
          <w:color w:val="0000ff"/>
          <w:sz w:val="21"/>
          <w:szCs w:val="21"/>
          <w:rtl w:val="0"/>
        </w:rPr>
        <w:t xml:space="preserve">2026</w:t>
      </w:r>
      <w:r w:rsidDel="00000000" w:rsidR="00000000" w:rsidRPr="00000000">
        <w:rPr>
          <w:rFonts w:ascii="Calibri" w:cs="Calibri" w:eastAsia="Calibri" w:hAnsi="Calibri"/>
          <w:sz w:val="21"/>
          <w:szCs w:val="21"/>
          <w:rtl w:val="0"/>
        </w:rPr>
        <w:t xml:space="preserve">, p. 11; Catapang, </w:t>
      </w:r>
      <w:r w:rsidDel="00000000" w:rsidR="00000000" w:rsidRPr="00000000">
        <w:rPr>
          <w:rFonts w:ascii="Calibri" w:cs="Calibri" w:eastAsia="Calibri" w:hAnsi="Calibri"/>
          <w:color w:val="0000ff"/>
          <w:sz w:val="21"/>
          <w:szCs w:val="21"/>
          <w:rtl w:val="0"/>
        </w:rPr>
        <w:t xml:space="preserve">2026</w:t>
      </w:r>
      <w:r w:rsidDel="00000000" w:rsidR="00000000" w:rsidRPr="00000000">
        <w:rPr>
          <w:rFonts w:ascii="Calibri" w:cs="Calibri" w:eastAsia="Calibri" w:hAnsi="Calibri"/>
          <w:sz w:val="21"/>
          <w:szCs w:val="21"/>
          <w:rtl w:val="0"/>
        </w:rPr>
        <w:t xml:space="preserve">, p. 12; Kustura, 2025, p. 4). This study's recommendations are measured by the ability to close that principles-to-practice gap.</w:t>
      </w:r>
    </w:p>
    <w:p w:rsidR="00000000" w:rsidDel="00000000" w:rsidP="00000000" w:rsidRDefault="00000000" w:rsidRPr="00000000" w14:paraId="00000010">
      <w:pPr>
        <w:pStyle w:val="Heading2"/>
        <w:numPr>
          <w:ilvl w:val="1"/>
          <w:numId w:val="1"/>
        </w:numPr>
        <w:spacing w:after="106" w:line="259" w:lineRule="auto"/>
        <w:ind w:left="618" w:hanging="633"/>
        <w:jc w:val="left"/>
        <w:rPr>
          <w:rFonts w:ascii="Calibri" w:cs="Calibri" w:eastAsia="Calibri" w:hAnsi="Calibri"/>
          <w:b w:val="1"/>
          <w:bCs w:val="1"/>
          <w:sz w:val="27"/>
          <w:szCs w:val="27"/>
        </w:rPr>
      </w:pPr>
      <w:bookmarkStart w:colFirst="0" w:colLast="0" w:name="_qawdvfn0t0ee" w:id="3"/>
      <w:bookmarkEnd w:id="3"/>
      <w:r w:rsidDel="00000000" w:rsidR="00000000" w:rsidRPr="00000000">
        <w:rPr>
          <w:rFonts w:ascii="Calibri" w:cs="Calibri" w:eastAsia="Calibri" w:hAnsi="Calibri"/>
          <w:sz w:val="27"/>
          <w:szCs w:val="27"/>
          <w:rtl w:val="0"/>
        </w:rPr>
        <w:t xml:space="preserve">Scope, Boundaries and Key Assumptions</w:t>
      </w:r>
    </w:p>
    <w:p w:rsidR="00000000" w:rsidDel="00000000" w:rsidP="00000000" w:rsidRDefault="00000000" w:rsidRPr="00000000" w14:paraId="00000011">
      <w:pPr>
        <w:spacing w:after="110" w:line="323" w:lineRule="auto"/>
        <w:ind w:left="-5" w:right="447" w:hanging="1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This project is conducted through qualitative secondary research with literature-based inquiry and reflexive thematic analysis of academic, policy and systems documents. These serve as primary data, and through inductive elucidation of concepts without engaging in primary empirical measurement, or direct access to proprietary systems (Asante &amp; Adeoba, </w:t>
      </w:r>
      <w:r w:rsidDel="00000000" w:rsidR="00000000" w:rsidRPr="00000000">
        <w:rPr>
          <w:rFonts w:ascii="Calibri" w:cs="Calibri" w:eastAsia="Calibri" w:hAnsi="Calibri"/>
          <w:color w:val="0000ff"/>
          <w:sz w:val="21"/>
          <w:szCs w:val="21"/>
          <w:rtl w:val="0"/>
        </w:rPr>
        <w:t xml:space="preserve">2026 </w:t>
      </w:r>
      <w:r w:rsidDel="00000000" w:rsidR="00000000" w:rsidRPr="00000000">
        <w:rPr>
          <w:rFonts w:ascii="Calibri" w:cs="Calibri" w:eastAsia="Calibri" w:hAnsi="Calibri"/>
          <w:sz w:val="21"/>
          <w:szCs w:val="21"/>
          <w:rtl w:val="0"/>
        </w:rPr>
        <w:t xml:space="preserve">p. 8; T et al., </w:t>
      </w:r>
      <w:r w:rsidDel="00000000" w:rsidR="00000000" w:rsidRPr="00000000">
        <w:rPr>
          <w:rFonts w:ascii="Calibri" w:cs="Calibri" w:eastAsia="Calibri" w:hAnsi="Calibri"/>
          <w:color w:val="0000ff"/>
          <w:sz w:val="21"/>
          <w:szCs w:val="21"/>
          <w:rtl w:val="0"/>
        </w:rPr>
        <w:t xml:space="preserve">2026 </w:t>
      </w:r>
      <w:r w:rsidDel="00000000" w:rsidR="00000000" w:rsidRPr="00000000">
        <w:rPr>
          <w:rFonts w:ascii="Calibri" w:cs="Calibri" w:eastAsia="Calibri" w:hAnsi="Calibri"/>
          <w:sz w:val="21"/>
          <w:szCs w:val="21"/>
          <w:rtl w:val="0"/>
        </w:rPr>
        <w:t xml:space="preserve">p. 6). No new behavioural experiments were performed; claims of algorithmic addiction and manipulative interface patterns were mediated through documented analyses/ examinations of the architectures and regimes of recommendations.</w:t>
      </w:r>
    </w:p>
    <w:p w:rsidR="00000000" w:rsidDel="00000000" w:rsidP="00000000" w:rsidRDefault="00000000" w:rsidRPr="00000000" w14:paraId="00000012">
      <w:pPr>
        <w:spacing w:after="110" w:line="323" w:lineRule="auto"/>
        <w:ind w:left="-5" w:right="447" w:hanging="1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Black-box AI systems are studied based on their output and specified objective functions, and trade secrecy prevents source code analysis and thorough technical analysis. This research adapts the literature of democratic harms from recommendation architectures, this thesis adopts an external audit framework, focusing on audits of explainability obligations, independent audit requirements and risk classifications (T et al., </w:t>
      </w:r>
      <w:r w:rsidDel="00000000" w:rsidR="00000000" w:rsidRPr="00000000">
        <w:rPr>
          <w:rFonts w:ascii="Calibri" w:cs="Calibri" w:eastAsia="Calibri" w:hAnsi="Calibri"/>
          <w:color w:val="0000ff"/>
          <w:sz w:val="21"/>
          <w:szCs w:val="21"/>
          <w:rtl w:val="0"/>
        </w:rPr>
        <w:t xml:space="preserve">2026</w:t>
      </w:r>
      <w:r w:rsidDel="00000000" w:rsidR="00000000" w:rsidRPr="00000000">
        <w:rPr>
          <w:rFonts w:ascii="Calibri" w:cs="Calibri" w:eastAsia="Calibri" w:hAnsi="Calibri"/>
          <w:sz w:val="21"/>
          <w:szCs w:val="21"/>
          <w:rtl w:val="0"/>
        </w:rPr>
        <w:t xml:space="preserve">, p. 6; T et al., </w:t>
      </w:r>
      <w:r w:rsidDel="00000000" w:rsidR="00000000" w:rsidRPr="00000000">
        <w:rPr>
          <w:rFonts w:ascii="Calibri" w:cs="Calibri" w:eastAsia="Calibri" w:hAnsi="Calibri"/>
          <w:color w:val="0000ff"/>
          <w:sz w:val="21"/>
          <w:szCs w:val="21"/>
          <w:rtl w:val="0"/>
        </w:rPr>
        <w:t xml:space="preserve">2026</w:t>
      </w:r>
      <w:r w:rsidDel="00000000" w:rsidR="00000000" w:rsidRPr="00000000">
        <w:rPr>
          <w:rFonts w:ascii="Calibri" w:cs="Calibri" w:eastAsia="Calibri" w:hAnsi="Calibri"/>
          <w:sz w:val="21"/>
          <w:szCs w:val="21"/>
          <w:rtl w:val="0"/>
        </w:rPr>
        <w:t xml:space="preserve">, p. 16; Kostenko, </w:t>
      </w:r>
      <w:r w:rsidDel="00000000" w:rsidR="00000000" w:rsidRPr="00000000">
        <w:rPr>
          <w:rFonts w:ascii="Calibri" w:cs="Calibri" w:eastAsia="Calibri" w:hAnsi="Calibri"/>
          <w:color w:val="0000ff"/>
          <w:sz w:val="21"/>
          <w:szCs w:val="21"/>
          <w:rtl w:val="0"/>
        </w:rPr>
        <w:t xml:space="preserve">2025</w:t>
      </w:r>
      <w:r w:rsidDel="00000000" w:rsidR="00000000" w:rsidRPr="00000000">
        <w:rPr>
          <w:rFonts w:ascii="Calibri" w:cs="Calibri" w:eastAsia="Calibri" w:hAnsi="Calibri"/>
          <w:sz w:val="21"/>
          <w:szCs w:val="21"/>
          <w:rtl w:val="0"/>
        </w:rPr>
        <w:t xml:space="preserve">, p. 244). All analytical implications for the algorithms risk are based on published regulatory results and academic integrations rather than reconstruction of the internal weights.</w:t>
      </w:r>
    </w:p>
    <w:p w:rsidR="00000000" w:rsidDel="00000000" w:rsidP="00000000" w:rsidRDefault="00000000" w:rsidRPr="00000000" w14:paraId="00000013">
      <w:pPr>
        <w:spacing w:after="110" w:line="323" w:lineRule="auto"/>
        <w:ind w:left="-5" w:right="447" w:hanging="1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It is designed based on the formally adopted EU instruments, such as the DSA or the AI Act, as well as proposals for the new regulations on transparency, non-discrimination and audit obligations of high-risk AI systems (Kostenko, </w:t>
      </w:r>
      <w:r w:rsidDel="00000000" w:rsidR="00000000" w:rsidRPr="00000000">
        <w:rPr>
          <w:rFonts w:ascii="Calibri" w:cs="Calibri" w:eastAsia="Calibri" w:hAnsi="Calibri"/>
          <w:color w:val="0000ff"/>
          <w:sz w:val="21"/>
          <w:szCs w:val="21"/>
          <w:rtl w:val="0"/>
        </w:rPr>
        <w:t xml:space="preserve">2025</w:t>
      </w:r>
      <w:r w:rsidDel="00000000" w:rsidR="00000000" w:rsidRPr="00000000">
        <w:rPr>
          <w:rFonts w:ascii="Calibri" w:cs="Calibri" w:eastAsia="Calibri" w:hAnsi="Calibri"/>
          <w:sz w:val="21"/>
          <w:szCs w:val="21"/>
          <w:rtl w:val="0"/>
        </w:rPr>
        <w:t xml:space="preserve">, p. 244; Kostenko, </w:t>
      </w:r>
      <w:r w:rsidDel="00000000" w:rsidR="00000000" w:rsidRPr="00000000">
        <w:rPr>
          <w:rFonts w:ascii="Calibri" w:cs="Calibri" w:eastAsia="Calibri" w:hAnsi="Calibri"/>
          <w:color w:val="0000ff"/>
          <w:sz w:val="21"/>
          <w:szCs w:val="21"/>
          <w:rtl w:val="0"/>
        </w:rPr>
        <w:t xml:space="preserve">2025</w:t>
      </w:r>
      <w:r w:rsidDel="00000000" w:rsidR="00000000" w:rsidRPr="00000000">
        <w:rPr>
          <w:rFonts w:ascii="Calibri" w:cs="Calibri" w:eastAsia="Calibri" w:hAnsi="Calibri"/>
          <w:sz w:val="21"/>
          <w:szCs w:val="21"/>
          <w:rtl w:val="0"/>
        </w:rPr>
        <w:t xml:space="preserve">, p. 243). These include the algorithmic passport and national register of AI. According to the AI Law Model, the concept of digital neutrality essentially restricts any distortion of information flow and hidden censorship. It also mandates the documentation of decision logic and independent auditing, with violations of this duty listed in a public Register of Digital Neutrality Incidents (Kostenko, </w:t>
      </w:r>
      <w:r w:rsidDel="00000000" w:rsidR="00000000" w:rsidRPr="00000000">
        <w:rPr>
          <w:rFonts w:ascii="Calibri" w:cs="Calibri" w:eastAsia="Calibri" w:hAnsi="Calibri"/>
          <w:color w:val="0000ff"/>
          <w:sz w:val="21"/>
          <w:szCs w:val="21"/>
          <w:rtl w:val="0"/>
        </w:rPr>
        <w:t xml:space="preserve">2025</w:t>
      </w:r>
      <w:r w:rsidDel="00000000" w:rsidR="00000000" w:rsidRPr="00000000">
        <w:rPr>
          <w:rFonts w:ascii="Calibri" w:cs="Calibri" w:eastAsia="Calibri" w:hAnsi="Calibri"/>
          <w:sz w:val="21"/>
          <w:szCs w:val="21"/>
          <w:rtl w:val="0"/>
        </w:rPr>
        <w:t xml:space="preserve">, p. 109). Any reference to the Digital Fairness Act (Sanikidze, </w:t>
      </w:r>
      <w:r w:rsidDel="00000000" w:rsidR="00000000" w:rsidRPr="00000000">
        <w:rPr>
          <w:rFonts w:ascii="Calibri" w:cs="Calibri" w:eastAsia="Calibri" w:hAnsi="Calibri"/>
          <w:color w:val="0000ff"/>
          <w:sz w:val="21"/>
          <w:szCs w:val="21"/>
          <w:rtl w:val="0"/>
        </w:rPr>
        <w:t xml:space="preserve">2026</w:t>
      </w:r>
      <w:r w:rsidDel="00000000" w:rsidR="00000000" w:rsidRPr="00000000">
        <w:rPr>
          <w:rFonts w:ascii="Calibri" w:cs="Calibri" w:eastAsia="Calibri" w:hAnsi="Calibri"/>
          <w:sz w:val="21"/>
          <w:szCs w:val="21"/>
          <w:rtl w:val="0"/>
        </w:rPr>
        <w:t xml:space="preserve">, p. 391) is considered to be a policy direction based on existing documents and not yet a statutory rule to be enforced by the current platforms.</w:t>
      </w:r>
    </w:p>
    <w:p w:rsidR="00000000" w:rsidDel="00000000" w:rsidP="00000000" w:rsidRDefault="00000000" w:rsidRPr="00000000" w14:paraId="00000014">
      <w:pPr>
        <w:spacing w:after="11" w:line="323" w:lineRule="auto"/>
        <w:ind w:left="-5" w:right="312" w:hanging="1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Organisational governance scope highlights Communities of Practice, CSR mechanisms and AI ethics committees that convert the collated learning into policies and accountability mechanisms (Asante &amp; Adeoba, </w:t>
      </w:r>
      <w:r w:rsidDel="00000000" w:rsidR="00000000" w:rsidRPr="00000000">
        <w:rPr>
          <w:rFonts w:ascii="Calibri" w:cs="Calibri" w:eastAsia="Calibri" w:hAnsi="Calibri"/>
          <w:color w:val="0000ff"/>
          <w:sz w:val="21"/>
          <w:szCs w:val="21"/>
          <w:rtl w:val="0"/>
        </w:rPr>
        <w:t xml:space="preserve">2026</w:t>
      </w:r>
      <w:r w:rsidDel="00000000" w:rsidR="00000000" w:rsidRPr="00000000">
        <w:rPr>
          <w:rFonts w:ascii="Calibri" w:cs="Calibri" w:eastAsia="Calibri" w:hAnsi="Calibri"/>
          <w:sz w:val="21"/>
          <w:szCs w:val="21"/>
          <w:rtl w:val="0"/>
        </w:rPr>
        <w:t xml:space="preserve">, p. 11; Asante &amp; Adeoba, </w:t>
      </w:r>
      <w:r w:rsidDel="00000000" w:rsidR="00000000" w:rsidRPr="00000000">
        <w:rPr>
          <w:rFonts w:ascii="Calibri" w:cs="Calibri" w:eastAsia="Calibri" w:hAnsi="Calibri"/>
          <w:color w:val="0000ff"/>
          <w:sz w:val="21"/>
          <w:szCs w:val="21"/>
          <w:rtl w:val="0"/>
        </w:rPr>
        <w:t xml:space="preserve">2026</w:t>
      </w:r>
      <w:r w:rsidDel="00000000" w:rsidR="00000000" w:rsidRPr="00000000">
        <w:rPr>
          <w:rFonts w:ascii="Calibri" w:cs="Calibri" w:eastAsia="Calibri" w:hAnsi="Calibri"/>
          <w:sz w:val="21"/>
          <w:szCs w:val="21"/>
          <w:rtl w:val="0"/>
        </w:rPr>
        <w:t xml:space="preserve">, p. 16). Ethical AI marketing research (Asante &amp; Adeoba, </w:t>
      </w:r>
      <w:r w:rsidDel="00000000" w:rsidR="00000000" w:rsidRPr="00000000">
        <w:rPr>
          <w:rFonts w:ascii="Calibri" w:cs="Calibri" w:eastAsia="Calibri" w:hAnsi="Calibri"/>
          <w:color w:val="0000ff"/>
          <w:sz w:val="21"/>
          <w:szCs w:val="21"/>
          <w:rtl w:val="0"/>
        </w:rPr>
        <w:t xml:space="preserve">2026</w:t>
      </w:r>
      <w:r w:rsidDel="00000000" w:rsidR="00000000" w:rsidRPr="00000000">
        <w:rPr>
          <w:rFonts w:ascii="Calibri" w:cs="Calibri" w:eastAsia="Calibri" w:hAnsi="Calibri"/>
          <w:sz w:val="21"/>
          <w:szCs w:val="21"/>
          <w:rtl w:val="0"/>
        </w:rPr>
        <w:t xml:space="preserve">, p. 11) narrows down the focus of governance and covers only four metrics of trust, namely transparency, privacy, fairness, and user control, and excludes technical compliance.</w:t>
      </w:r>
    </w:p>
    <w:p w:rsidR="00000000" w:rsidDel="00000000" w:rsidP="00000000" w:rsidRDefault="00000000" w:rsidRPr="00000000" w14:paraId="00000015">
      <w:pPr>
        <w:spacing w:after="334" w:line="323" w:lineRule="auto"/>
        <w:ind w:left="-5" w:right="447" w:hanging="1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analysis is based on three key assumptions. Digital-literacy and regulatory-awareness surveys (Chukhray &amp; Koval, </w:t>
      </w:r>
      <w:r w:rsidDel="00000000" w:rsidR="00000000" w:rsidRPr="00000000">
        <w:rPr>
          <w:rFonts w:ascii="Calibri" w:cs="Calibri" w:eastAsia="Calibri" w:hAnsi="Calibri"/>
          <w:color w:val="0000ff"/>
          <w:sz w:val="21"/>
          <w:szCs w:val="21"/>
          <w:rtl w:val="0"/>
        </w:rPr>
        <w:t xml:space="preserve">2026</w:t>
      </w:r>
      <w:r w:rsidDel="00000000" w:rsidR="00000000" w:rsidRPr="00000000">
        <w:rPr>
          <w:rFonts w:ascii="Calibri" w:cs="Calibri" w:eastAsia="Calibri" w:hAnsi="Calibri"/>
          <w:sz w:val="21"/>
          <w:szCs w:val="21"/>
          <w:rtl w:val="0"/>
        </w:rPr>
        <w:t xml:space="preserve">, p. 2) show that while users are highly self-competent, their actual level of literacy and awareness of regulations is not necessarily high. Second, the advantages of regulatory texts, including supervision channels and appeals, demonstrate that human-in-the-loop control is a tool that will not be eliminated (Kostenko, </w:t>
      </w:r>
      <w:r w:rsidDel="00000000" w:rsidR="00000000" w:rsidRPr="00000000">
        <w:rPr>
          <w:rFonts w:ascii="Calibri" w:cs="Calibri" w:eastAsia="Calibri" w:hAnsi="Calibri"/>
          <w:color w:val="0000ff"/>
          <w:sz w:val="21"/>
          <w:szCs w:val="21"/>
          <w:rtl w:val="0"/>
        </w:rPr>
        <w:t xml:space="preserve">2025</w:t>
      </w:r>
      <w:r w:rsidDel="00000000" w:rsidR="00000000" w:rsidRPr="00000000">
        <w:rPr>
          <w:rFonts w:ascii="Calibri" w:cs="Calibri" w:eastAsia="Calibri" w:hAnsi="Calibri"/>
          <w:sz w:val="21"/>
          <w:szCs w:val="21"/>
          <w:rtl w:val="0"/>
        </w:rPr>
        <w:t xml:space="preserve">, p. 244; Selvam &amp; González Vallejo, </w:t>
      </w:r>
      <w:r w:rsidDel="00000000" w:rsidR="00000000" w:rsidRPr="00000000">
        <w:rPr>
          <w:rFonts w:ascii="Calibri" w:cs="Calibri" w:eastAsia="Calibri" w:hAnsi="Calibri"/>
          <w:color w:val="0000ff"/>
          <w:sz w:val="21"/>
          <w:szCs w:val="21"/>
          <w:rtl w:val="0"/>
        </w:rPr>
        <w:t xml:space="preserve">2025</w:t>
      </w:r>
      <w:r w:rsidDel="00000000" w:rsidR="00000000" w:rsidRPr="00000000">
        <w:rPr>
          <w:rFonts w:ascii="Calibri" w:cs="Calibri" w:eastAsia="Calibri" w:hAnsi="Calibri"/>
          <w:sz w:val="21"/>
          <w:szCs w:val="21"/>
          <w:rtl w:val="0"/>
        </w:rPr>
        <w:t xml:space="preserve">, p. 21; TraviesoGonzález, </w:t>
      </w:r>
      <w:r w:rsidDel="00000000" w:rsidR="00000000" w:rsidRPr="00000000">
        <w:rPr>
          <w:rFonts w:ascii="Calibri" w:cs="Calibri" w:eastAsia="Calibri" w:hAnsi="Calibri"/>
          <w:color w:val="0000ff"/>
          <w:sz w:val="21"/>
          <w:szCs w:val="21"/>
          <w:rtl w:val="0"/>
        </w:rPr>
        <w:t xml:space="preserve">2025</w:t>
      </w:r>
      <w:r w:rsidDel="00000000" w:rsidR="00000000" w:rsidRPr="00000000">
        <w:rPr>
          <w:rFonts w:ascii="Calibri" w:cs="Calibri" w:eastAsia="Calibri" w:hAnsi="Calibri"/>
          <w:sz w:val="21"/>
          <w:szCs w:val="21"/>
          <w:rtl w:val="0"/>
        </w:rPr>
        <w:t xml:space="preserve">, p. 3). Third, governance mechanisms through independent auditing and transparency are actionable. AI laws are proposing audits and registration, and democratic recommendations for content-policy and diversity governance, under which independent audit is required annually (T et al., </w:t>
      </w:r>
      <w:r w:rsidDel="00000000" w:rsidR="00000000" w:rsidRPr="00000000">
        <w:rPr>
          <w:rFonts w:ascii="Calibri" w:cs="Calibri" w:eastAsia="Calibri" w:hAnsi="Calibri"/>
          <w:color w:val="0000ff"/>
          <w:sz w:val="21"/>
          <w:szCs w:val="21"/>
          <w:rtl w:val="0"/>
        </w:rPr>
        <w:t xml:space="preserve">2026 </w:t>
      </w:r>
      <w:r w:rsidDel="00000000" w:rsidR="00000000" w:rsidRPr="00000000">
        <w:rPr>
          <w:rFonts w:ascii="Calibri" w:cs="Calibri" w:eastAsia="Calibri" w:hAnsi="Calibri"/>
          <w:sz w:val="21"/>
          <w:szCs w:val="21"/>
          <w:rtl w:val="0"/>
        </w:rPr>
        <w:t xml:space="preserve">p. 16, Kostenko </w:t>
      </w:r>
      <w:r w:rsidDel="00000000" w:rsidR="00000000" w:rsidRPr="00000000">
        <w:rPr>
          <w:rFonts w:ascii="Calibri" w:cs="Calibri" w:eastAsia="Calibri" w:hAnsi="Calibri"/>
          <w:color w:val="0000ff"/>
          <w:sz w:val="21"/>
          <w:szCs w:val="21"/>
          <w:rtl w:val="0"/>
        </w:rPr>
        <w:t xml:space="preserve">2025 </w:t>
      </w:r>
      <w:r w:rsidDel="00000000" w:rsidR="00000000" w:rsidRPr="00000000">
        <w:rPr>
          <w:rFonts w:ascii="Calibri" w:cs="Calibri" w:eastAsia="Calibri" w:hAnsi="Calibri"/>
          <w:sz w:val="21"/>
          <w:szCs w:val="21"/>
          <w:rtl w:val="0"/>
        </w:rPr>
        <w:t xml:space="preserve">p. 244). Therefore, the Toolkit this study builds is deployed within known regulations and system behaviours and is not dependent on proprietary model weights or data from the internal platform.</w:t>
      </w:r>
    </w:p>
    <w:p w:rsidR="00000000" w:rsidDel="00000000" w:rsidP="00000000" w:rsidRDefault="00000000" w:rsidRPr="00000000" w14:paraId="00000016">
      <w:pPr>
        <w:pStyle w:val="Heading2"/>
        <w:numPr>
          <w:ilvl w:val="1"/>
          <w:numId w:val="1"/>
        </w:numPr>
        <w:spacing w:after="106" w:line="259" w:lineRule="auto"/>
        <w:ind w:left="618" w:hanging="633"/>
        <w:jc w:val="left"/>
        <w:rPr>
          <w:rFonts w:ascii="Calibri" w:cs="Calibri" w:eastAsia="Calibri" w:hAnsi="Calibri"/>
          <w:b w:val="1"/>
          <w:bCs w:val="1"/>
          <w:sz w:val="27"/>
          <w:szCs w:val="27"/>
        </w:rPr>
      </w:pPr>
      <w:bookmarkStart w:colFirst="0" w:colLast="0" w:name="_q1cqb34exsd2" w:id="4"/>
      <w:bookmarkEnd w:id="4"/>
      <w:r w:rsidDel="00000000" w:rsidR="00000000" w:rsidRPr="00000000">
        <w:rPr>
          <w:rFonts w:ascii="Calibri" w:cs="Calibri" w:eastAsia="Calibri" w:hAnsi="Calibri"/>
          <w:sz w:val="27"/>
          <w:szCs w:val="27"/>
          <w:rtl w:val="0"/>
        </w:rPr>
        <w:t xml:space="preserve">Conceptual Clarification of Algorithmic Addiction</w:t>
      </w:r>
    </w:p>
    <w:p w:rsidR="00000000" w:rsidDel="00000000" w:rsidP="00000000" w:rsidRDefault="00000000" w:rsidRPr="00000000" w14:paraId="00000017">
      <w:pPr>
        <w:spacing w:after="110" w:line="323" w:lineRule="auto"/>
        <w:ind w:left="-5" w:right="447" w:hanging="1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Short-video platforms offer the clearest empirical entry point. Neural-network recommendation engines continuously optimise content matching, using micro-duration stimuli and variable reward schedules to trigger dopamine release and induce an "auto-pilot mode" of persistent scrolling (Li, </w:t>
      </w:r>
      <w:r w:rsidDel="00000000" w:rsidR="00000000" w:rsidRPr="00000000">
        <w:rPr>
          <w:rFonts w:ascii="Calibri" w:cs="Calibri" w:eastAsia="Calibri" w:hAnsi="Calibri"/>
          <w:color w:val="0000ff"/>
          <w:sz w:val="21"/>
          <w:szCs w:val="21"/>
          <w:rtl w:val="0"/>
        </w:rPr>
        <w:t xml:space="preserve">2026</w:t>
      </w:r>
      <w:r w:rsidDel="00000000" w:rsidR="00000000" w:rsidRPr="00000000">
        <w:rPr>
          <w:rFonts w:ascii="Calibri" w:cs="Calibri" w:eastAsia="Calibri" w:hAnsi="Calibri"/>
          <w:sz w:val="21"/>
          <w:szCs w:val="21"/>
          <w:rtl w:val="0"/>
        </w:rPr>
        <w:t xml:space="preserve">, p. 2), already scrutinised under the DSA where infinite scrolling, autoplay and push notifications were investigated as systematic manipulative features impairing free and informed choice. College students illustrate the developmental-vulnerability dimension: their unstable self-identity and incompletely matured executive functions render them susceptible to excessive use, associated with diminished academic concentration, weakened social skills, and heightened anxiety, depression and behavioural addiction. Longitudinal data (Li, </w:t>
      </w:r>
      <w:r w:rsidDel="00000000" w:rsidR="00000000" w:rsidRPr="00000000">
        <w:rPr>
          <w:rFonts w:ascii="Calibri" w:cs="Calibri" w:eastAsia="Calibri" w:hAnsi="Calibri"/>
          <w:color w:val="0000ff"/>
          <w:sz w:val="21"/>
          <w:szCs w:val="21"/>
          <w:rtl w:val="0"/>
        </w:rPr>
        <w:t xml:space="preserve">2026</w:t>
      </w:r>
      <w:r w:rsidDel="00000000" w:rsidR="00000000" w:rsidRPr="00000000">
        <w:rPr>
          <w:rFonts w:ascii="Calibri" w:cs="Calibri" w:eastAsia="Calibri" w:hAnsi="Calibri"/>
          <w:sz w:val="21"/>
          <w:szCs w:val="21"/>
          <w:rtl w:val="0"/>
        </w:rPr>
        <w:t xml:space="preserve">, p. 2) specifically tracking recommendation-system effects on executive-function development in this cohort remain scarce, which constrains causal inference about platform-specific harm.</w:t>
      </w:r>
    </w:p>
    <w:p w:rsidR="00000000" w:rsidDel="00000000" w:rsidP="00000000" w:rsidRDefault="00000000" w:rsidRPr="00000000" w14:paraId="00000018">
      <w:pPr>
        <w:spacing w:after="138" w:line="323" w:lineRule="auto"/>
        <w:ind w:left="-5" w:right="447" w:hanging="1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This report therefore defines algorithmic addiction as compulsive engagement emerging from the interaction of personalised recommendation logic, interface-level stimuli, and user vulnerabilities that limit reflective control. Social-media recommender research extends the concept beyond short video: engagement-driven prioritisation (Hu, </w:t>
      </w:r>
      <w:r w:rsidDel="00000000" w:rsidR="00000000" w:rsidRPr="00000000">
        <w:rPr>
          <w:rFonts w:ascii="Calibri" w:cs="Calibri" w:eastAsia="Calibri" w:hAnsi="Calibri"/>
          <w:sz w:val="21"/>
          <w:szCs w:val="21"/>
          <w:rtl w:val="0"/>
        </w:rPr>
        <w:t xml:space="preserve">2025</w:t>
      </w:r>
      <w:r w:rsidDel="00000000" w:rsidR="00000000" w:rsidRPr="00000000">
        <w:rPr>
          <w:rFonts w:ascii="Calibri" w:cs="Calibri" w:eastAsia="Calibri" w:hAnsi="Calibri"/>
          <w:sz w:val="21"/>
          <w:szCs w:val="21"/>
          <w:rtl w:val="0"/>
        </w:rPr>
        <w:t xml:space="preserve">, p. 19) amplifies misinformation and reinforces societal polarisation, so platforms simultaneously connect users and erode their cognitive autonomy. </w:t>
      </w:r>
      <w:r w:rsidDel="00000000" w:rsidR="00000000" w:rsidRPr="00000000">
        <w:rPr>
          <w:rFonts w:ascii="Calibri" w:cs="Calibri" w:eastAsia="Calibri" w:hAnsi="Calibri"/>
          <w:sz w:val="21"/>
          <w:szCs w:val="21"/>
          <w:rtl w:val="0"/>
        </w:rPr>
        <w:t xml:space="preserve">Collaborative-filtering architectures chronically boost high-arousal content. Instagram's emphasis on body-negative content and the resulting drop in self-esteem among adolescent women of colour highlights the harm being caused, while users are largely unaware of the curation behind this.</w:t>
      </w:r>
    </w:p>
    <w:p w:rsidR="00000000" w:rsidDel="00000000" w:rsidP="00000000" w:rsidRDefault="00000000" w:rsidRPr="00000000" w14:paraId="00000019">
      <w:pPr>
        <w:spacing w:after="110" w:line="323" w:lineRule="auto"/>
        <w:ind w:left="-5" w:right="447" w:hanging="1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numbers of depressive symptoms were severe, as user groups in Hu's data were more than 23% more likely to report depressive symptoms than chronological groups (Hu, </w:t>
      </w:r>
      <w:r w:rsidDel="00000000" w:rsidR="00000000" w:rsidRPr="00000000">
        <w:rPr>
          <w:rFonts w:ascii="Calibri" w:cs="Calibri" w:eastAsia="Calibri" w:hAnsi="Calibri"/>
          <w:color w:val="0000ff"/>
          <w:sz w:val="21"/>
          <w:szCs w:val="21"/>
          <w:rtl w:val="0"/>
        </w:rPr>
        <w:t xml:space="preserve">2025</w:t>
      </w:r>
      <w:r w:rsidDel="00000000" w:rsidR="00000000" w:rsidRPr="00000000">
        <w:rPr>
          <w:rFonts w:ascii="Calibri" w:cs="Calibri" w:eastAsia="Calibri" w:hAnsi="Calibri"/>
          <w:sz w:val="21"/>
          <w:szCs w:val="21"/>
          <w:rtl w:val="0"/>
        </w:rPr>
        <w:t xml:space="preserve">, p. 2; Li, </w:t>
      </w:r>
      <w:r w:rsidDel="00000000" w:rsidR="00000000" w:rsidRPr="00000000">
        <w:rPr>
          <w:rFonts w:ascii="Calibri" w:cs="Calibri" w:eastAsia="Calibri" w:hAnsi="Calibri"/>
          <w:color w:val="0000ff"/>
          <w:sz w:val="21"/>
          <w:szCs w:val="21"/>
          <w:rtl w:val="0"/>
        </w:rPr>
        <w:t xml:space="preserve">2026</w:t>
      </w:r>
      <w:r w:rsidDel="00000000" w:rsidR="00000000" w:rsidRPr="00000000">
        <w:rPr>
          <w:rFonts w:ascii="Calibri" w:cs="Calibri" w:eastAsia="Calibri" w:hAnsi="Calibri"/>
          <w:sz w:val="21"/>
          <w:szCs w:val="21"/>
          <w:rtl w:val="0"/>
        </w:rPr>
        <w:t xml:space="preserve">, p. 2). Algorithmically amplified “doomscrolling” (Hu, </w:t>
      </w:r>
      <w:r w:rsidDel="00000000" w:rsidR="00000000" w:rsidRPr="00000000">
        <w:rPr>
          <w:rFonts w:ascii="Calibri" w:cs="Calibri" w:eastAsia="Calibri" w:hAnsi="Calibri"/>
          <w:color w:val="0000ff"/>
          <w:sz w:val="21"/>
          <w:szCs w:val="21"/>
          <w:rtl w:val="0"/>
        </w:rPr>
        <w:t xml:space="preserve">2025</w:t>
      </w:r>
      <w:r w:rsidDel="00000000" w:rsidR="00000000" w:rsidRPr="00000000">
        <w:rPr>
          <w:rFonts w:ascii="Calibri" w:cs="Calibri" w:eastAsia="Calibri" w:hAnsi="Calibri"/>
          <w:sz w:val="21"/>
          <w:szCs w:val="21"/>
          <w:rtl w:val="0"/>
        </w:rPr>
        <w:t xml:space="preserve">, p. 3) has been linked neuroimaging-wise to reduced activity in the prefrontal cortex, similar to that found in substance-dependence patterns.  The only evidence of compulsive checking in the dopamine-driven feedback loop confirms that recommended logics and interface affordances induce high-arousal responses that impair emotional regulation and gradually affect impulse control over time (Hu </w:t>
      </w:r>
      <w:r w:rsidDel="00000000" w:rsidR="00000000" w:rsidRPr="00000000">
        <w:rPr>
          <w:rFonts w:ascii="Calibri" w:cs="Calibri" w:eastAsia="Calibri" w:hAnsi="Calibri"/>
          <w:color w:val="0000ff"/>
          <w:sz w:val="21"/>
          <w:szCs w:val="21"/>
          <w:rtl w:val="0"/>
        </w:rPr>
        <w:t xml:space="preserve">2025</w:t>
      </w:r>
      <w:r w:rsidDel="00000000" w:rsidR="00000000" w:rsidRPr="00000000">
        <w:rPr>
          <w:rFonts w:ascii="Calibri" w:cs="Calibri" w:eastAsia="Calibri" w:hAnsi="Calibri"/>
          <w:sz w:val="21"/>
          <w:szCs w:val="21"/>
          <w:rtl w:val="0"/>
        </w:rPr>
        <w:t xml:space="preserve">, p. 2; Li </w:t>
      </w:r>
      <w:r w:rsidDel="00000000" w:rsidR="00000000" w:rsidRPr="00000000">
        <w:rPr>
          <w:rFonts w:ascii="Calibri" w:cs="Calibri" w:eastAsia="Calibri" w:hAnsi="Calibri"/>
          <w:color w:val="0000ff"/>
          <w:sz w:val="21"/>
          <w:szCs w:val="21"/>
          <w:rtl w:val="0"/>
        </w:rPr>
        <w:t xml:space="preserve">2026</w:t>
      </w:r>
      <w:r w:rsidDel="00000000" w:rsidR="00000000" w:rsidRPr="00000000">
        <w:rPr>
          <w:rFonts w:ascii="Calibri" w:cs="Calibri" w:eastAsia="Calibri" w:hAnsi="Calibri"/>
          <w:sz w:val="21"/>
          <w:szCs w:val="21"/>
          <w:rtl w:val="0"/>
        </w:rPr>
        <w:t xml:space="preserve">, p. 2).</w:t>
      </w:r>
    </w:p>
    <w:p w:rsidR="00000000" w:rsidDel="00000000" w:rsidP="00000000" w:rsidRDefault="00000000" w:rsidRPr="00000000" w14:paraId="0000001A">
      <w:pPr>
        <w:spacing w:after="110" w:line="323" w:lineRule="auto"/>
        <w:ind w:left="-5" w:right="312" w:hanging="1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Normative boundaries provided by ethical and legal models. Kostenko’s ethical-responsibility principle (Kostenko, </w:t>
      </w:r>
      <w:r w:rsidDel="00000000" w:rsidR="00000000" w:rsidRPr="00000000">
        <w:rPr>
          <w:rFonts w:ascii="Calibri" w:cs="Calibri" w:eastAsia="Calibri" w:hAnsi="Calibri"/>
          <w:color w:val="0000ff"/>
          <w:sz w:val="21"/>
          <w:szCs w:val="21"/>
          <w:rtl w:val="0"/>
        </w:rPr>
        <w:t xml:space="preserve">2025</w:t>
      </w:r>
      <w:r w:rsidDel="00000000" w:rsidR="00000000" w:rsidRPr="00000000">
        <w:rPr>
          <w:rFonts w:ascii="Calibri" w:cs="Calibri" w:eastAsia="Calibri" w:hAnsi="Calibri"/>
          <w:sz w:val="21"/>
          <w:szCs w:val="21"/>
          <w:rtl w:val="0"/>
        </w:rPr>
        <w:t xml:space="preserve">, pp. 61–62) bans systems that influence behaviour or lead to digital addiction while specifying that the creation of psychoemotional comfort is a necessary prerequisite for informed decision-making. The digital-neutrality principle calls for documented decision logic and independent auditing, acknowledging proven manipulation as a risk to digital sovereignty (Kostenko, </w:t>
      </w:r>
      <w:r w:rsidDel="00000000" w:rsidR="00000000" w:rsidRPr="00000000">
        <w:rPr>
          <w:rFonts w:ascii="Calibri" w:cs="Calibri" w:eastAsia="Calibri" w:hAnsi="Calibri"/>
          <w:color w:val="0000ff"/>
          <w:sz w:val="21"/>
          <w:szCs w:val="21"/>
          <w:rtl w:val="0"/>
        </w:rPr>
        <w:t xml:space="preserve">2025</w:t>
      </w:r>
      <w:r w:rsidDel="00000000" w:rsidR="00000000" w:rsidRPr="00000000">
        <w:rPr>
          <w:rFonts w:ascii="Calibri" w:cs="Calibri" w:eastAsia="Calibri" w:hAnsi="Calibri"/>
          <w:sz w:val="21"/>
          <w:szCs w:val="21"/>
          <w:rtl w:val="0"/>
        </w:rPr>
        <w:t xml:space="preserve">, p. 109). Algorithmic addiction is therefore represented as the breach of these duties, which is a state in which an optimisation of engagement and profit creates compulsive, autonomy-diminishing consumption (Kostenko, </w:t>
      </w:r>
      <w:r w:rsidDel="00000000" w:rsidR="00000000" w:rsidRPr="00000000">
        <w:rPr>
          <w:rFonts w:ascii="Calibri" w:cs="Calibri" w:eastAsia="Calibri" w:hAnsi="Calibri"/>
          <w:color w:val="0000ff"/>
          <w:sz w:val="21"/>
          <w:szCs w:val="21"/>
          <w:rtl w:val="0"/>
        </w:rPr>
        <w:t xml:space="preserve">2025</w:t>
      </w:r>
      <w:r w:rsidDel="00000000" w:rsidR="00000000" w:rsidRPr="00000000">
        <w:rPr>
          <w:rFonts w:ascii="Calibri" w:cs="Calibri" w:eastAsia="Calibri" w:hAnsi="Calibri"/>
          <w:sz w:val="21"/>
          <w:szCs w:val="21"/>
          <w:rtl w:val="0"/>
        </w:rPr>
        <w:t xml:space="preserve">, pp. 61–62; Kostenko, </w:t>
      </w:r>
      <w:r w:rsidDel="00000000" w:rsidR="00000000" w:rsidRPr="00000000">
        <w:rPr>
          <w:rFonts w:ascii="Calibri" w:cs="Calibri" w:eastAsia="Calibri" w:hAnsi="Calibri"/>
          <w:color w:val="0000ff"/>
          <w:sz w:val="21"/>
          <w:szCs w:val="21"/>
          <w:rtl w:val="0"/>
        </w:rPr>
        <w:t xml:space="preserve">2025</w:t>
      </w:r>
      <w:r w:rsidDel="00000000" w:rsidR="00000000" w:rsidRPr="00000000">
        <w:rPr>
          <w:rFonts w:ascii="Calibri" w:cs="Calibri" w:eastAsia="Calibri" w:hAnsi="Calibri"/>
          <w:sz w:val="21"/>
          <w:szCs w:val="21"/>
          <w:rtl w:val="0"/>
        </w:rPr>
        <w:t xml:space="preserve">, p. 109; Hu, </w:t>
      </w:r>
      <w:r w:rsidDel="00000000" w:rsidR="00000000" w:rsidRPr="00000000">
        <w:rPr>
          <w:rFonts w:ascii="Calibri" w:cs="Calibri" w:eastAsia="Calibri" w:hAnsi="Calibri"/>
          <w:color w:val="0000ff"/>
          <w:sz w:val="21"/>
          <w:szCs w:val="21"/>
          <w:rtl w:val="0"/>
        </w:rPr>
        <w:t xml:space="preserve">2025</w:t>
      </w:r>
      <w:r w:rsidDel="00000000" w:rsidR="00000000" w:rsidRPr="00000000">
        <w:rPr>
          <w:rFonts w:ascii="Calibri" w:cs="Calibri" w:eastAsia="Calibri" w:hAnsi="Calibri"/>
          <w:sz w:val="21"/>
          <w:szCs w:val="21"/>
          <w:rtl w:val="0"/>
        </w:rPr>
        <w:t xml:space="preserve">, p. 19; Li, </w:t>
      </w:r>
      <w:r w:rsidDel="00000000" w:rsidR="00000000" w:rsidRPr="00000000">
        <w:rPr>
          <w:rFonts w:ascii="Calibri" w:cs="Calibri" w:eastAsia="Calibri" w:hAnsi="Calibri"/>
          <w:color w:val="0000ff"/>
          <w:sz w:val="21"/>
          <w:szCs w:val="21"/>
          <w:rtl w:val="0"/>
        </w:rPr>
        <w:t xml:space="preserve">2026</w:t>
      </w:r>
      <w:r w:rsidDel="00000000" w:rsidR="00000000" w:rsidRPr="00000000">
        <w:rPr>
          <w:rFonts w:ascii="Calibri" w:cs="Calibri" w:eastAsia="Calibri" w:hAnsi="Calibri"/>
          <w:sz w:val="21"/>
          <w:szCs w:val="21"/>
          <w:rtl w:val="0"/>
        </w:rPr>
        <w:t xml:space="preserve">, p. 2).</w:t>
      </w:r>
    </w:p>
    <w:p w:rsidR="00000000" w:rsidDel="00000000" w:rsidP="00000000" w:rsidRDefault="00000000" w:rsidRPr="00000000" w14:paraId="0000001B">
      <w:pPr>
        <w:spacing w:after="335" w:line="323" w:lineRule="auto"/>
        <w:ind w:left="-5" w:right="447" w:hanging="1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Social connections are often used in matrix factorisation-based recommenders to refine personalisation. Both explicit friendships and implied implicit connections can be combined into probabilistic matrix factorisation to not only drive engagement loops but also enhance relevance with a minimal trade-off in predictive accuracy (Reafee et al., </w:t>
      </w:r>
      <w:r w:rsidDel="00000000" w:rsidR="00000000" w:rsidRPr="00000000">
        <w:rPr>
          <w:rFonts w:ascii="Calibri" w:cs="Calibri" w:eastAsia="Calibri" w:hAnsi="Calibri"/>
          <w:color w:val="0000ff"/>
          <w:sz w:val="21"/>
          <w:szCs w:val="21"/>
          <w:rtl w:val="0"/>
        </w:rPr>
        <w:t xml:space="preserve">2016</w:t>
      </w:r>
      <w:r w:rsidDel="00000000" w:rsidR="00000000" w:rsidRPr="00000000">
        <w:rPr>
          <w:rFonts w:ascii="Calibri" w:cs="Calibri" w:eastAsia="Calibri" w:hAnsi="Calibri"/>
          <w:sz w:val="21"/>
          <w:szCs w:val="21"/>
          <w:rtl w:val="0"/>
        </w:rPr>
        <w:t xml:space="preserve">, p. 2). There have been no studies on whether a social-tie fusion increases compulsive rates as much as a content-driven signal.</w:t>
      </w:r>
    </w:p>
    <w:p w:rsidR="00000000" w:rsidDel="00000000" w:rsidP="00000000" w:rsidRDefault="00000000" w:rsidRPr="00000000" w14:paraId="0000001C">
      <w:pPr>
        <w:pStyle w:val="Heading2"/>
        <w:numPr>
          <w:ilvl w:val="1"/>
          <w:numId w:val="1"/>
        </w:numPr>
        <w:spacing w:after="106" w:line="259" w:lineRule="auto"/>
        <w:ind w:left="618" w:hanging="633"/>
        <w:jc w:val="left"/>
        <w:rPr>
          <w:rFonts w:ascii="Calibri" w:cs="Calibri" w:eastAsia="Calibri" w:hAnsi="Calibri"/>
          <w:b w:val="1"/>
          <w:bCs w:val="1"/>
          <w:sz w:val="27"/>
          <w:szCs w:val="27"/>
        </w:rPr>
      </w:pPr>
      <w:bookmarkStart w:colFirst="0" w:colLast="0" w:name="_cjs5r0sgh8w8" w:id="5"/>
      <w:bookmarkEnd w:id="5"/>
      <w:r w:rsidDel="00000000" w:rsidR="00000000" w:rsidRPr="00000000">
        <w:rPr>
          <w:rFonts w:ascii="Calibri" w:cs="Calibri" w:eastAsia="Calibri" w:hAnsi="Calibri"/>
          <w:sz w:val="27"/>
          <w:szCs w:val="27"/>
          <w:rtl w:val="0"/>
        </w:rPr>
        <w:t xml:space="preserve">Positioning within Management and AI Ethics Scholarship</w:t>
      </w:r>
    </w:p>
    <w:p w:rsidR="00000000" w:rsidDel="00000000" w:rsidP="00000000" w:rsidRDefault="00000000" w:rsidRPr="00000000" w14:paraId="0000001D">
      <w:pPr>
        <w:spacing w:after="135" w:line="323" w:lineRule="auto"/>
        <w:ind w:left="-5" w:right="447" w:hanging="1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Ethical governance of AI is considered by management as an organisational learning and control issue. Communities of Practice (CoP) are viewed as social learning systems in which the capacity of professionals relies on their participation and collaborative problem solving (Asante &amp; Adeoba, 2026, p.3). Ethical AI in marketing is context-conditional and evolves continuously to induce knowledge in the rules. Thematic analysis is recommended to have a summary of the shifting pieces of evidence to understand how organisational mechanisms facilitate responsible AI implementation (Asante &amp; Adeoba, 2026, p. 8). The implication for this thesis is simple: an audit framework should be part of governance practice; it should not be left as a list of questions that are only reviewed once a year.</w:t>
      </w:r>
    </w:p>
    <w:p w:rsidR="00000000" w:rsidDel="00000000" w:rsidP="00000000" w:rsidRDefault="00000000" w:rsidRPr="00000000" w14:paraId="0000001E">
      <w:pPr>
        <w:spacing w:after="135" w:line="323" w:lineRule="auto"/>
        <w:ind w:left="-5" w:right="447" w:hanging="1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CSR serves as the governance connecting point. It institutionalises the coP product, such as insight into commitments, policies, and accountability practices as routines of AI design, data management and performance measurement (Asante &amp; Adeoba, 2026, p. 16; Asante &amp; Adeoba, 2026, p. 11). The ethics aspirations can be made real and measurable in firms through algorithm audits, AI ethics committees, and CSR metrics (Asante &amp; Adeoba, 2026, p. 16). Stakeholder trust is not achieved through technical efficiency only; it lies in transparency, privacy, fairness and responsible personalisation. The factors of perceived control and clarity are both required for consumers to accept AI-driven advertising, meaning that adopting any recommender auditing framework must tackle these aspects to be managerially relevant (Asante &amp; Adeoba, 2026, p. 16; Asante &amp; Adeoba, 2026, p. 11; Asante &amp; Adeoba, 2026, p. 3).</w:t>
      </w:r>
    </w:p>
    <w:p w:rsidR="00000000" w:rsidDel="00000000" w:rsidP="00000000" w:rsidRDefault="00000000" w:rsidRPr="00000000" w14:paraId="0000001F">
      <w:pPr>
        <w:spacing w:after="110" w:line="323" w:lineRule="auto"/>
        <w:ind w:left="-5" w:right="447" w:hanging="1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Proposals for parallel AI governance provide an external normative frame. The AI Law Model is the process of obliging the use of AI, making it explainable and giving it human oversight, guaranteeing critical decisions, and protecting groups of vulnerability (Kostenko, </w:t>
      </w:r>
      <w:r w:rsidDel="00000000" w:rsidR="00000000" w:rsidRPr="00000000">
        <w:rPr>
          <w:rFonts w:ascii="Calibri" w:cs="Calibri" w:eastAsia="Calibri" w:hAnsi="Calibri"/>
          <w:color w:val="0000ff"/>
          <w:sz w:val="21"/>
          <w:szCs w:val="21"/>
          <w:rtl w:val="0"/>
        </w:rPr>
        <w:t xml:space="preserve">2025</w:t>
      </w:r>
      <w:r w:rsidDel="00000000" w:rsidR="00000000" w:rsidRPr="00000000">
        <w:rPr>
          <w:rFonts w:ascii="Calibri" w:cs="Calibri" w:eastAsia="Calibri" w:hAnsi="Calibri"/>
          <w:sz w:val="21"/>
          <w:szCs w:val="21"/>
          <w:rtl w:val="0"/>
        </w:rPr>
        <w:t xml:space="preserve">, p. 9).  It can be done through the obligations of notification of AI use, explanation, obligations for human control over critical decisions, and protection of vulnerable groups. These are accompanied by the creation of national AI expert councils, accreditation of auditors and dynamic reclassification of risks. This is aligned with management's demand for independent audits and external oversight committees (Kostenko, </w:t>
      </w:r>
      <w:r w:rsidDel="00000000" w:rsidR="00000000" w:rsidRPr="00000000">
        <w:rPr>
          <w:rFonts w:ascii="Calibri" w:cs="Calibri" w:eastAsia="Calibri" w:hAnsi="Calibri"/>
          <w:color w:val="0000ff"/>
          <w:sz w:val="21"/>
          <w:szCs w:val="21"/>
          <w:rtl w:val="0"/>
        </w:rPr>
        <w:t xml:space="preserve">2025</w:t>
      </w:r>
      <w:r w:rsidDel="00000000" w:rsidR="00000000" w:rsidRPr="00000000">
        <w:rPr>
          <w:rFonts w:ascii="Calibri" w:cs="Calibri" w:eastAsia="Calibri" w:hAnsi="Calibri"/>
          <w:sz w:val="21"/>
          <w:szCs w:val="21"/>
          <w:rtl w:val="0"/>
        </w:rPr>
        <w:t xml:space="preserve">, p. 9; Bahangulu &amp; Owusu-Berko, </w:t>
      </w:r>
      <w:r w:rsidDel="00000000" w:rsidR="00000000" w:rsidRPr="00000000">
        <w:rPr>
          <w:rFonts w:ascii="Calibri" w:cs="Calibri" w:eastAsia="Calibri" w:hAnsi="Calibri"/>
          <w:color w:val="0000ff"/>
          <w:sz w:val="21"/>
          <w:szCs w:val="21"/>
          <w:rtl w:val="0"/>
        </w:rPr>
        <w:t xml:space="preserve">2025</w:t>
      </w:r>
      <w:r w:rsidDel="00000000" w:rsidR="00000000" w:rsidRPr="00000000">
        <w:rPr>
          <w:rFonts w:ascii="Calibri" w:cs="Calibri" w:eastAsia="Calibri" w:hAnsi="Calibri"/>
          <w:sz w:val="21"/>
          <w:szCs w:val="21"/>
          <w:rtl w:val="0"/>
        </w:rPr>
        <w:t xml:space="preserve">, p. 9). There is limited evidence in the financial and healthcare sectors on how these councils and auditors operate unless they are transparent in their activities, under “black box conditions” (Kostenko, </w:t>
      </w:r>
      <w:r w:rsidDel="00000000" w:rsidR="00000000" w:rsidRPr="00000000">
        <w:rPr>
          <w:rFonts w:ascii="Calibri" w:cs="Calibri" w:eastAsia="Calibri" w:hAnsi="Calibri"/>
          <w:color w:val="0000ff"/>
          <w:sz w:val="21"/>
          <w:szCs w:val="21"/>
          <w:rtl w:val="0"/>
        </w:rPr>
        <w:t xml:space="preserve">2025</w:t>
      </w:r>
      <w:r w:rsidDel="00000000" w:rsidR="00000000" w:rsidRPr="00000000">
        <w:rPr>
          <w:rFonts w:ascii="Calibri" w:cs="Calibri" w:eastAsia="Calibri" w:hAnsi="Calibri"/>
          <w:sz w:val="21"/>
          <w:szCs w:val="21"/>
          <w:rtl w:val="0"/>
        </w:rPr>
        <w:t xml:space="preserve">: 9), but not in others, such as social media.</w:t>
      </w:r>
    </w:p>
    <w:p w:rsidR="00000000" w:rsidDel="00000000" w:rsidP="00000000" w:rsidRDefault="00000000" w:rsidRPr="00000000" w14:paraId="00000020">
      <w:pPr>
        <w:spacing w:after="385" w:line="323" w:lineRule="auto"/>
        <w:ind w:left="-5" w:right="447" w:hanging="1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This is bolstered by digital consumer and financial-ethics research. Explainability and automation-bias concerns are highlighted for AI embedded in financial decision support (Raaj S. et al., </w:t>
      </w:r>
      <w:r w:rsidDel="00000000" w:rsidR="00000000" w:rsidRPr="00000000">
        <w:rPr>
          <w:rFonts w:ascii="Calibri" w:cs="Calibri" w:eastAsia="Calibri" w:hAnsi="Calibri"/>
          <w:color w:val="0000ff"/>
          <w:sz w:val="21"/>
          <w:szCs w:val="21"/>
          <w:rtl w:val="0"/>
        </w:rPr>
        <w:t xml:space="preserve">2026</w:t>
      </w:r>
      <w:r w:rsidDel="00000000" w:rsidR="00000000" w:rsidRPr="00000000">
        <w:rPr>
          <w:rFonts w:ascii="Calibri" w:cs="Calibri" w:eastAsia="Calibri" w:hAnsi="Calibri"/>
          <w:sz w:val="21"/>
          <w:szCs w:val="21"/>
          <w:rtl w:val="0"/>
        </w:rPr>
        <w:t xml:space="preserve">, p. 3; Cao, </w:t>
      </w:r>
      <w:r w:rsidDel="00000000" w:rsidR="00000000" w:rsidRPr="00000000">
        <w:rPr>
          <w:rFonts w:ascii="Calibri" w:cs="Calibri" w:eastAsia="Calibri" w:hAnsi="Calibri"/>
          <w:color w:val="0000ff"/>
          <w:sz w:val="21"/>
          <w:szCs w:val="21"/>
          <w:rtl w:val="0"/>
        </w:rPr>
        <w:t xml:space="preserve">2026</w:t>
      </w:r>
      <w:r w:rsidDel="00000000" w:rsidR="00000000" w:rsidRPr="00000000">
        <w:rPr>
          <w:rFonts w:ascii="Calibri" w:cs="Calibri" w:eastAsia="Calibri" w:hAnsi="Calibri"/>
          <w:sz w:val="21"/>
          <w:szCs w:val="21"/>
          <w:rtl w:val="0"/>
        </w:rPr>
        <w:t xml:space="preserve">, p. 2). Fairness audits on discriminated-on attributes alone do not detect compounded subgroup disadvantage. Credit-decisioning evidence indicates that models trained on proxy variables will exhibit gender and intersectional discrimination without relying on the presence of protected attributes. (See Sebastian, </w:t>
      </w:r>
      <w:r w:rsidDel="00000000" w:rsidR="00000000" w:rsidRPr="00000000">
        <w:rPr>
          <w:rFonts w:ascii="Calibri" w:cs="Calibri" w:eastAsia="Calibri" w:hAnsi="Calibri"/>
          <w:color w:val="0000ff"/>
          <w:sz w:val="21"/>
          <w:szCs w:val="21"/>
          <w:rtl w:val="0"/>
        </w:rPr>
        <w:t xml:space="preserve">2025</w:t>
      </w:r>
      <w:r w:rsidDel="00000000" w:rsidR="00000000" w:rsidRPr="00000000">
        <w:rPr>
          <w:rFonts w:ascii="Calibri" w:cs="Calibri" w:eastAsia="Calibri" w:hAnsi="Calibri"/>
          <w:sz w:val="21"/>
          <w:szCs w:val="21"/>
          <w:rtl w:val="0"/>
        </w:rPr>
        <w:t xml:space="preserve">, p. 9 and Deldjoo et al., </w:t>
      </w:r>
      <w:r w:rsidDel="00000000" w:rsidR="00000000" w:rsidRPr="00000000">
        <w:rPr>
          <w:rFonts w:ascii="Calibri" w:cs="Calibri" w:eastAsia="Calibri" w:hAnsi="Calibri"/>
          <w:color w:val="0000ff"/>
          <w:sz w:val="21"/>
          <w:szCs w:val="21"/>
          <w:rtl w:val="0"/>
        </w:rPr>
        <w:t xml:space="preserve">2023a</w:t>
      </w:r>
      <w:r w:rsidDel="00000000" w:rsidR="00000000" w:rsidRPr="00000000">
        <w:rPr>
          <w:rFonts w:ascii="Calibri" w:cs="Calibri" w:eastAsia="Calibri" w:hAnsi="Calibri"/>
          <w:sz w:val="21"/>
          <w:szCs w:val="21"/>
          <w:rtl w:val="0"/>
        </w:rPr>
        <w:t xml:space="preserve">, p. 7). Ethical AI marketing and dark pattern laws are methodologically based on secondary research design of qualitative methodscon. It solidate texts from regulatory bodies and survey evidence where the access to the proprietary data is limited (Khare et al., </w:t>
      </w:r>
      <w:r w:rsidDel="00000000" w:rsidR="00000000" w:rsidRPr="00000000">
        <w:rPr>
          <w:rFonts w:ascii="Calibri" w:cs="Calibri" w:eastAsia="Calibri" w:hAnsi="Calibri"/>
          <w:color w:val="0000ff"/>
          <w:sz w:val="21"/>
          <w:szCs w:val="21"/>
          <w:rtl w:val="0"/>
        </w:rPr>
        <w:t xml:space="preserve">2026</w:t>
      </w:r>
      <w:r w:rsidDel="00000000" w:rsidR="00000000" w:rsidRPr="00000000">
        <w:rPr>
          <w:rFonts w:ascii="Calibri" w:cs="Calibri" w:eastAsia="Calibri" w:hAnsi="Calibri"/>
          <w:sz w:val="21"/>
          <w:szCs w:val="21"/>
          <w:rtl w:val="0"/>
        </w:rPr>
        <w:t xml:space="preserve">, p. 6; Asante &amp; Adeoba, </w:t>
      </w:r>
      <w:r w:rsidDel="00000000" w:rsidR="00000000" w:rsidRPr="00000000">
        <w:rPr>
          <w:rFonts w:ascii="Calibri" w:cs="Calibri" w:eastAsia="Calibri" w:hAnsi="Calibri"/>
          <w:color w:val="0000ff"/>
          <w:sz w:val="21"/>
          <w:szCs w:val="21"/>
          <w:rtl w:val="0"/>
        </w:rPr>
        <w:t xml:space="preserve">2026</w:t>
      </w:r>
      <w:r w:rsidDel="00000000" w:rsidR="00000000" w:rsidRPr="00000000">
        <w:rPr>
          <w:rFonts w:ascii="Calibri" w:cs="Calibri" w:eastAsia="Calibri" w:hAnsi="Calibri"/>
          <w:sz w:val="21"/>
          <w:szCs w:val="21"/>
          <w:rtl w:val="0"/>
        </w:rPr>
        <w:t xml:space="preserve">, p. 8). However, constructivism grounded theory requires the platforms to be approached as moral landscapes that affect identity and intention-behaviour gaps (Raaj S. et al., </w:t>
      </w:r>
      <w:r w:rsidDel="00000000" w:rsidR="00000000" w:rsidRPr="00000000">
        <w:rPr>
          <w:rFonts w:ascii="Calibri" w:cs="Calibri" w:eastAsia="Calibri" w:hAnsi="Calibri"/>
          <w:color w:val="0000ff"/>
          <w:sz w:val="21"/>
          <w:szCs w:val="21"/>
          <w:rtl w:val="0"/>
        </w:rPr>
        <w:t xml:space="preserve">2026</w:t>
      </w:r>
      <w:r w:rsidDel="00000000" w:rsidR="00000000" w:rsidRPr="00000000">
        <w:rPr>
          <w:rFonts w:ascii="Calibri" w:cs="Calibri" w:eastAsia="Calibri" w:hAnsi="Calibri"/>
          <w:sz w:val="21"/>
          <w:szCs w:val="21"/>
          <w:rtl w:val="0"/>
        </w:rPr>
        <w:t xml:space="preserve">, p. 3; Raaj S. et al., </w:t>
      </w:r>
      <w:r w:rsidDel="00000000" w:rsidR="00000000" w:rsidRPr="00000000">
        <w:rPr>
          <w:rFonts w:ascii="Calibri" w:cs="Calibri" w:eastAsia="Calibri" w:hAnsi="Calibri"/>
          <w:color w:val="0000ff"/>
          <w:sz w:val="21"/>
          <w:szCs w:val="21"/>
          <w:rtl w:val="0"/>
        </w:rPr>
        <w:t xml:space="preserve">2026</w:t>
      </w:r>
      <w:r w:rsidDel="00000000" w:rsidR="00000000" w:rsidRPr="00000000">
        <w:rPr>
          <w:rFonts w:ascii="Calibri" w:cs="Calibri" w:eastAsia="Calibri" w:hAnsi="Calibri"/>
          <w:sz w:val="21"/>
          <w:szCs w:val="21"/>
          <w:rtl w:val="0"/>
        </w:rPr>
        <w:t xml:space="preserve">, p. 5). Based on personalisation-based dark patterns studies, it is concluded that there is distortion in decisions caused by design characteristics of the interface that triggers loss aversion and anchoring (Zulfikar, </w:t>
      </w:r>
      <w:r w:rsidDel="00000000" w:rsidR="00000000" w:rsidRPr="00000000">
        <w:rPr>
          <w:rFonts w:ascii="Calibri" w:cs="Calibri" w:eastAsia="Calibri" w:hAnsi="Calibri"/>
          <w:color w:val="0000ff"/>
          <w:sz w:val="21"/>
          <w:szCs w:val="21"/>
          <w:rtl w:val="0"/>
        </w:rPr>
        <w:t xml:space="preserve">2026</w:t>
      </w:r>
      <w:r w:rsidDel="00000000" w:rsidR="00000000" w:rsidRPr="00000000">
        <w:rPr>
          <w:rFonts w:ascii="Calibri" w:cs="Calibri" w:eastAsia="Calibri" w:hAnsi="Calibri"/>
          <w:sz w:val="21"/>
          <w:szCs w:val="21"/>
          <w:rtl w:val="0"/>
        </w:rPr>
        <w:t xml:space="preserve">, p. 4</w:t>
      </w:r>
      <w:r w:rsidDel="00000000" w:rsidR="00000000" w:rsidRPr="00000000">
        <w:rPr>
          <w:rFonts w:ascii="Calibri" w:cs="Calibri" w:eastAsia="Calibri" w:hAnsi="Calibri"/>
          <w:sz w:val="21"/>
          <w:szCs w:val="21"/>
          <w:rtl w:val="0"/>
        </w:rPr>
        <w:t xml:space="preserve">). Therefore, there must be direct testing of manipulative elements and their mediators on the cognitive level by using audit protocol. Expert-AI-interaction studies reveal that interfaces that reveal uncertainty, while allowing users to reweight evaluative criteria, preserve professional agency (Tseng &amp; Lee, </w:t>
      </w:r>
      <w:r w:rsidDel="00000000" w:rsidR="00000000" w:rsidRPr="00000000">
        <w:rPr>
          <w:rFonts w:ascii="Calibri" w:cs="Calibri" w:eastAsia="Calibri" w:hAnsi="Calibri"/>
          <w:color w:val="0000ff"/>
          <w:sz w:val="21"/>
          <w:szCs w:val="21"/>
          <w:rtl w:val="0"/>
        </w:rPr>
        <w:t xml:space="preserve">2026</w:t>
      </w:r>
      <w:r w:rsidDel="00000000" w:rsidR="00000000" w:rsidRPr="00000000">
        <w:rPr>
          <w:rFonts w:ascii="Calibri" w:cs="Calibri" w:eastAsia="Calibri" w:hAnsi="Calibri"/>
          <w:sz w:val="21"/>
          <w:szCs w:val="21"/>
          <w:rtl w:val="0"/>
        </w:rPr>
        <w:t xml:space="preserve">, p. 6). This should be a formal requirement of CSR-framed audits, rather than being left to individual choice.</w:t>
      </w:r>
    </w:p>
    <w:p w:rsidR="00000000" w:rsidDel="00000000" w:rsidP="00000000" w:rsidRDefault="00000000" w:rsidRPr="00000000" w14:paraId="00000021">
      <w:pPr>
        <w:spacing w:after="384" w:line="323" w:lineRule="auto"/>
        <w:ind w:left="-5" w:right="447" w:hanging="10"/>
        <w:rPr>
          <w:color w:val="ff000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u w:val="none"/>
      </w:rPr>
    </w:lvl>
    <w:lvl w:ilvl="1">
      <w:start w:val="1"/>
      <w:numFmt w:val="decimal"/>
      <w:lvlText w:val="%1.%2"/>
      <w:lvlJc w:val="left"/>
      <w:pPr>
        <w:ind w:left="0" w:firstLine="0"/>
      </w:pPr>
      <w:rPr>
        <w:u w:val="none"/>
      </w:rPr>
    </w:lvl>
    <w:lvl w:ilvl="2">
      <w:start w:val="1"/>
      <w:numFmt w:val="decimal"/>
      <w:lvlText w:val="%1.%2.%3"/>
      <w:lvlJc w:val="left"/>
      <w:pPr>
        <w:ind w:left="0" w:firstLine="0"/>
      </w:pPr>
      <w:rPr>
        <w:u w:val="none"/>
      </w:rPr>
    </w:lvl>
    <w:lvl w:ilvl="3">
      <w:start w:val="1"/>
      <w:numFmt w:val="decimal"/>
      <w:lvlText w:val="%4"/>
      <w:lvlJc w:val="left"/>
      <w:pPr>
        <w:ind w:left="1080" w:hanging="1080"/>
      </w:pPr>
      <w:rPr>
        <w:u w:val="none"/>
      </w:rPr>
    </w:lvl>
    <w:lvl w:ilvl="4">
      <w:start w:val="1"/>
      <w:numFmt w:val="lowerLetter"/>
      <w:lvlText w:val="%5"/>
      <w:lvlJc w:val="left"/>
      <w:pPr>
        <w:ind w:left="1800" w:hanging="1800"/>
      </w:pPr>
      <w:rPr>
        <w:u w:val="none"/>
      </w:rPr>
    </w:lvl>
    <w:lvl w:ilvl="5">
      <w:start w:val="1"/>
      <w:numFmt w:val="lowerRoman"/>
      <w:lvlText w:val="%6"/>
      <w:lvlJc w:val="left"/>
      <w:pPr>
        <w:ind w:left="2520" w:hanging="2520"/>
      </w:pPr>
      <w:rPr>
        <w:u w:val="none"/>
      </w:rPr>
    </w:lvl>
    <w:lvl w:ilvl="6">
      <w:start w:val="1"/>
      <w:numFmt w:val="decimal"/>
      <w:lvlText w:val="%7"/>
      <w:lvlJc w:val="left"/>
      <w:pPr>
        <w:ind w:left="3240" w:hanging="3240"/>
      </w:pPr>
      <w:rPr>
        <w:u w:val="none"/>
      </w:rPr>
    </w:lvl>
    <w:lvl w:ilvl="7">
      <w:start w:val="1"/>
      <w:numFmt w:val="lowerLetter"/>
      <w:lvlText w:val="%8"/>
      <w:lvlJc w:val="left"/>
      <w:pPr>
        <w:ind w:left="3960" w:hanging="3960"/>
      </w:pPr>
      <w:rPr>
        <w:u w:val="none"/>
      </w:rPr>
    </w:lvl>
    <w:lvl w:ilvl="8">
      <w:start w:val="1"/>
      <w:numFmt w:val="lowerRoman"/>
      <w:lvlText w:val="%9"/>
      <w:lvlJc w:val="left"/>
      <w:pPr>
        <w:ind w:left="4680" w:hanging="46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8"/>
      <w:szCs w:val="28"/>
    </w:rPr>
  </w:style>
  <w:style w:type="paragraph" w:styleId="Heading2">
    <w:name w:val="heading 2"/>
    <w:basedOn w:val="Normal"/>
    <w:next w:val="Normal"/>
    <w:pPr>
      <w:keepNext w:val="1"/>
      <w:keepLines w:val="1"/>
    </w:pPr>
    <w:rPr>
      <w:b w:val="1"/>
      <w:bCs w:val="1"/>
      <w:sz w:val="26"/>
      <w:szCs w:val="26"/>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