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Algorithmic</w:t>
      </w:r>
      <w:r>
        <w:t xml:space="preserve"> </w:t>
      </w:r>
      <w:r>
        <w:t xml:space="preserve">Addiction</w:t>
      </w:r>
      <w:r>
        <w:t xml:space="preserve"> </w:t>
      </w:r>
      <w:r>
        <w:t xml:space="preserve">in</w:t>
      </w:r>
      <w:r>
        <w:t xml:space="preserve"> </w:t>
      </w:r>
      <w:r>
        <w:t xml:space="preserve">Social</w:t>
      </w:r>
      <w:r>
        <w:t xml:space="preserve"> </w:t>
      </w:r>
      <w:r>
        <w:t xml:space="preserve">Recommender</w:t>
      </w:r>
      <w:r>
        <w:t xml:space="preserve"> </w:t>
      </w:r>
      <w:r>
        <w:t xml:space="preserve">Systems:</w:t>
      </w:r>
      <w:r>
        <w:t xml:space="preserve"> </w:t>
      </w:r>
      <w:r>
        <w:t xml:space="preserve">Ethical</w:t>
      </w:r>
      <w:r>
        <w:t xml:space="preserve"> </w:t>
      </w:r>
      <w:r>
        <w:t xml:space="preserve">AI</w:t>
      </w:r>
      <w:r>
        <w:t xml:space="preserve"> </w:t>
      </w:r>
      <w:r>
        <w:t xml:space="preserve">Audit</w:t>
      </w:r>
      <w:r>
        <w:t xml:space="preserve"> </w:t>
      </w:r>
      <w:r>
        <w:t xml:space="preserve">Methodology</w:t>
      </w:r>
      <w:r>
        <w:t xml:space="preserve"> </w:t>
      </w:r>
      <w:r>
        <w:t xml:space="preserve">Prioritising</w:t>
      </w:r>
      <w:r>
        <w:t xml:space="preserve"> </w:t>
      </w:r>
      <w:r>
        <w:t xml:space="preserve">Silent</w:t>
      </w:r>
      <w:r>
        <w:t xml:space="preserve"> </w:t>
      </w:r>
      <w:r>
        <w:t xml:space="preserve">Profiling</w:t>
      </w:r>
      <w:r>
        <w:t xml:space="preserve"> </w:t>
      </w:r>
      <w:r>
        <w:t xml:space="preserve">Defaults,</w:t>
      </w:r>
      <w:r>
        <w:t xml:space="preserve"> </w:t>
      </w:r>
      <w:r>
        <w:t xml:space="preserve">Friction</w:t>
      </w:r>
      <w:r>
        <w:t xml:space="preserve"> </w:t>
      </w:r>
      <w:r>
        <w:t xml:space="preserve">Loaded</w:t>
      </w:r>
      <w:r>
        <w:t xml:space="preserve"> </w:t>
      </w:r>
      <w:r>
        <w:t xml:space="preserve">Opt</w:t>
      </w:r>
      <w:r>
        <w:t xml:space="preserve"> </w:t>
      </w:r>
      <w:r>
        <w:t xml:space="preserve">Out</w:t>
      </w:r>
      <w:r>
        <w:t xml:space="preserve"> </w:t>
      </w:r>
      <w:r>
        <w:t xml:space="preserve">Channels</w:t>
      </w:r>
      <w:r>
        <w:t xml:space="preserve"> </w:t>
      </w:r>
      <w:r>
        <w:t xml:space="preserve">and</w:t>
      </w:r>
      <w:r>
        <w:t xml:space="preserve"> </w:t>
      </w:r>
      <w:r>
        <w:t xml:space="preserve">Asymmetric</w:t>
      </w:r>
      <w:r>
        <w:t xml:space="preserve"> </w:t>
      </w:r>
      <w:r>
        <w:t xml:space="preserve">Notification</w:t>
      </w:r>
      <w:r>
        <w:t xml:space="preserve"> </w:t>
      </w:r>
      <w:r>
        <w:t xml:space="preserve">Controls,</w:t>
      </w:r>
      <w:r>
        <w:t xml:space="preserve"> </w:t>
      </w:r>
      <w:r>
        <w:t xml:space="preserve">and</w:t>
      </w:r>
      <w:r>
        <w:t xml:space="preserve"> </w:t>
      </w:r>
      <w:r>
        <w:t xml:space="preserve">a</w:t>
      </w:r>
      <w:r>
        <w:t xml:space="preserve"> </w:t>
      </w:r>
      <w:r>
        <w:t xml:space="preserve">Pro</w:t>
      </w:r>
      <w:r>
        <w:t xml:space="preserve"> </w:t>
      </w:r>
      <w:r>
        <w:t xml:space="preserve">Social</w:t>
      </w:r>
      <w:r>
        <w:t xml:space="preserve"> </w:t>
      </w:r>
      <w:r>
        <w:t xml:space="preserve">Pivot</w:t>
      </w:r>
      <w:r>
        <w:t xml:space="preserve"> </w:t>
      </w:r>
      <w:r>
        <w:t xml:space="preserve">Strategy</w:t>
      </w:r>
      <w:r>
        <w:t xml:space="preserve"> </w:t>
      </w:r>
      <w:r>
        <w:t xml:space="preserve">for</w:t>
      </w:r>
      <w:r>
        <w:t xml:space="preserve"> </w:t>
      </w:r>
      <w:r>
        <w:t xml:space="preserve">the</w:t>
      </w:r>
      <w:r>
        <w:t xml:space="preserve"> </w:t>
      </w:r>
      <w:r>
        <w:t xml:space="preserve">EU</w:t>
      </w:r>
      <w:r>
        <w:t xml:space="preserve"> </w:t>
      </w:r>
      <w:r>
        <w:t xml:space="preserve">Digital</w:t>
      </w:r>
      <w:r>
        <w:t xml:space="preserve"> </w:t>
      </w:r>
      <w:r>
        <w:t xml:space="preserve">Fairness</w:t>
      </w:r>
      <w:r>
        <w:t xml:space="preserve"> </w:t>
      </w:r>
      <w:r>
        <w:t xml:space="preserve">Act</w:t>
      </w:r>
    </w:p>
    <w:p>
      <w:pPr>
        <w:pStyle w:val="Author"/>
      </w:pPr>
      <w:r>
        <w:t xml:space="preserve">nirwanmohit4@gmail.com</w:t>
      </w:r>
      <w:r>
        <w:br/>
      </w:r>
      <w:hyperlink r:id="rId20">
        <w:r>
          <w:rPr>
            <w:rStyle w:val="VerbatimChar"/>
          </w:rPr>
          <w:t xml:space="preserve">nirwanmohit4@gmail.com</w:t>
        </w:r>
      </w:hyperlink>
    </w:p>
    <w:p>
      <w:pPr>
        <w:pStyle w:val="AbstractTitle"/>
      </w:pPr>
      <w:r>
        <w:t xml:space="preserve">Abstract</w:t>
      </w:r>
    </w:p>
    <w:p>
      <w:pPr>
        <w:pStyle w:val="Abstract"/>
      </w:pPr>
      <w:r>
        <w:t xml:space="preserve">This</w:t>
      </w:r>
      <w:r>
        <w:t xml:space="preserve"> </w:t>
      </w:r>
      <w:r>
        <w:t xml:space="preserve">research</w:t>
      </w:r>
      <w:r>
        <w:t xml:space="preserve"> </w:t>
      </w:r>
      <w:r>
        <w:t xml:space="preserve">presents</w:t>
      </w:r>
      <w:r>
        <w:t xml:space="preserve"> </w:t>
      </w:r>
      <w:r>
        <w:t xml:space="preserve">an</w:t>
      </w:r>
      <w:r>
        <w:t xml:space="preserve"> </w:t>
      </w:r>
      <w:r>
        <w:t xml:space="preserve">ethics‑oriented</w:t>
      </w:r>
      <w:r>
        <w:t xml:space="preserve"> </w:t>
      </w:r>
      <w:r>
        <w:t xml:space="preserve">audit</w:t>
      </w:r>
      <w:r>
        <w:t xml:space="preserve"> </w:t>
      </w:r>
      <w:r>
        <w:t xml:space="preserve">toolkit</w:t>
      </w:r>
      <w:r>
        <w:t xml:space="preserve"> </w:t>
      </w:r>
      <w:r>
        <w:t xml:space="preserve">and</w:t>
      </w:r>
      <w:r>
        <w:t xml:space="preserve"> </w:t>
      </w:r>
      <w:r>
        <w:t xml:space="preserve">governance</w:t>
      </w:r>
      <w:r>
        <w:t xml:space="preserve"> </w:t>
      </w:r>
      <w:r>
        <w:t xml:space="preserve">strategy</w:t>
      </w:r>
      <w:r>
        <w:t xml:space="preserve"> </w:t>
      </w:r>
      <w:r>
        <w:t xml:space="preserve">for</w:t>
      </w:r>
      <w:r>
        <w:t xml:space="preserve"> </w:t>
      </w:r>
      <w:r>
        <w:t xml:space="preserve">engagement‑optimised</w:t>
      </w:r>
      <w:r>
        <w:t xml:space="preserve"> </w:t>
      </w:r>
      <w:r>
        <w:t xml:space="preserve">social</w:t>
      </w:r>
      <w:r>
        <w:t xml:space="preserve"> </w:t>
      </w:r>
      <w:r>
        <w:t xml:space="preserve">recommender</w:t>
      </w:r>
      <w:r>
        <w:t xml:space="preserve"> </w:t>
      </w:r>
      <w:r>
        <w:t xml:space="preserve">systems,</w:t>
      </w:r>
      <w:r>
        <w:t xml:space="preserve"> </w:t>
      </w:r>
      <w:r>
        <w:t xml:space="preserve">operationalising</w:t>
      </w:r>
      <w:r>
        <w:t xml:space="preserve"> </w:t>
      </w:r>
      <w:r>
        <w:t xml:space="preserve">an</w:t>
      </w:r>
      <w:r>
        <w:t xml:space="preserve"> </w:t>
      </w:r>
      <w:r>
        <w:t xml:space="preserve">ethics</w:t>
      </w:r>
      <w:r>
        <w:t xml:space="preserve"> </w:t>
      </w:r>
      <w:r>
        <w:t xml:space="preserve">spectrum</w:t>
      </w:r>
      <w:r>
        <w:t xml:space="preserve"> </w:t>
      </w:r>
      <w:r>
        <w:t xml:space="preserve">with</w:t>
      </w:r>
      <w:r>
        <w:t xml:space="preserve"> </w:t>
      </w:r>
      <w:r>
        <w:t xml:space="preserve">a</w:t>
      </w:r>
      <w:r>
        <w:t xml:space="preserve"> </w:t>
      </w:r>
      <w:r>
        <w:t xml:space="preserve">concise</w:t>
      </w:r>
      <w:r>
        <w:t xml:space="preserve"> </w:t>
      </w:r>
      <w:r>
        <w:t xml:space="preserve">matrix</w:t>
      </w:r>
      <w:r>
        <w:t xml:space="preserve"> </w:t>
      </w:r>
      <w:r>
        <w:t xml:space="preserve">that</w:t>
      </w:r>
      <w:r>
        <w:t xml:space="preserve"> </w:t>
      </w:r>
      <w:r>
        <w:t xml:space="preserve">classifies</w:t>
      </w:r>
      <w:r>
        <w:t xml:space="preserve"> </w:t>
      </w:r>
      <w:r>
        <w:t xml:space="preserve">assistive</w:t>
      </w:r>
      <w:r>
        <w:t xml:space="preserve"> </w:t>
      </w:r>
      <w:r>
        <w:t xml:space="preserve">nudges,</w:t>
      </w:r>
      <w:r>
        <w:t xml:space="preserve"> </w:t>
      </w:r>
      <w:r>
        <w:t xml:space="preserve">borderline</w:t>
      </w:r>
      <w:r>
        <w:t xml:space="preserve"> </w:t>
      </w:r>
      <w:r>
        <w:t xml:space="preserve">nudges</w:t>
      </w:r>
      <w:r>
        <w:t xml:space="preserve"> </w:t>
      </w:r>
      <w:r>
        <w:t xml:space="preserve">and</w:t>
      </w:r>
      <w:r>
        <w:t xml:space="preserve"> </w:t>
      </w:r>
      <w:r>
        <w:t xml:space="preserve">coercive</w:t>
      </w:r>
      <w:r>
        <w:t xml:space="preserve"> </w:t>
      </w:r>
      <w:r>
        <w:t xml:space="preserve">sludge</w:t>
      </w:r>
      <w:r>
        <w:t xml:space="preserve"> </w:t>
      </w:r>
      <w:r>
        <w:t xml:space="preserve">(Code</w:t>
      </w:r>
      <w:r>
        <w:t xml:space="preserve"> </w:t>
      </w:r>
      <w:r>
        <w:t xml:space="preserve">C)</w:t>
      </w:r>
      <w:r>
        <w:t xml:space="preserve"> </w:t>
      </w:r>
      <w:r>
        <w:t xml:space="preserve">based</w:t>
      </w:r>
      <w:r>
        <w:t xml:space="preserve"> </w:t>
      </w:r>
      <w:r>
        <w:t xml:space="preserve">on</w:t>
      </w:r>
      <w:r>
        <w:t xml:space="preserve"> </w:t>
      </w:r>
      <w:r>
        <w:t xml:space="preserve">observable</w:t>
      </w:r>
      <w:r>
        <w:t xml:space="preserve"> </w:t>
      </w:r>
      <w:r>
        <w:t xml:space="preserve">interface</w:t>
      </w:r>
      <w:r>
        <w:t xml:space="preserve"> </w:t>
      </w:r>
      <w:r>
        <w:t xml:space="preserve">attributes</w:t>
      </w:r>
      <w:r>
        <w:t xml:space="preserve"> </w:t>
      </w:r>
      <w:r>
        <w:t xml:space="preserve">and</w:t>
      </w:r>
      <w:r>
        <w:t xml:space="preserve"> </w:t>
      </w:r>
      <w:r>
        <w:t xml:space="preserve">regulatory</w:t>
      </w:r>
      <w:r>
        <w:t xml:space="preserve"> </w:t>
      </w:r>
      <w:r>
        <w:t xml:space="preserve">risk</w:t>
      </w:r>
      <w:r>
        <w:t xml:space="preserve"> </w:t>
      </w:r>
      <w:r>
        <w:t xml:space="preserve">signals.</w:t>
      </w:r>
      <w:r>
        <w:t xml:space="preserve"> </w:t>
      </w:r>
      <w:r>
        <w:t xml:space="preserve">It</w:t>
      </w:r>
      <w:r>
        <w:t xml:space="preserve"> </w:t>
      </w:r>
      <w:r>
        <w:t xml:space="preserve">translates</w:t>
      </w:r>
      <w:r>
        <w:t xml:space="preserve"> </w:t>
      </w:r>
      <w:r>
        <w:t xml:space="preserve">legal</w:t>
      </w:r>
      <w:r>
        <w:t xml:space="preserve"> </w:t>
      </w:r>
      <w:r>
        <w:t xml:space="preserve">signals</w:t>
      </w:r>
      <w:r>
        <w:t xml:space="preserve"> </w:t>
      </w:r>
      <w:r>
        <w:t xml:space="preserve">from</w:t>
      </w:r>
      <w:r>
        <w:t xml:space="preserve"> </w:t>
      </w:r>
      <w:r>
        <w:t xml:space="preserve">the</w:t>
      </w:r>
      <w:r>
        <w:t xml:space="preserve"> </w:t>
      </w:r>
      <w:r>
        <w:t xml:space="preserve">DSA,</w:t>
      </w:r>
      <w:r>
        <w:t xml:space="preserve"> </w:t>
      </w:r>
      <w:r>
        <w:t xml:space="preserve">AI</w:t>
      </w:r>
      <w:r>
        <w:t xml:space="preserve"> </w:t>
      </w:r>
      <w:r>
        <w:t xml:space="preserve">Act</w:t>
      </w:r>
      <w:r>
        <w:t xml:space="preserve"> </w:t>
      </w:r>
      <w:r>
        <w:t xml:space="preserve">and</w:t>
      </w:r>
      <w:r>
        <w:t xml:space="preserve"> </w:t>
      </w:r>
      <w:r>
        <w:t xml:space="preserve">proposed</w:t>
      </w:r>
      <w:r>
        <w:t xml:space="preserve"> </w:t>
      </w:r>
      <w:r>
        <w:t xml:space="preserve">Digital</w:t>
      </w:r>
      <w:r>
        <w:t xml:space="preserve"> </w:t>
      </w:r>
      <w:r>
        <w:t xml:space="preserve">Fairness</w:t>
      </w:r>
      <w:r>
        <w:t xml:space="preserve"> </w:t>
      </w:r>
      <w:r>
        <w:t xml:space="preserve">measures</w:t>
      </w:r>
      <w:r>
        <w:t xml:space="preserve"> </w:t>
      </w:r>
      <w:r>
        <w:t xml:space="preserve">into</w:t>
      </w:r>
      <w:r>
        <w:t xml:space="preserve"> </w:t>
      </w:r>
      <w:r>
        <w:t xml:space="preserve">concrete</w:t>
      </w:r>
      <w:r>
        <w:t xml:space="preserve"> </w:t>
      </w:r>
      <w:r>
        <w:t xml:space="preserve">evidence</w:t>
      </w:r>
      <w:r>
        <w:t xml:space="preserve"> </w:t>
      </w:r>
      <w:r>
        <w:t xml:space="preserve">requirements:</w:t>
      </w:r>
      <w:r>
        <w:t xml:space="preserve"> </w:t>
      </w:r>
      <w:r>
        <w:t xml:space="preserve">algorithmic</w:t>
      </w:r>
      <w:r>
        <w:t xml:space="preserve"> </w:t>
      </w:r>
      <w:r>
        <w:t xml:space="preserve">passports,</w:t>
      </w:r>
      <w:r>
        <w:t xml:space="preserve"> </w:t>
      </w:r>
      <w:r>
        <w:t xml:space="preserve">tamper‑evident</w:t>
      </w:r>
      <w:r>
        <w:t xml:space="preserve"> </w:t>
      </w:r>
      <w:r>
        <w:t xml:space="preserve">event</w:t>
      </w:r>
      <w:r>
        <w:t xml:space="preserve"> </w:t>
      </w:r>
      <w:r>
        <w:t xml:space="preserve">logs,</w:t>
      </w:r>
      <w:r>
        <w:t xml:space="preserve"> </w:t>
      </w:r>
      <w:r>
        <w:t xml:space="preserve">user</w:t>
      </w:r>
      <w:r>
        <w:t xml:space="preserve"> </w:t>
      </w:r>
      <w:r>
        <w:t xml:space="preserve">control</w:t>
      </w:r>
      <w:r>
        <w:t xml:space="preserve"> </w:t>
      </w:r>
      <w:r>
        <w:t xml:space="preserve">dashboards</w:t>
      </w:r>
      <w:r>
        <w:t xml:space="preserve"> </w:t>
      </w:r>
      <w:r>
        <w:t xml:space="preserve">exposing</w:t>
      </w:r>
      <w:r>
        <w:t xml:space="preserve"> </w:t>
      </w:r>
      <w:r>
        <w:t xml:space="preserve">non‑profiled</w:t>
      </w:r>
      <w:r>
        <w:t xml:space="preserve"> </w:t>
      </w:r>
      <w:r>
        <w:t xml:space="preserve">feed</w:t>
      </w:r>
      <w:r>
        <w:t xml:space="preserve"> </w:t>
      </w:r>
      <w:r>
        <w:t xml:space="preserve">modes,</w:t>
      </w:r>
      <w:r>
        <w:t xml:space="preserve"> </w:t>
      </w:r>
      <w:r>
        <w:t xml:space="preserve">age</w:t>
      </w:r>
      <w:r>
        <w:t xml:space="preserve"> </w:t>
      </w:r>
      <w:r>
        <w:t xml:space="preserve">sensitive</w:t>
      </w:r>
      <w:r>
        <w:t xml:space="preserve"> </w:t>
      </w:r>
      <w:r>
        <w:t xml:space="preserve">design</w:t>
      </w:r>
      <w:r>
        <w:t xml:space="preserve"> </w:t>
      </w:r>
      <w:r>
        <w:t xml:space="preserve">tests,</w:t>
      </w:r>
      <w:r>
        <w:t xml:space="preserve"> </w:t>
      </w:r>
      <w:r>
        <w:t xml:space="preserve">and</w:t>
      </w:r>
      <w:r>
        <w:t xml:space="preserve"> </w:t>
      </w:r>
      <w:r>
        <w:t xml:space="preserve">auditable</w:t>
      </w:r>
      <w:r>
        <w:t xml:space="preserve"> </w:t>
      </w:r>
      <w:r>
        <w:t xml:space="preserve">human‑in‑the‑loop</w:t>
      </w:r>
      <w:r>
        <w:t xml:space="preserve"> </w:t>
      </w:r>
      <w:r>
        <w:t xml:space="preserve">override</w:t>
      </w:r>
      <w:r>
        <w:t xml:space="preserve"> </w:t>
      </w:r>
      <w:r>
        <w:t xml:space="preserve">trails.</w:t>
      </w:r>
      <w:r>
        <w:t xml:space="preserve"> </w:t>
      </w:r>
      <w:r>
        <w:t xml:space="preserve">Methodologically,</w:t>
      </w:r>
      <w:r>
        <w:t xml:space="preserve"> </w:t>
      </w:r>
      <w:r>
        <w:t xml:space="preserve">assessments</w:t>
      </w:r>
      <w:r>
        <w:t xml:space="preserve"> </w:t>
      </w:r>
      <w:r>
        <w:t xml:space="preserve">rely</w:t>
      </w:r>
      <w:r>
        <w:t xml:space="preserve"> </w:t>
      </w:r>
      <w:r>
        <w:t xml:space="preserve">on</w:t>
      </w:r>
      <w:r>
        <w:t xml:space="preserve"> </w:t>
      </w:r>
      <w:r>
        <w:t xml:space="preserve">external</w:t>
      </w:r>
      <w:r>
        <w:t xml:space="preserve"> </w:t>
      </w:r>
      <w:r>
        <w:t xml:space="preserve">UX</w:t>
      </w:r>
      <w:r>
        <w:t xml:space="preserve"> </w:t>
      </w:r>
      <w:r>
        <w:t xml:space="preserve">behaviour,</w:t>
      </w:r>
      <w:r>
        <w:t xml:space="preserve"> </w:t>
      </w:r>
      <w:r>
        <w:t xml:space="preserve">regulator</w:t>
      </w:r>
      <w:r>
        <w:t xml:space="preserve"> </w:t>
      </w:r>
      <w:r>
        <w:t xml:space="preserve">findings</w:t>
      </w:r>
      <w:r>
        <w:t xml:space="preserve"> </w:t>
      </w:r>
      <w:r>
        <w:t xml:space="preserve">and</w:t>
      </w:r>
      <w:r>
        <w:t xml:space="preserve"> </w:t>
      </w:r>
      <w:r>
        <w:t xml:space="preserve">published</w:t>
      </w:r>
      <w:r>
        <w:t xml:space="preserve"> </w:t>
      </w:r>
      <w:r>
        <w:t xml:space="preserve">audits</w:t>
      </w:r>
      <w:r>
        <w:t xml:space="preserve"> </w:t>
      </w:r>
      <w:r>
        <w:t xml:space="preserve">rather</w:t>
      </w:r>
      <w:r>
        <w:t xml:space="preserve"> </w:t>
      </w:r>
      <w:r>
        <w:t xml:space="preserve">than</w:t>
      </w:r>
      <w:r>
        <w:t xml:space="preserve"> </w:t>
      </w:r>
      <w:r>
        <w:t xml:space="preserve">proprietary</w:t>
      </w:r>
      <w:r>
        <w:t xml:space="preserve"> </w:t>
      </w:r>
      <w:r>
        <w:t xml:space="preserve">telemetry,</w:t>
      </w:r>
      <w:r>
        <w:t xml:space="preserve"> </w:t>
      </w:r>
      <w:r>
        <w:t xml:space="preserve">using</w:t>
      </w:r>
      <w:r>
        <w:t xml:space="preserve"> </w:t>
      </w:r>
      <w:r>
        <w:t xml:space="preserve">quantitative</w:t>
      </w:r>
      <w:r>
        <w:t xml:space="preserve"> </w:t>
      </w:r>
      <w:r>
        <w:t xml:space="preserve">diagnostics</w:t>
      </w:r>
      <w:r>
        <w:t xml:space="preserve"> </w:t>
      </w:r>
      <w:r>
        <w:t xml:space="preserve">such</w:t>
      </w:r>
      <w:r>
        <w:t xml:space="preserve"> </w:t>
      </w:r>
      <w:r>
        <w:t xml:space="preserve">as</w:t>
      </w:r>
      <w:r>
        <w:t xml:space="preserve"> </w:t>
      </w:r>
      <w:r>
        <w:t xml:space="preserve">entropy</w:t>
      </w:r>
      <w:r>
        <w:t xml:space="preserve"> </w:t>
      </w:r>
      <w:r>
        <w:t xml:space="preserve">and</w:t>
      </w:r>
      <w:r>
        <w:t xml:space="preserve"> </w:t>
      </w:r>
      <w:r>
        <w:t xml:space="preserve">Simpson</w:t>
      </w:r>
      <w:r>
        <w:t xml:space="preserve"> </w:t>
      </w:r>
      <w:r>
        <w:t xml:space="preserve">diversity</w:t>
      </w:r>
      <w:r>
        <w:t xml:space="preserve"> </w:t>
      </w:r>
      <w:r>
        <w:t xml:space="preserve">indices,</w:t>
      </w:r>
      <w:r>
        <w:t xml:space="preserve"> </w:t>
      </w:r>
      <w:r>
        <w:t xml:space="preserve">Gini</w:t>
      </w:r>
      <w:r>
        <w:t xml:space="preserve"> </w:t>
      </w:r>
      <w:r>
        <w:t xml:space="preserve">concentration</w:t>
      </w:r>
      <w:r>
        <w:t xml:space="preserve"> </w:t>
      </w:r>
      <w:r>
        <w:t xml:space="preserve">measures,</w:t>
      </w:r>
      <w:r>
        <w:t xml:space="preserve"> </w:t>
      </w:r>
      <w:r>
        <w:t xml:space="preserve">exposure/effectiveness</w:t>
      </w:r>
      <w:r>
        <w:t xml:space="preserve"> </w:t>
      </w:r>
      <w:r>
        <w:t xml:space="preserve">gaps,</w:t>
      </w:r>
      <w:r>
        <w:t xml:space="preserve"> </w:t>
      </w:r>
      <w:r>
        <w:t xml:space="preserve">engagement</w:t>
      </w:r>
      <w:r>
        <w:t xml:space="preserve"> </w:t>
      </w:r>
      <w:r>
        <w:t xml:space="preserve">ceiling</w:t>
      </w:r>
      <w:r>
        <w:t xml:space="preserve"> </w:t>
      </w:r>
      <w:r>
        <w:t xml:space="preserve">indicators</w:t>
      </w:r>
      <w:r>
        <w:t xml:space="preserve"> </w:t>
      </w:r>
      <w:r>
        <w:t xml:space="preserve">and</w:t>
      </w:r>
      <w:r>
        <w:t xml:space="preserve"> </w:t>
      </w:r>
      <w:r>
        <w:t xml:space="preserve">documented</w:t>
      </w:r>
      <w:r>
        <w:t xml:space="preserve"> </w:t>
      </w:r>
      <w:r>
        <w:t xml:space="preserve">override</w:t>
      </w:r>
      <w:r>
        <w:t xml:space="preserve"> </w:t>
      </w:r>
      <w:r>
        <w:t xml:space="preserve">rates.</w:t>
      </w:r>
      <w:r>
        <w:t xml:space="preserve"> </w:t>
      </w:r>
      <w:r>
        <w:t xml:space="preserve">The</w:t>
      </w:r>
      <w:r>
        <w:t xml:space="preserve"> </w:t>
      </w:r>
      <w:r>
        <w:t xml:space="preserve">toolkit</w:t>
      </w:r>
      <w:r>
        <w:t xml:space="preserve"> </w:t>
      </w:r>
      <w:r>
        <w:t xml:space="preserve">defines</w:t>
      </w:r>
      <w:r>
        <w:t xml:space="preserve"> </w:t>
      </w:r>
      <w:r>
        <w:t xml:space="preserve">a</w:t>
      </w:r>
      <w:r>
        <w:t xml:space="preserve"> </w:t>
      </w:r>
      <w:r>
        <w:t xml:space="preserve">three‑tier</w:t>
      </w:r>
      <w:r>
        <w:t xml:space="preserve"> </w:t>
      </w:r>
      <w:r>
        <w:t xml:space="preserve">audit</w:t>
      </w:r>
      <w:r>
        <w:t xml:space="preserve"> </w:t>
      </w:r>
      <w:r>
        <w:t xml:space="preserve">taxonomy</w:t>
      </w:r>
      <w:r>
        <w:t xml:space="preserve"> </w:t>
      </w:r>
      <w:r>
        <w:t xml:space="preserve">combining</w:t>
      </w:r>
      <w:r>
        <w:t xml:space="preserve"> </w:t>
      </w:r>
      <w:r>
        <w:t xml:space="preserve">compliance</w:t>
      </w:r>
      <w:r>
        <w:t xml:space="preserve"> </w:t>
      </w:r>
      <w:r>
        <w:t xml:space="preserve">checks,</w:t>
      </w:r>
      <w:r>
        <w:t xml:space="preserve"> </w:t>
      </w:r>
      <w:r>
        <w:t xml:space="preserve">scenario</w:t>
      </w:r>
      <w:r>
        <w:t xml:space="preserve"> </w:t>
      </w:r>
      <w:r>
        <w:t xml:space="preserve">based</w:t>
      </w:r>
      <w:r>
        <w:t xml:space="preserve"> </w:t>
      </w:r>
      <w:r>
        <w:t xml:space="preserve">probes</w:t>
      </w:r>
      <w:r>
        <w:t xml:space="preserve"> </w:t>
      </w:r>
      <w:r>
        <w:t xml:space="preserve">(e.g.</w:t>
      </w:r>
      <w:r>
        <w:t xml:space="preserve"> </w:t>
      </w:r>
      <w:r>
        <w:t xml:space="preserve">eating</w:t>
      </w:r>
      <w:r>
        <w:t xml:space="preserve"> </w:t>
      </w:r>
      <w:r>
        <w:t xml:space="preserve">disorder</w:t>
      </w:r>
      <w:r>
        <w:t xml:space="preserve"> </w:t>
      </w:r>
      <w:r>
        <w:t xml:space="preserve">or</w:t>
      </w:r>
      <w:r>
        <w:t xml:space="preserve"> </w:t>
      </w:r>
      <w:r>
        <w:t xml:space="preserve">extremist</w:t>
      </w:r>
      <w:r>
        <w:t xml:space="preserve"> </w:t>
      </w:r>
      <w:r>
        <w:t xml:space="preserve">narratives)</w:t>
      </w:r>
      <w:r>
        <w:t xml:space="preserve"> </w:t>
      </w:r>
      <w:r>
        <w:t xml:space="preserve">and</w:t>
      </w:r>
      <w:r>
        <w:t xml:space="preserve"> </w:t>
      </w:r>
      <w:r>
        <w:t xml:space="preserve">lifecycle</w:t>
      </w:r>
      <w:r>
        <w:t xml:space="preserve"> </w:t>
      </w:r>
      <w:r>
        <w:t xml:space="preserve">impact</w:t>
      </w:r>
      <w:r>
        <w:t xml:space="preserve"> </w:t>
      </w:r>
      <w:r>
        <w:t xml:space="preserve">assessments</w:t>
      </w:r>
      <w:r>
        <w:t xml:space="preserve"> </w:t>
      </w:r>
      <w:r>
        <w:t xml:space="preserve">that</w:t>
      </w:r>
      <w:r>
        <w:t xml:space="preserve"> </w:t>
      </w:r>
      <w:r>
        <w:t xml:space="preserve">embed</w:t>
      </w:r>
      <w:r>
        <w:t xml:space="preserve"> </w:t>
      </w:r>
      <w:r>
        <w:t xml:space="preserve">human</w:t>
      </w:r>
      <w:r>
        <w:t xml:space="preserve"> </w:t>
      </w:r>
      <w:r>
        <w:t xml:space="preserve">oversight</w:t>
      </w:r>
      <w:r>
        <w:t xml:space="preserve"> </w:t>
      </w:r>
      <w:r>
        <w:t xml:space="preserve">gates</w:t>
      </w:r>
      <w:r>
        <w:t xml:space="preserve"> </w:t>
      </w:r>
      <w:r>
        <w:t xml:space="preserve">into</w:t>
      </w:r>
      <w:r>
        <w:t xml:space="preserve"> </w:t>
      </w:r>
      <w:r>
        <w:t xml:space="preserve">CI/CD</w:t>
      </w:r>
      <w:r>
        <w:t xml:space="preserve"> </w:t>
      </w:r>
      <w:r>
        <w:t xml:space="preserve">pipelines</w:t>
      </w:r>
      <w:r>
        <w:t xml:space="preserve"> </w:t>
      </w:r>
      <w:r>
        <w:t xml:space="preserve">and</w:t>
      </w:r>
      <w:r>
        <w:t xml:space="preserve"> </w:t>
      </w:r>
      <w:r>
        <w:t xml:space="preserve">product</w:t>
      </w:r>
      <w:r>
        <w:t xml:space="preserve"> </w:t>
      </w:r>
      <w:r>
        <w:t xml:space="preserve">governance.</w:t>
      </w:r>
      <w:r>
        <w:t xml:space="preserve"> </w:t>
      </w:r>
      <w:r>
        <w:t xml:space="preserve">Design</w:t>
      </w:r>
      <w:r>
        <w:t xml:space="preserve"> </w:t>
      </w:r>
      <w:r>
        <w:t xml:space="preserve">prescriptions</w:t>
      </w:r>
      <w:r>
        <w:t xml:space="preserve"> </w:t>
      </w:r>
      <w:r>
        <w:t xml:space="preserve">include</w:t>
      </w:r>
      <w:r>
        <w:t xml:space="preserve"> </w:t>
      </w:r>
      <w:r>
        <w:t xml:space="preserve">finite</w:t>
      </w:r>
      <w:r>
        <w:t xml:space="preserve"> </w:t>
      </w:r>
      <w:r>
        <w:t xml:space="preserve">session</w:t>
      </w:r>
      <w:r>
        <w:t xml:space="preserve"> </w:t>
      </w:r>
      <w:r>
        <w:t xml:space="preserve">and</w:t>
      </w:r>
      <w:r>
        <w:t xml:space="preserve"> </w:t>
      </w:r>
      <w:r>
        <w:t xml:space="preserve">break</w:t>
      </w:r>
      <w:r>
        <w:t xml:space="preserve"> </w:t>
      </w:r>
      <w:r>
        <w:t xml:space="preserve">prompts,</w:t>
      </w:r>
      <w:r>
        <w:t xml:space="preserve"> </w:t>
      </w:r>
      <w:r>
        <w:t xml:space="preserve">batch/digest</w:t>
      </w:r>
      <w:r>
        <w:t xml:space="preserve"> </w:t>
      </w:r>
      <w:r>
        <w:t xml:space="preserve">modes</w:t>
      </w:r>
      <w:r>
        <w:t xml:space="preserve"> </w:t>
      </w:r>
      <w:r>
        <w:t xml:space="preserve">and</w:t>
      </w:r>
      <w:r>
        <w:t xml:space="preserve"> </w:t>
      </w:r>
      <w:r>
        <w:t xml:space="preserve">time‑boxed</w:t>
      </w:r>
      <w:r>
        <w:t xml:space="preserve"> </w:t>
      </w:r>
      <w:r>
        <w:t xml:space="preserve">summaries,</w:t>
      </w:r>
      <w:r>
        <w:t xml:space="preserve"> </w:t>
      </w:r>
      <w:r>
        <w:t xml:space="preserve">explainable</w:t>
      </w:r>
      <w:r>
        <w:t xml:space="preserve"> </w:t>
      </w:r>
      <w:r>
        <w:t xml:space="preserve">recommendation</w:t>
      </w:r>
      <w:r>
        <w:t xml:space="preserve"> </w:t>
      </w:r>
      <w:r>
        <w:t xml:space="preserve">panels</w:t>
      </w:r>
      <w:r>
        <w:t xml:space="preserve"> </w:t>
      </w:r>
      <w:r>
        <w:t xml:space="preserve">linked</w:t>
      </w:r>
      <w:r>
        <w:t xml:space="preserve"> </w:t>
      </w:r>
      <w:r>
        <w:t xml:space="preserve">to</w:t>
      </w:r>
      <w:r>
        <w:t xml:space="preserve"> </w:t>
      </w:r>
      <w:r>
        <w:t xml:space="preserve">feedback</w:t>
      </w:r>
      <w:r>
        <w:t xml:space="preserve"> </w:t>
      </w:r>
      <w:r>
        <w:t xml:space="preserve">loops,</w:t>
      </w:r>
      <w:r>
        <w:t xml:space="preserve"> </w:t>
      </w:r>
      <w:r>
        <w:t xml:space="preserve">diversity</w:t>
      </w:r>
      <w:r>
        <w:t xml:space="preserve"> </w:t>
      </w:r>
      <w:r>
        <w:t xml:space="preserve">oriented</w:t>
      </w:r>
      <w:r>
        <w:t xml:space="preserve"> </w:t>
      </w:r>
      <w:r>
        <w:t xml:space="preserve">ranking</w:t>
      </w:r>
      <w:r>
        <w:t xml:space="preserve"> </w:t>
      </w:r>
      <w:r>
        <w:t xml:space="preserve">with</w:t>
      </w:r>
      <w:r>
        <w:t xml:space="preserve"> </w:t>
      </w:r>
      <w:r>
        <w:t xml:space="preserve">downranking</w:t>
      </w:r>
      <w:r>
        <w:t xml:space="preserve"> </w:t>
      </w:r>
      <w:r>
        <w:t xml:space="preserve">levers</w:t>
      </w:r>
      <w:r>
        <w:t xml:space="preserve"> </w:t>
      </w:r>
      <w:r>
        <w:t xml:space="preserve">for</w:t>
      </w:r>
      <w:r>
        <w:t xml:space="preserve"> </w:t>
      </w:r>
      <w:r>
        <w:t xml:space="preserve">sensational</w:t>
      </w:r>
      <w:r>
        <w:t xml:space="preserve"> </w:t>
      </w:r>
      <w:r>
        <w:t xml:space="preserve">content,</w:t>
      </w:r>
      <w:r>
        <w:t xml:space="preserve"> </w:t>
      </w:r>
      <w:r>
        <w:t xml:space="preserve">and</w:t>
      </w:r>
      <w:r>
        <w:t xml:space="preserve"> </w:t>
      </w:r>
      <w:r>
        <w:t xml:space="preserve">subscription</w:t>
      </w:r>
      <w:r>
        <w:t xml:space="preserve"> </w:t>
      </w:r>
      <w:r>
        <w:t xml:space="preserve">funnel</w:t>
      </w:r>
      <w:r>
        <w:t xml:space="preserve"> </w:t>
      </w:r>
      <w:r>
        <w:t xml:space="preserve">checks</w:t>
      </w:r>
      <w:r>
        <w:t xml:space="preserve"> </w:t>
      </w:r>
      <w:r>
        <w:t xml:space="preserve">to</w:t>
      </w:r>
      <w:r>
        <w:t xml:space="preserve"> </w:t>
      </w:r>
      <w:r>
        <w:t xml:space="preserve">detect</w:t>
      </w:r>
      <w:r>
        <w:t xml:space="preserve"> </w:t>
      </w:r>
      <w:r>
        <w:t xml:space="preserve">sludge.</w:t>
      </w:r>
      <w:r>
        <w:t xml:space="preserve"> </w:t>
      </w:r>
      <w:r>
        <w:t xml:space="preserve">Organisational</w:t>
      </w:r>
      <w:r>
        <w:t xml:space="preserve"> </w:t>
      </w:r>
      <w:r>
        <w:t xml:space="preserve">mechanisms</w:t>
      </w:r>
      <w:r>
        <w:t xml:space="preserve"> </w:t>
      </w:r>
      <w:r>
        <w:t xml:space="preserve">cover</w:t>
      </w:r>
      <w:r>
        <w:t xml:space="preserve"> </w:t>
      </w:r>
      <w:r>
        <w:t xml:space="preserve">Communities</w:t>
      </w:r>
      <w:r>
        <w:t xml:space="preserve"> </w:t>
      </w:r>
      <w:r>
        <w:t xml:space="preserve">of</w:t>
      </w:r>
      <w:r>
        <w:t xml:space="preserve"> </w:t>
      </w:r>
      <w:r>
        <w:t xml:space="preserve">Practice,</w:t>
      </w:r>
      <w:r>
        <w:t xml:space="preserve"> </w:t>
      </w:r>
      <w:r>
        <w:t xml:space="preserve">CSR</w:t>
      </w:r>
      <w:r>
        <w:t xml:space="preserve"> </w:t>
      </w:r>
      <w:r>
        <w:t xml:space="preserve">reporting</w:t>
      </w:r>
      <w:r>
        <w:t xml:space="preserve"> </w:t>
      </w:r>
      <w:r>
        <w:t xml:space="preserve">and</w:t>
      </w:r>
      <w:r>
        <w:t xml:space="preserve"> </w:t>
      </w:r>
      <w:r>
        <w:t xml:space="preserve">independent</w:t>
      </w:r>
      <w:r>
        <w:t xml:space="preserve"> </w:t>
      </w:r>
      <w:r>
        <w:t xml:space="preserve">third</w:t>
      </w:r>
      <w:r>
        <w:t xml:space="preserve"> </w:t>
      </w:r>
      <w:r>
        <w:t xml:space="preserve">party</w:t>
      </w:r>
      <w:r>
        <w:t xml:space="preserve"> </w:t>
      </w:r>
      <w:r>
        <w:t xml:space="preserve">audits</w:t>
      </w:r>
      <w:r>
        <w:t xml:space="preserve"> </w:t>
      </w:r>
      <w:r>
        <w:t xml:space="preserve">to</w:t>
      </w:r>
      <w:r>
        <w:t xml:space="preserve"> </w:t>
      </w:r>
      <w:r>
        <w:t xml:space="preserve">monitor</w:t>
      </w:r>
      <w:r>
        <w:t xml:space="preserve"> </w:t>
      </w:r>
      <w:r>
        <w:t xml:space="preserve">remediation</w:t>
      </w:r>
      <w:r>
        <w:t xml:space="preserve"> </w:t>
      </w:r>
      <w:r>
        <w:t xml:space="preserve">and</w:t>
      </w:r>
      <w:r>
        <w:t xml:space="preserve"> </w:t>
      </w:r>
      <w:r>
        <w:t xml:space="preserve">advertiser</w:t>
      </w:r>
      <w:r>
        <w:t xml:space="preserve"> </w:t>
      </w:r>
      <w:r>
        <w:t xml:space="preserve">alignment</w:t>
      </w:r>
      <w:r>
        <w:t xml:space="preserve"> </w:t>
      </w:r>
      <w:r>
        <w:t xml:space="preserve">with</w:t>
      </w:r>
      <w:r>
        <w:t xml:space="preserve"> </w:t>
      </w:r>
      <w:r>
        <w:t xml:space="preserve">wellbeing</w:t>
      </w:r>
      <w:r>
        <w:t xml:space="preserve"> </w:t>
      </w:r>
      <w:r>
        <w:t xml:space="preserve">metrics</w:t>
      </w:r>
      <w:r>
        <w:t xml:space="preserve"> </w:t>
      </w:r>
      <w:r>
        <w:t xml:space="preserve">such</w:t>
      </w:r>
      <w:r>
        <w:t xml:space="preserve"> </w:t>
      </w:r>
      <w:r>
        <w:t xml:space="preserve">as</w:t>
      </w:r>
      <w:r>
        <w:t xml:space="preserve"> </w:t>
      </w:r>
      <w:r>
        <w:t xml:space="preserve">AIAS‑5.</w:t>
      </w:r>
      <w:r>
        <w:t xml:space="preserve"> </w:t>
      </w:r>
      <w:r>
        <w:t xml:space="preserve">The</w:t>
      </w:r>
      <w:r>
        <w:t xml:space="preserve"> </w:t>
      </w:r>
      <w:r>
        <w:t xml:space="preserve">contribution</w:t>
      </w:r>
      <w:r>
        <w:t xml:space="preserve"> </w:t>
      </w:r>
      <w:r>
        <w:t xml:space="preserve">is</w:t>
      </w:r>
      <w:r>
        <w:t xml:space="preserve"> </w:t>
      </w:r>
      <w:r>
        <w:t xml:space="preserve">an</w:t>
      </w:r>
      <w:r>
        <w:t xml:space="preserve"> </w:t>
      </w:r>
      <w:r>
        <w:t xml:space="preserve">implementable</w:t>
      </w:r>
      <w:r>
        <w:t xml:space="preserve"> </w:t>
      </w:r>
      <w:r>
        <w:t xml:space="preserve">framework</w:t>
      </w:r>
      <w:r>
        <w:t xml:space="preserve"> </w:t>
      </w:r>
      <w:r>
        <w:t xml:space="preserve">enabling</w:t>
      </w:r>
      <w:r>
        <w:t xml:space="preserve"> </w:t>
      </w:r>
      <w:r>
        <w:t xml:space="preserve">operators,</w:t>
      </w:r>
      <w:r>
        <w:t xml:space="preserve"> </w:t>
      </w:r>
      <w:r>
        <w:t xml:space="preserve">auditors</w:t>
      </w:r>
      <w:r>
        <w:t xml:space="preserve"> </w:t>
      </w:r>
      <w:r>
        <w:t xml:space="preserve">and</w:t>
      </w:r>
      <w:r>
        <w:t xml:space="preserve"> </w:t>
      </w:r>
      <w:r>
        <w:t xml:space="preserve">regulators</w:t>
      </w:r>
      <w:r>
        <w:t xml:space="preserve"> </w:t>
      </w:r>
      <w:r>
        <w:t xml:space="preserve">to</w:t>
      </w:r>
      <w:r>
        <w:t xml:space="preserve"> </w:t>
      </w:r>
      <w:r>
        <w:t xml:space="preserve">detect,</w:t>
      </w:r>
      <w:r>
        <w:t xml:space="preserve"> </w:t>
      </w:r>
      <w:r>
        <w:t xml:space="preserve">assess</w:t>
      </w:r>
      <w:r>
        <w:t xml:space="preserve"> </w:t>
      </w:r>
      <w:r>
        <w:t xml:space="preserve">and</w:t>
      </w:r>
      <w:r>
        <w:t xml:space="preserve"> </w:t>
      </w:r>
      <w:r>
        <w:t xml:space="preserve">mitigate</w:t>
      </w:r>
      <w:r>
        <w:t xml:space="preserve"> </w:t>
      </w:r>
      <w:r>
        <w:t xml:space="preserve">psycho‑emotional</w:t>
      </w:r>
      <w:r>
        <w:t xml:space="preserve"> </w:t>
      </w:r>
      <w:r>
        <w:t xml:space="preserve">and</w:t>
      </w:r>
      <w:r>
        <w:t xml:space="preserve"> </w:t>
      </w:r>
      <w:r>
        <w:t xml:space="preserve">distributive</w:t>
      </w:r>
      <w:r>
        <w:t xml:space="preserve"> </w:t>
      </w:r>
      <w:r>
        <w:t xml:space="preserve">harms</w:t>
      </w:r>
      <w:r>
        <w:t xml:space="preserve"> </w:t>
      </w:r>
      <w:r>
        <w:t xml:space="preserve">from</w:t>
      </w:r>
      <w:r>
        <w:t xml:space="preserve"> </w:t>
      </w:r>
      <w:r>
        <w:t xml:space="preserve">engagement</w:t>
      </w:r>
      <w:r>
        <w:t xml:space="preserve"> </w:t>
      </w:r>
      <w:r>
        <w:t xml:space="preserve">driven</w:t>
      </w:r>
      <w:r>
        <w:t xml:space="preserve"> </w:t>
      </w:r>
      <w:r>
        <w:t xml:space="preserve">recommendation</w:t>
      </w:r>
      <w:r>
        <w:t xml:space="preserve"> </w:t>
      </w:r>
      <w:r>
        <w:t xml:space="preserve">in</w:t>
      </w:r>
      <w:r>
        <w:t xml:space="preserve"> </w:t>
      </w:r>
      <w:r>
        <w:t xml:space="preserve">alignment</w:t>
      </w:r>
      <w:r>
        <w:t xml:space="preserve"> </w:t>
      </w:r>
      <w:r>
        <w:t xml:space="preserve">with</w:t>
      </w:r>
      <w:r>
        <w:t xml:space="preserve"> </w:t>
      </w:r>
      <w:r>
        <w:t xml:space="preserve">emerging</w:t>
      </w:r>
      <w:r>
        <w:t xml:space="preserve"> </w:t>
      </w:r>
      <w:r>
        <w:t xml:space="preserve">European</w:t>
      </w:r>
      <w:r>
        <w:t xml:space="preserve"> </w:t>
      </w:r>
      <w:r>
        <w:t xml:space="preserve">accountability</w:t>
      </w:r>
      <w:r>
        <w:t xml:space="preserve"> </w:t>
      </w:r>
      <w:r>
        <w:t xml:space="preserve">norms.</w:t>
      </w:r>
    </w:p>
    <w:bookmarkStart w:id="26" w:name="problem-formulation-and-research-context"/>
    <w:p>
      <w:pPr>
        <w:pStyle w:val="Heading1"/>
      </w:pPr>
      <w:r>
        <w:rPr>
          <w:rStyle w:val="SectionNumber"/>
        </w:rPr>
        <w:t xml:space="preserve">1</w:t>
      </w:r>
      <w:r>
        <w:tab/>
      </w:r>
      <w:r>
        <w:t xml:space="preserve">Problem Formulation and Research Context</w:t>
      </w:r>
    </w:p>
    <w:bookmarkStart w:id="21" w:name="sec:motivation_practical_relevance"/>
    <w:p>
      <w:pPr>
        <w:pStyle w:val="Heading2"/>
      </w:pPr>
      <w:r>
        <w:rPr>
          <w:rStyle w:val="SectionNumber"/>
        </w:rPr>
        <w:t xml:space="preserve">1.1</w:t>
      </w:r>
      <w:r>
        <w:tab/>
      </w:r>
      <w:r>
        <w:t xml:space="preserve">Motivation and Practical Relevance</w:t>
      </w:r>
    </w:p>
    <w:p>
      <w:pPr>
        <w:pStyle w:val="FirstParagraph"/>
      </w:pPr>
      <w:r>
        <w:t xml:space="preserve">Growing concern about manipulative design in digital markets provides a direct impetus for an ethics-driven audit of social recommender systems. Empirical work on dark patterns documents subscription flows where cancelling is intentionally harder than signing up, countdown timers that create illusory urgency, and misleading brand associations such as using the "Maxbosch" label alongside BOSCH imagery to influence consumer perception</w:t>
      </w:r>
      <w:r>
        <w:t xml:space="preserve"> </w:t>
      </w:r>
      <w:r>
        <w:t xml:space="preserve">(Sanikidze, 2026, p. 390)</w:t>
      </w:r>
      <w:r>
        <w:t xml:space="preserve">. These findings align with behavioral research on scarcity cues and loss framing in digital retail, where messages such as "only two left" or expiring discounts transform a routine purchase into a time-pressured decision and can shift a neutral non-purchase into a perceived loss</w:t>
      </w:r>
      <w:r>
        <w:t xml:space="preserve"> </w:t>
      </w:r>
      <w:r>
        <w:t xml:space="preserve">(Bansal, 2026, p. 135)</w:t>
      </w:r>
      <w:r>
        <w:t xml:space="preserve">. As AI-driven recommendation and personalization scale these techniques, the risk of systematic exploitation of predictable vulnerabilities increases, which makes a targeted audit methodology practically necessary</w:t>
      </w:r>
      <w:r>
        <w:t xml:space="preserve"> </w:t>
      </w:r>
      <w:r>
        <w:t xml:space="preserve">(Bansal, 2026, p. 135; Sanikidze, 2026, p. 390)</w:t>
      </w:r>
      <w:r>
        <w:t xml:space="preserve">. European regulatory developments are moving exactly toward curbing such manipulation. The Digital Services Act (DSA) already addresses platform accountability for harmful content and requires very large online platforms to assess and mitigate "systemic risks," explicitly including risks to civic discourse and electoral processes, supported by transparency reports, non-profiled recommendation options, and independent audits</w:t>
      </w:r>
      <w:r>
        <w:t xml:space="preserve"> </w:t>
      </w:r>
      <w:r>
        <w:t xml:space="preserve">(Chukhray &amp; Koval, 2026, p. 2; T et al., 2026, p. 12)</w:t>
      </w:r>
      <w:r>
        <w:t xml:space="preserve">. In parallel, the European Union has adopted the AI Act, which prohibits AI systems that exploit psychological vulnerabilities and bans subliminal manipulation or manipulative effects that can significantly harm user behaviour, situating such practices in the "unacceptable risk" tier</w:t>
      </w:r>
      <w:r>
        <w:t xml:space="preserve"> </w:t>
      </w:r>
      <w:r>
        <w:t xml:space="preserve">(Sanikidze, 2026, p. 390; T et al., 2026, p. 12)</w:t>
      </w:r>
      <w:r>
        <w:t xml:space="preserve">. Planned measures such as a Digital Fairness Act are intended to regulate addictive design and unfair personalization as a distinct problem space, filling gaps between the DSA and classical consumer protection rules</w:t>
      </w:r>
      <w:r>
        <w:t xml:space="preserve"> </w:t>
      </w:r>
      <w:r>
        <w:t xml:space="preserve">(Sanikidze, 2026, p. 390)</w:t>
      </w:r>
      <w:r>
        <w:t xml:space="preserve">. These converging frameworks create concrete legal exposure for platforms relying on engagement-optimizing, AI-driven interface pressure. At the same time, global and national AI governance proposals stress ethical responsibility and non-discrimination as binding principles, not optional aspirations. Kostenko’s AI Law Model requires AI systems to be created and operated in line with fundamental values such as human dignity, autonomy, and psycho-emotional comfort, and explicitly prohibits designs that manipulate user behaviour, cause digital addiction, or suppress autonomy</w:t>
      </w:r>
      <w:r>
        <w:t xml:space="preserve"> </w:t>
      </w:r>
      <w:r>
        <w:t xml:space="preserve">(Kostenko, 2025, pp. 61–62)</w:t>
      </w:r>
      <w:r>
        <w:t xml:space="preserve">. The same model formulates a principle of fairness, non-discrimination, and inclusion that bans AI systems which consolidate social inequality or are built on distorted data, and calls for equity metrics, bias audits, and participation of vulnerable groups in design</w:t>
      </w:r>
      <w:r>
        <w:t xml:space="preserve"> </w:t>
      </w:r>
      <w:r>
        <w:t xml:space="preserve">(Kostenko, 2025, pp. 73–74)</w:t>
      </w:r>
      <w:r>
        <w:t xml:space="preserve">. For high-risk domains, ethical responsibility and fairness become certification criteria, with regulators empowered to suspend systems, remove unethical functionality, and require public ethics impact reports</w:t>
      </w:r>
      <w:r>
        <w:t xml:space="preserve"> </w:t>
      </w:r>
      <w:r>
        <w:t xml:space="preserve">(Kostenko, 2025, pp. 61–62; 2025, pp. 73–74)</w:t>
      </w:r>
      <w:r>
        <w:t xml:space="preserve">. These provisions underline why an ethical audit of engagement-maximizing recommenders cannot be purely technical; it must systematically examine autonomy, discrimination, and psycho-emotional impact. Digital literacy and user protection gaps further increase the practical urgency of a structured audit toolkit. Survey evidence on awareness of GDPR, the DSA, and the AI Act shows high self-assessed basic digital literacy yet persistent difficulties in avoiding fraud, recognizing hidden content, and behaving consciously in complex threat environments. Users report only moderate familiarity with EU policies and are skeptical that existing regulation alone guarantees safety, while simultaneously expressing optimism about educational programs and stronger rules</w:t>
      </w:r>
      <w:r>
        <w:t xml:space="preserve"> </w:t>
      </w:r>
      <w:r>
        <w:t xml:space="preserve">(Chukhray &amp; Koval, 2026, p. 2)</w:t>
      </w:r>
      <w:r>
        <w:t xml:space="preserve">. This combination of confidence in basic skills and vulnerability to sophisticated manipulations suggests that the burden of protection cannot rest solely on individual users. Ethical audits that are aligned with regulatory expectations and translated into platform governance processes directly respond to this revealed need</w:t>
      </w:r>
      <w:r>
        <w:t xml:space="preserve"> </w:t>
      </w:r>
      <w:r>
        <w:t xml:space="preserve">(Chukhray &amp; Koval, 2026, p. 2; T et al., 2026, p. 12)</w:t>
      </w:r>
      <w:r>
        <w:t xml:space="preserve">. Industry practice and emerging self-regulation show both demand and limitations for such tools. Large firms have issued AI principles and created ethics divisions, and international instruments like the OECD AI Principles and UNESCO’s Recommendation on AI Ethics articulate fairness, transparency, and human-centricity as guiding norms</w:t>
      </w:r>
      <w:r>
        <w:t xml:space="preserve"> </w:t>
      </w:r>
      <w:r>
        <w:t xml:space="preserve">(Bahangulu &amp; Owusu-Berko, 2025, p. 9; Catapang, 2026, p. 12; T et al., 2026, p. 12)</w:t>
      </w:r>
      <w:r>
        <w:t xml:space="preserve">. Yet studies on the "principles-to-practice gap" highlight that high-level declarations rarely specify operational procedures for data governance, model documentation, or post-deployment monitoring, which leads to inconsistent ethical adoption and criticism of self-regulation for lack of transparency</w:t>
      </w:r>
      <w:r>
        <w:t xml:space="preserve"> </w:t>
      </w:r>
      <w:r>
        <w:t xml:space="preserve">(Bahangulu &amp; Owusu-Berko, 2025, p. 9; Catapang, 2026, p. 12)</w:t>
      </w:r>
      <w:r>
        <w:t xml:space="preserve">. Pipeline-oriented interventions such as model cards, datasheets, algorithmic impact assessments, and red-teaming offer building blocks but are often reactive or confined to single stages of the lifecycle</w:t>
      </w:r>
      <w:r>
        <w:t xml:space="preserve"> </w:t>
      </w:r>
      <w:r>
        <w:t xml:space="preserve">(Catapang, 2026, p. 12)</w:t>
      </w:r>
      <w:r>
        <w:t xml:space="preserve">. A structured Ethical AI Audit tailored to engagement and addiction risks can therefore translate these scattered tools into a targeted, practically usable methodology for recommender systems. Finally, multiple sources stress that accountability mechanisms and registries of responsible AI actors are becoming prerequisites for deploying high-risk systems in sectors with significant public impact such as education and mental health</w:t>
      </w:r>
      <w:r>
        <w:t xml:space="preserve"> </w:t>
      </w:r>
      <w:r>
        <w:t xml:space="preserve">(Grace Malachi et al., 2025, p. 11; Kostenko, 2025, p. 83)</w:t>
      </w:r>
      <w:r>
        <w:t xml:space="preserve">. Human-in-the-loop models, open audit trails, and annual ethics impact reporting are framed as conditions for sustaining trust and preventing "AI colonialism" or unilateral technological dependence</w:t>
      </w:r>
      <w:r>
        <w:t xml:space="preserve"> </w:t>
      </w:r>
      <w:r>
        <w:t xml:space="preserve">(Grace Malachi et al., 2025, p. 11; Kostenko, 2025, p. 108; Selvam &amp; González Vallejo, 2025, p. 21)</w:t>
      </w:r>
      <w:r>
        <w:t xml:space="preserve">. Social recommender systems that shape attention, affect, and consumption patterns at scale form a comparable arena of public interest, which makes the development of a transparent, ethics-grounded audit and pro-social pivot strategy not only academically relevant but also operationally and regulatorily urgent</w:t>
      </w:r>
      <w:r>
        <w:t xml:space="preserve"> </w:t>
      </w:r>
      <w:r>
        <w:t xml:space="preserve">(Kostenko, 2025, pp. 61–62; Sanikidze, 2026, p. 390; Selvam &amp; González Vallejo, 2025, p. 21)</w:t>
      </w:r>
      <w:r>
        <w:t xml:space="preserve">.</w:t>
      </w:r>
    </w:p>
    <w:bookmarkEnd w:id="21"/>
    <w:bookmarkStart w:id="22" w:name="X54b4be0edd35c5e8df5b843d289fdd8e4924b7b"/>
    <w:p>
      <w:pPr>
        <w:pStyle w:val="Heading2"/>
      </w:pPr>
      <w:r>
        <w:rPr>
          <w:rStyle w:val="SectionNumber"/>
        </w:rPr>
        <w:t xml:space="preserve">1.2</w:t>
      </w:r>
      <w:r>
        <w:tab/>
      </w:r>
      <w:r>
        <w:t xml:space="preserve">Research Objectives and Central Questions</w:t>
      </w:r>
    </w:p>
    <w:p>
      <w:pPr>
        <w:pStyle w:val="FirstParagraph"/>
      </w:pPr>
      <w:r>
        <w:t xml:space="preserve">Clarifying the aims of this study requires aligning them with existing analytical work on manipulative design, political recommender risks, and ethical AI governance. Existing research on urgency marketing and dark patterns in e commerce shows that interface tactics such as scarcity cues, defaults, and personalized prompts are systematically organized around psychological vulnerabilities and short term revenue objectives, not isolated creative experiments. This project therefore adopts as a first objective the development of a secondary research synthesis that maps such manipulation oriented design choices in recommender driven environments, using a coding matrix that draws on constructs like scarcity, psychological targeting, and revenue optimization identified in prior qualitative thematic analyses of digital retail practice</w:t>
      </w:r>
      <w:r>
        <w:t xml:space="preserve"> </w:t>
      </w:r>
      <w:r>
        <w:t xml:space="preserve">(Bansal, 2026, p. 136)</w:t>
      </w:r>
      <w:r>
        <w:t xml:space="preserve">. Regulatory ambition around AI driven manipulation sets a second objective. The EU AI Act prohibits systems that exploit psychological vulnerabilities and bans subliminal manipulation or manipulative effects that can significantly harm behaviour, while the Digital Services Act requires very large platforms to assess and mitigate systemic risks to civic discourse and electoral processes and to offer at least one non profiled recommendation option</w:t>
      </w:r>
      <w:r>
        <w:t xml:space="preserve"> </w:t>
      </w:r>
      <w:r>
        <w:t xml:space="preserve">(T et al., 2026, p. 2248)</w:t>
      </w:r>
      <w:r>
        <w:t xml:space="preserve">. Sanikidze documents how this preventive approach is complemented by the forthcoming Digital Fairness Act proposal that targets addictive design and unfair personalization as a distinct problem space</w:t>
      </w:r>
      <w:r>
        <w:t xml:space="preserve"> </w:t>
      </w:r>
      <w:r>
        <w:t xml:space="preserve">(Sanikidze, 2026, p. 390)</w:t>
      </w:r>
      <w:r>
        <w:t xml:space="preserve">. Against this background, the report aims to translate these high level obligations into operational audit questions for social recommender systems, treating the Digital Fairness Act as a policy trajectory and using the AI Act and DSA as anchor frameworks</w:t>
      </w:r>
      <w:r>
        <w:t xml:space="preserve"> </w:t>
      </w:r>
      <w:r>
        <w:t xml:space="preserve">(Sanikidze, 2026, p. 390; T et al., 2026, p. 2248)</w:t>
      </w:r>
      <w:r>
        <w:t xml:space="preserve">. A third objective concerns the methodological stance. Several authors adopt qualitative, mixed, or secondary designs to examine AI systems, regulatory texts, and institutional reports, stressing the value of triangulating regulatory intent, empirical platform practices, and documented harms</w:t>
      </w:r>
      <w:r>
        <w:t xml:space="preserve"> </w:t>
      </w:r>
      <w:r>
        <w:t xml:space="preserve">(Khare et al., 2026, p. 7; Mariia, 2025, p. 3; T et al., 2026, p. 6)</w:t>
      </w:r>
      <w:r>
        <w:t xml:space="preserve">. Following this pattern, the present study commits to a qualitative, interpretive synthesis of secondary materials rather than proprietary telemetry or direct source code inspection, and formulates an explicit limitation that black box algorithms will be assessed through documented UI behaviour, regulator findings, and existing audits. Garr’s convergent parallel design for content curation and bias metrics, and Chakraborty et al.’s mixed methods work on adaptive education ethics, both illustrate how policy documents, academic work, and case studies can be combined to evaluate algorithmic risks without internal access to models</w:t>
      </w:r>
      <w:r>
        <w:t xml:space="preserve"> </w:t>
      </w:r>
      <w:r>
        <w:t xml:space="preserve">(Chakraborty et al., 2025, p. 5; Mariia, 2025, p. 3)</w:t>
      </w:r>
      <w:r>
        <w:t xml:space="preserve">. Based on this design choice, the central questions guiding the inquiry are framed at the level of observable outputs and regulatory alignment. One question interrogates how recommendation architectures that optimize engagement may embed structural incentives similar to those identified in political recommender systems, where optimization objectives and training dynamics contribute to democratic harms and polarization risks</w:t>
      </w:r>
      <w:r>
        <w:t xml:space="preserve"> </w:t>
      </w:r>
      <w:r>
        <w:t xml:space="preserve">(T et al., 2026, p. 6)</w:t>
      </w:r>
      <w:r>
        <w:t xml:space="preserve">. Another question asks how far existing and emerging EU instruments such as the AI Act, the DSA, the Digital Markets Act, and the projected Digital Fairness Act can be interpreted as a de facto governance regime for addictive design, interface pressure, and AI mediated personalization in social platforms</w:t>
      </w:r>
      <w:r>
        <w:t xml:space="preserve"> </w:t>
      </w:r>
      <w:r>
        <w:t xml:space="preserve">(Kustura, 2025, p. 2; Sanikidze, 2026, p. 390; T et al., 2026, p. 2248)</w:t>
      </w:r>
      <w:r>
        <w:t xml:space="preserve">. Research on ethical AI marketing and corporate digital responsibility provides a final objective: to design an Ethical AI Audit and pro social pivot strategy that can be embedded into organisational governance rather than treated as a one off compliance exercise. Asante and Adeoba identify Communities of Practice and corporate social responsibility as mechanisms that turn internal ethical learning into policies, reporting routines, and algorithm audits, with stakeholder trust emerging as a core outcome of responsible AI mediated marketing</w:t>
      </w:r>
      <w:r>
        <w:t xml:space="preserve"> </w:t>
      </w:r>
      <w:r>
        <w:t xml:space="preserve">(Asante &amp; Adeoba, 2026, p. 11; 2026, p. 16)</w:t>
      </w:r>
      <w:r>
        <w:t xml:space="preserve">. Catapang’s account of Ethics by Design for AI shows how values such as human agency, fairness, and transparency can be mapped to concrete tasks across the development lifecycle instead of remaining abstract principles</w:t>
      </w:r>
      <w:r>
        <w:t xml:space="preserve"> </w:t>
      </w:r>
      <w:r>
        <w:t xml:space="preserve">(Catapang, 2026, p. 12)</w:t>
      </w:r>
      <w:r>
        <w:t xml:space="preserve">. This thesis therefore sets as a further objective the formulation of a working audit toolkit and decision matrix that is practically usable by management teams, explicitly linked to CSR style governance arrangements, and oriented toward sustaining engagement within the constraints of EU risk based AI regulation</w:t>
      </w:r>
      <w:r>
        <w:t xml:space="preserve"> </w:t>
      </w:r>
      <w:r>
        <w:t xml:space="preserve">(Asante &amp; Adeoba, 2026, p. 11; Catapang, 2026, p. 12; Kustura, 2025, p. 4)</w:t>
      </w:r>
      <w:r>
        <w:t xml:space="preserve">.</w:t>
      </w:r>
    </w:p>
    <w:bookmarkEnd w:id="22"/>
    <w:bookmarkStart w:id="23" w:name="sec:scope_boundaries_assumptions"/>
    <w:p>
      <w:pPr>
        <w:pStyle w:val="Heading2"/>
      </w:pPr>
      <w:r>
        <w:rPr>
          <w:rStyle w:val="SectionNumber"/>
        </w:rPr>
        <w:t xml:space="preserve">1.3</w:t>
      </w:r>
      <w:r>
        <w:tab/>
      </w:r>
      <w:r>
        <w:t xml:space="preserve">Scope, Boundaries and Key Assumptions</w:t>
      </w:r>
    </w:p>
    <w:p>
      <w:pPr>
        <w:pStyle w:val="FirstParagraph"/>
      </w:pPr>
      <w:r>
        <w:t xml:space="preserve">This project is explicitly confined to qualitative secondary research on AI and recommender governance rather than primary empirical measurement or direct access to proprietary systems. Methodological designs that rely on literature based inquiry and reflexive thematic analysis to synthesise academic, policy, and industry documents provide the closest template: they treat existing publications, regulatory texts, and professional reports as the primary data and build conceptual understanding inductively</w:t>
      </w:r>
      <w:r>
        <w:t xml:space="preserve"> </w:t>
      </w:r>
      <w:r>
        <w:t xml:space="preserve">(Asante &amp; Adeoba, 2026, p. 8; T et al., 2026, p. 6)</w:t>
      </w:r>
      <w:r>
        <w:t xml:space="preserve">. In line with such approaches, the present study systematically interprets prior work on political recommendation risks, ethical AI marketing, and AI law models without collecting new user telemetry or interviewing practitioners. Claims about algorithmic addiction and manipulative interface patterns are therefore mediated through documented analyses of recommendation architectures, regulatory regimes, and organisational governance rather than grounded in fresh behavioural experiments</w:t>
      </w:r>
      <w:r>
        <w:t xml:space="preserve"> </w:t>
      </w:r>
      <w:r>
        <w:t xml:space="preserve">(Asante &amp; Adeoba, 2026, p. 11; T et al., 2026, p. 6)</w:t>
      </w:r>
      <w:r>
        <w:t xml:space="preserve">. Only publicly available descriptions of platform behaviour and regulatory assessments fall within scope. Black box AI systems for content curation or ranking are examined through their observable outputs, described objective functions, and regulator discussions, not through source code inspection or access to internal logs. Scholars examining democratic harms from recommendation architectures already highlight that proprietary constraints and trade secrecy limit detailed technical analysis and that many conclusions must rest on documented case studies and partial disclosure by platforms</w:t>
      </w:r>
      <w:r>
        <w:t xml:space="preserve"> </w:t>
      </w:r>
      <w:r>
        <w:t xml:space="preserve">(T et al., 2026, p. 6)</w:t>
      </w:r>
      <w:r>
        <w:t xml:space="preserve">. This thesis adopts the same boundary: audits and pro social pivot strategies are framed around externally assessable properties such as explainability obligations, independent audit requirements, and risk classifications rather than unverified reconstructions of internal model weights or training data</w:t>
      </w:r>
      <w:r>
        <w:t xml:space="preserve"> </w:t>
      </w:r>
      <w:r>
        <w:t xml:space="preserve">(Kostenko, 2025, p. 244; T et al., 2026, p. 16)</w:t>
      </w:r>
      <w:r>
        <w:t xml:space="preserve">. The regulatory frame is similarly delimited. Detailed discussion draws on formally adopted EU instruments such as the Digital Services Act and the AI Act, together with extended AI law proposals that specify transparency, non discrimination, and audit obligations for high risk systems, including independent technical, legal, and ethical assessments, algorithmic passports, and national registers of AI systems</w:t>
      </w:r>
      <w:r>
        <w:t xml:space="preserve"> </w:t>
      </w:r>
      <w:r>
        <w:t xml:space="preserve">(Kostenko, 2025, p. 244; 2025, p. 243)</w:t>
      </w:r>
      <w:r>
        <w:t xml:space="preserve">. A second cluster of norms is taken from the AI Law Model’s principle of digital neutrality, which prohibits AI systems that distort information processes, embed hidden censorship, or discriminate between users, and requires operators to document decision logic and submit to independent audits, with violations recorded in a public Register of Digital Neutrality Incidents</w:t>
      </w:r>
      <w:r>
        <w:t xml:space="preserve"> </w:t>
      </w:r>
      <w:r>
        <w:t xml:space="preserve">(Kostenko, 2025, p. 109)</w:t>
      </w:r>
      <w:r>
        <w:t xml:space="preserve">. These provisions serve as normative benchmarks for the Ethical AI Audit Toolkit but are not reinterpreted beyond the explicit textual formulations. While the project is motivated by an impending Digital Fairness Act trajectory introduced in earlier sections, only currently available descriptions of dark patterns, AI enabled manipulation, and related consumer protection interventions are used to define legal boundaries. For instance, analyses of Georgia’s E commerce Guideline treat platform transparency duties, disclosure of key recommender parameters in terms of service, and explicit identification of harmful dark patterns as examples of how regulators already target manipulative design. International initiatives such as the OECD’s 2022 report on dark commercial patterns and coordinated ICPEN sweeps are included only insofar as they produce shared definitions of manipulation and document prevalent deceptive practices on audited websites</w:t>
      </w:r>
      <w:r>
        <w:t xml:space="preserve"> </w:t>
      </w:r>
      <w:r>
        <w:t xml:space="preserve">(Sanikidze, 2026, p. 391)</w:t>
      </w:r>
      <w:r>
        <w:t xml:space="preserve">. Any forward looking references to a Digital Fairness Act are therefore treated as policy direction anchored in these existing materials, not as codified law. The organisational governance scope emphasises internal structures such as Communities of Practice, CSR mechanisms, and AI ethics committees that translate shared ethical learning into policies, reporting routines, algorithm audits, and stakeholder facing accountability structures</w:t>
      </w:r>
      <w:r>
        <w:t xml:space="preserve"> </w:t>
      </w:r>
      <w:r>
        <w:t xml:space="preserve">(Asante &amp; Adeoba, 2026, p. 11; 2026, p. 16)</w:t>
      </w:r>
      <w:r>
        <w:t xml:space="preserve">. Research on ethical AI marketing restricts this governance focus to transparency, privacy protection, fairness, and user control as drivers of stakeholder trust, and highlights secondary qualitative synthesis as a suitable method where empirical validation of mediation models remains a future task</w:t>
      </w:r>
      <w:r>
        <w:t xml:space="preserve"> </w:t>
      </w:r>
      <w:r>
        <w:t xml:space="preserve">(Asante &amp; Adeoba, 2026, p. 11)</w:t>
      </w:r>
      <w:r>
        <w:t xml:space="preserve">. The present thesis therefore assumes that audit recommendations will be implemented through CSR style governance and internal learning environments, not as isolated compliance checklists detached from organisational practice</w:t>
      </w:r>
      <w:r>
        <w:t xml:space="preserve"> </w:t>
      </w:r>
      <w:r>
        <w:t xml:space="preserve">(Asante &amp; Adeoba, 2026, p. 11; 2026, p. 16)</w:t>
      </w:r>
      <w:r>
        <w:t xml:space="preserve">. Several key assumptions follow from these boundaries. First, digital literacy and regulatory awareness gaps identified in survey work on GDPR, the DSA, and the AI Act are taken as indicative of persistent user vulnerability to sophisticated online threats, including dark patterns and AI mediated manipulation, despite high self rated competence</w:t>
      </w:r>
      <w:r>
        <w:t xml:space="preserve"> </w:t>
      </w:r>
      <w:r>
        <w:t xml:space="preserve">(Chukhray &amp; Koval, 2026, p. 2)</w:t>
      </w:r>
      <w:r>
        <w:t xml:space="preserve">. Second, it is assumed that human in the loop oversight remains indispensable for high impact AI systems: regulatory texts call for human supervision channels, appeal procedures, and incident management contacts in algorithmic passports, while educational HITL models show that combining machine efficiency with human judgment can sustain trust and fairness</w:t>
      </w:r>
      <w:r>
        <w:t xml:space="preserve"> </w:t>
      </w:r>
      <w:r>
        <w:t xml:space="preserve">(Kostenko, 2025, p. 244; Selvam &amp; González Vallejo, 2025, p. 21)</w:t>
      </w:r>
      <w:r>
        <w:t xml:space="preserve">. Recent scholarship that proposes computational frameworks for embedding human values and integrating transparency, fairness and privacy into AI practice may suggest concrete pathways for operationalising such oversight in audits, even if practical application often appears partial and contested</w:t>
      </w:r>
      <w:r>
        <w:t xml:space="preserve"> </w:t>
      </w:r>
      <w:r>
        <w:t xml:space="preserve">(Travieso-González, 2025, p. 3)</w:t>
      </w:r>
      <w:r>
        <w:t xml:space="preserve">. Third, the project presumes that independent auditing and transparency are enforceable governance levers. AI law proposals establish mandatory audits, registration, and trust marks for high risk systems, including public access to key registry attributes, while democratic recommendation governance work advocates annual third party audits to check compliance with content policies, diversity benchmarks, and misinformation mitigation measures</w:t>
      </w:r>
      <w:r>
        <w:t xml:space="preserve"> </w:t>
      </w:r>
      <w:r>
        <w:t xml:space="preserve">(Kostenko, 2025, p. 244; T et al., 2026, p. 16)</w:t>
      </w:r>
      <w:r>
        <w:t xml:space="preserve">. These assumptions frame what the Ethical AI Audit Toolkit can legitimately claim: it operates within published regulatory expectations, secondary qualitative evidence, and observable system behaviours rather than claiming privileged access to proprietary algorithms or undisclosed metrics</w:t>
      </w:r>
      <w:r>
        <w:t xml:space="preserve"> </w:t>
      </w:r>
      <w:r>
        <w:t xml:space="preserve">(Asante &amp; Adeoba, 2026, p. 11; Kostenko, 2025, p. 244; T et al., 2026, p. 6)</w:t>
      </w:r>
      <w:r>
        <w:t xml:space="preserve">.</w:t>
      </w:r>
    </w:p>
    <w:bookmarkEnd w:id="23"/>
    <w:bookmarkStart w:id="24" w:name="sec:conceptual_algorithmic_addiction"/>
    <w:p>
      <w:pPr>
        <w:pStyle w:val="Heading2"/>
      </w:pPr>
      <w:r>
        <w:rPr>
          <w:rStyle w:val="SectionNumber"/>
        </w:rPr>
        <w:t xml:space="preserve">1.4</w:t>
      </w:r>
      <w:r>
        <w:tab/>
      </w:r>
      <w:r>
        <w:t xml:space="preserve">Conceptual Clarification of Algorithmic Addiction</w:t>
      </w:r>
    </w:p>
    <w:p>
      <w:pPr>
        <w:pStyle w:val="FirstParagraph"/>
      </w:pPr>
      <w:r>
        <w:t xml:space="preserve">Algorithmic addiction in social recommender systems can be clarified by combining psychological accounts of compulsive technology use with evidence on engagement optimization and ethical AI principles. Short video platforms provide a concrete reference point. Neural network based recommendation engines on such platforms continuously optimize content matching, using micro duration stimuli and variable reward schedules to trigger dopamine release and induce an "auto pilot mode" of persistent scrolling. This configuration has been described as algorithm driven "addictive design," and has already attracted scrutiny under the Digital Services Act, where infinite scrolling, auto play, and push notifications were investigated as systematic manipulative features that impair users’ capacity for free and informed choice. College students illustrate how this dynamic interacts with developmental vulnerability. They are described as being in a phase of unstable self identity and incompletely matured executive functions, with heightened psychological sensitivity and variable self control. These traits render them particularly susceptible to such recommendation systems, which can transform moderate information seeking into excessive use associated with diminished academic concentration, weakened social skills, heightened anxiety and depression, and behavioural addiction</w:t>
      </w:r>
      <w:r>
        <w:t xml:space="preserve"> </w:t>
      </w:r>
      <w:r>
        <w:t xml:space="preserve">(Li, 2026, p. 2)</w:t>
      </w:r>
      <w:r>
        <w:t xml:space="preserve">. In this report, algorithmic addiction will therefore denote patterns of compulsive engagement that emerge from the interaction of personalized recommendation logic, interface level stimuli such as infinite scroll, and user vulnerabilities that limit reflective control. Social media recommender research extends this picture from short video to broader content feeds. Engagement driven prioritization has been associated with algorithmic amplification of misinformation, behavioural addiction, and reinforcement of societal polarization. Empirical evidence discussed in one study indicates that engagement oriented content ranking creates a paradox: platforms both connect users and manipulate cognitive autonomy</w:t>
      </w:r>
      <w:r>
        <w:t xml:space="preserve"> </w:t>
      </w:r>
      <w:r>
        <w:t xml:space="preserve">(Hu, 2025, p. 19)</w:t>
      </w:r>
      <w:r>
        <w:t xml:space="preserve">. Algorithmic architectures rooted in collaborative filtering and similarity metrics systematically amplify high arousal material such as outrage or sensationalism. Findings on Instagram’s prioritization of body negative imagery and the associated decline in self esteem among adolescent women of color exemplify how such prioritization can generate harm while users remain only partially aware of the underlying curation. Neurocognitive indicators further specify addiction like patterns. Longitudinal data shows that users exposed to hyper personalized feeds exhibit higher incidence of depressive symptoms than those receiving chronological content. Neuroimaging work links algorithmically amplified "doomscrolling" to reduced prefrontal cortex activity, mirroring patterns found in substance dependence</w:t>
      </w:r>
      <w:r>
        <w:t xml:space="preserve"> </w:t>
      </w:r>
      <w:r>
        <w:t xml:space="preserve">(Hu, 2025, p. 3)</w:t>
      </w:r>
      <w:r>
        <w:t xml:space="preserve">. Together with evidence of compulsive checking behaviours in dopamine driven feedback loops, these findings support an understanding of algorithmic addiction as a condition in which recommender logics and interface affordances repeatedly cue high arousal responses that over time alter emotional regulation and impulse control</w:t>
      </w:r>
      <w:r>
        <w:t xml:space="preserve"> </w:t>
      </w:r>
      <w:r>
        <w:t xml:space="preserve">(Hu, 2025, p. 2; Li, 2026, p. 2)</w:t>
      </w:r>
      <w:r>
        <w:t xml:space="preserve">. Ethical and legal models supply complementary normative boundaries. Kostenko’s principle of ethical responsibility prohibits AI systems that manipulate user behaviour, cause digital addiction, emotional exhaustion, loss of trust, or suppress autonomy, and it frames psycho emotional comfort and the right to an informed decision as mandatory design objectives</w:t>
      </w:r>
      <w:r>
        <w:t xml:space="preserve"> </w:t>
      </w:r>
      <w:r>
        <w:t xml:space="preserve">(Kostenko, 2025, pp. 61–62)</w:t>
      </w:r>
      <w:r>
        <w:t xml:space="preserve">. The principle of digital neutrality adds that algorithms must not distort information processes or manipulate digital flows for the benefit of some subjects to the detriment of others, and requires operators to document decision logic, provide explanations, and submit to independent audit, with proven manipulation recognized as a threat to national security and digital sovereignty</w:t>
      </w:r>
      <w:r>
        <w:t xml:space="preserve"> </w:t>
      </w:r>
      <w:r>
        <w:t xml:space="preserve">(Kostenko, 2025, p. 109)</w:t>
      </w:r>
      <w:r>
        <w:t xml:space="preserve">. Within this thesis, algorithmic addiction will therefore be treated not only as a behavioural and neurocognitive pattern but also as a violation of these articulated duties: a state in which optimization for engagement and profit produces compulsive, autonomy reducing usage that conflicts with ethical responsibility and digital neutrality obligations</w:t>
      </w:r>
      <w:r>
        <w:t xml:space="preserve"> </w:t>
      </w:r>
      <w:r>
        <w:t xml:space="preserve">(Hu, 2025, p. 19; Kostenko, 2025, pp. 61–62; 2025, p. 109; Li, 2026, p. 2)</w:t>
      </w:r>
      <w:r>
        <w:t xml:space="preserve">.</w:t>
      </w:r>
    </w:p>
    <w:p>
      <w:pPr>
        <w:pStyle w:val="BodyText"/>
      </w:pPr>
      <w:r>
        <w:t xml:space="preserve">Matrix factorization based recommenders frequently incorporate social ties to sharpen personalization, and recent work shows how both explicit friendships and inferred, implicit connections can be fused into probabilistic matrix factorization to improve predictive accuracy</w:t>
      </w:r>
      <w:r>
        <w:t xml:space="preserve"> </w:t>
      </w:r>
      <w:r>
        <w:t xml:space="preserve">(Reafee et al., 2016, p. 2)</w:t>
      </w:r>
      <w:r>
        <w:t xml:space="preserve">. While such hybrids can enhance relevance, they also appear likely to intensify feedback loops by leveraging social topology and interaction signals to serve ever more engaging content, a technical pathway that plausibly contributes to the compulsive patterns described above</w:t>
      </w:r>
      <w:r>
        <w:t xml:space="preserve"> </w:t>
      </w:r>
      <w:r>
        <w:t xml:space="preserve">(Reafee et al., 2016, p. 2)</w:t>
      </w:r>
      <w:r>
        <w:t xml:space="preserve">.</w:t>
      </w:r>
    </w:p>
    <w:bookmarkEnd w:id="24"/>
    <w:bookmarkStart w:id="25" w:name="sec:positioning_mgmt_ai_ethics"/>
    <w:p>
      <w:pPr>
        <w:pStyle w:val="Heading2"/>
      </w:pPr>
      <w:r>
        <w:rPr>
          <w:rStyle w:val="SectionNumber"/>
        </w:rPr>
        <w:t xml:space="preserve">1.5</w:t>
      </w:r>
      <w:r>
        <w:tab/>
      </w:r>
      <w:r>
        <w:t xml:space="preserve">Positioning within Management and AI Ethics Scholarship</w:t>
      </w:r>
    </w:p>
    <w:p>
      <w:pPr>
        <w:pStyle w:val="FirstParagraph"/>
      </w:pPr>
      <w:r>
        <w:t xml:space="preserve">Management scholarship on AI already treats ethical governance as an organisational learning and control problem rather than a purely technical optimisation task. Communities of Practice (CoP) are conceptualised as social learning systems in which professionals with shared interests meet regularly, create knowledge together, and develop capabilities through participation, engagement, and joint problem solving</w:t>
      </w:r>
      <w:r>
        <w:t xml:space="preserve"> </w:t>
      </w:r>
      <w:r>
        <w:t xml:space="preserve">(Asante &amp; Adeoba, 2026, p. 3)</w:t>
      </w:r>
      <w:r>
        <w:t xml:space="preserve">. Within this perspective, ethical AI in marketing is framed as context dependent, shaped by organisational culture, stakeholder expectations, and governance structures, and continually developing through inductive, subjectivist knowledge construction rather than fixed rulebooks. Secondary qualitative research using reflexive thematic analysis is explicitly proposed as a suitable strategy to synthesise fragmented evidence from marketing, information systems, organisational learning, and CSR in order to clarify how organisational mechanisms support responsible AI implementation</w:t>
      </w:r>
      <w:r>
        <w:t xml:space="preserve"> </w:t>
      </w:r>
      <w:r>
        <w:t xml:space="preserve">(Asante &amp; Adeoba, 2026, p. 8)</w:t>
      </w:r>
      <w:r>
        <w:t xml:space="preserve">. CSR is positioned as a core governance bridge between internal ethical learning and external accountability. Conceptual work argues that CSR formalises insights generated in CoP into commitments, policies, reporting mechanisms, and accountability practices that structure responsible digital behaviour</w:t>
      </w:r>
      <w:r>
        <w:t xml:space="preserve"> </w:t>
      </w:r>
      <w:r>
        <w:t xml:space="preserve">(Asante &amp; Adeoba, 2026, p. 16)</w:t>
      </w:r>
      <w:r>
        <w:t xml:space="preserve">. In this view, CSR operates as a mediator between CoP and ethical AI marketing strategy: it converts emerging moral awareness into concrete routines for AI design, data management, consumer communication, and performance measurement that can sustain trust and mitigate reputational risk</w:t>
      </w:r>
      <w:r>
        <w:t xml:space="preserve"> </w:t>
      </w:r>
      <w:r>
        <w:t xml:space="preserve">(Asante &amp; Adeoba, 2026, p. 16; 2026, p. 11)</w:t>
      </w:r>
      <w:r>
        <w:t xml:space="preserve">. This mediating role directly informs management oriented audit tools, where algorithm audits, AI ethics committees, and CSR metrics are treated as institutional devices that make ethical aspirations enforceable inside firms</w:t>
      </w:r>
      <w:r>
        <w:t xml:space="preserve"> </w:t>
      </w:r>
      <w:r>
        <w:t xml:space="preserve">(Asante &amp; Adeoba, 2026, p. 16)</w:t>
      </w:r>
      <w:r>
        <w:t xml:space="preserve">. Ethical AI marketing research highlights stakeholder trust as a central outcome variable. Trust is found to rest on transparency, privacy protection, fairness, accountability, and responsible personalisation rather than on technical efficiency alone</w:t>
      </w:r>
      <w:r>
        <w:t xml:space="preserve"> </w:t>
      </w:r>
      <w:r>
        <w:t xml:space="preserve">(Asante &amp; Adeoba, 2026, p. 16; 2026, p. 11)</w:t>
      </w:r>
      <w:r>
        <w:t xml:space="preserve">. Synthesised findings emphasise that consumers’ acceptance of AI driven advertising, pricing, and personalisation is conditioned by perceived control and clarity, which implies that any audit framework for social recommender systems must address these dimensions explicitly if it aims to be managerially relevant</w:t>
      </w:r>
      <w:r>
        <w:t xml:space="preserve"> </w:t>
      </w:r>
      <w:r>
        <w:t xml:space="preserve">(Asante &amp; Adeoba, 2026, p. 11)</w:t>
      </w:r>
      <w:r>
        <w:t xml:space="preserve">. Within this strand, ethical AI is presented as an organisational learning and governance challenge that cuts across departmental boundaries, aligning closely with the thesis focus on embedding an Ethical AI Audit Toolkit into CSR style structures rather than treating it as a stand alone compliance exercise</w:t>
      </w:r>
      <w:r>
        <w:t xml:space="preserve"> </w:t>
      </w:r>
      <w:r>
        <w:t xml:space="preserve">(Asante &amp; Adeoba, 2026, p. 3; 2026, p. 11)</w:t>
      </w:r>
      <w:r>
        <w:t xml:space="preserve">. Parallel developments in AI governance and law supply an external normative frame that management research must integrate. Kostenko’s AI Law Model starts from ethical principles such as human dignity, autonomy, justice, and non discrimination, and operationalises them through mandatory procedures that include notification of AI use, explainability and evidence for algorithmic conclusions, revision of data sources, guarantees of human control over critical automated decisions, counteraction to manipulative practices, and protection of vulnerable groups. The same model stresses institutional architectures such as national scientific and expert councils on AI, accreditation of auditors, public registers of high risk systems, and dynamic risk reclassification based on AI audits and third line oversight</w:t>
      </w:r>
      <w:r>
        <w:t xml:space="preserve"> </w:t>
      </w:r>
      <w:r>
        <w:t xml:space="preserve">(Kostenko, 2025, p. 9)</w:t>
      </w:r>
      <w:r>
        <w:t xml:space="preserve">. These provisions position corporate AI governance within a broader multi level system that couples technical standards with ethical oversight, and they resonate with management calls for independent audits and external oversight committees in corporate practice</w:t>
      </w:r>
      <w:r>
        <w:t xml:space="preserve"> </w:t>
      </w:r>
      <w:r>
        <w:t xml:space="preserve">(Bahangulu &amp; Owusu-Berko, 2025, p. 9; Kostenko, 2025, p. 9)</w:t>
      </w:r>
      <w:r>
        <w:t xml:space="preserve">. Digital consumer and financial ethics research provides a further anchoring point. Studies on AI embedded financial decision support identify challenges around explainability, automation bias, and diminished human agency when credit scoring or robo advisory recommendations conflict with users’ circumstances or emotional considerations</w:t>
      </w:r>
      <w:r>
        <w:t xml:space="preserve"> </w:t>
      </w:r>
      <w:r>
        <w:t xml:space="preserve">(Cao, 2026, p. 2; Raaj S. et al., 2026, p. 3)</w:t>
      </w:r>
      <w:r>
        <w:t xml:space="preserve">. Evidence from credit decisioning shows that machine learning models trained on proxy variables can reproduce systemic gender and intersectional discrimination even when protected attributes are not directly used, and that conventional fairness audits focusing only on overt attributes can miss compounded disadvantages in subgroups defined by multiple characteristics</w:t>
      </w:r>
      <w:r>
        <w:t xml:space="preserve"> </w:t>
      </w:r>
      <w:r>
        <w:t xml:space="preserve">(Sebastian, 2025, p. 9)</w:t>
      </w:r>
      <w:r>
        <w:t xml:space="preserve">. Such findings underscore why management oriented ethical audits must incorporate nuanced fairness diagnostics and cannot rely solely on formal non use of sensitive features as a guarantee of non discrimination</w:t>
      </w:r>
      <w:r>
        <w:t xml:space="preserve"> </w:t>
      </w:r>
      <w:r>
        <w:t xml:space="preserve">(Deldjoo et al., 2023a, p. 7; Sebastian, 2025, p. 9)</w:t>
      </w:r>
      <w:r>
        <w:t xml:space="preserve">. Methodologically, both ethical AI marketing and dark pattern regulation studies endorse secondary qualitative designs that synthesise regulatory texts, institutional reports, and consumer survey evidence where access to proprietary data is constrained</w:t>
      </w:r>
      <w:r>
        <w:t xml:space="preserve"> </w:t>
      </w:r>
      <w:r>
        <w:t xml:space="preserve">(Asante &amp; Adeoba, 2026, p. 8; Khare et al., 2026, p. 6)</w:t>
      </w:r>
      <w:r>
        <w:t xml:space="preserve">. Constructivist grounded theory in digital consumption research similarly treats platforms as mediating moral environments and emphasises identity processes, emotional appraisal, and structural constraints, particularly for student populations with intensive digital engagement and intention behaviour gaps</w:t>
      </w:r>
      <w:r>
        <w:t xml:space="preserve"> </w:t>
      </w:r>
      <w:r>
        <w:t xml:space="preserve">(Raaj S. et al., 2026, p. 3; 2026, p. 5)</w:t>
      </w:r>
      <w:r>
        <w:t xml:space="preserve">. These converging methodological choices validate the present thesis reliance on literature based inquiry and reflexive thematic analysis as an accepted path for generating theory driven audit tools in contexts characterised by black box algorithmic opacity and limited experimental access</w:t>
      </w:r>
      <w:r>
        <w:t xml:space="preserve"> </w:t>
      </w:r>
      <w:r>
        <w:t xml:space="preserve">(Asante &amp; Adeoba, 2026, p. 8; Chukhray &amp; Koval, 2026, p. 2; Khare et al., 2026, p. 6)</w:t>
      </w:r>
      <w:r>
        <w:t xml:space="preserve">. Empirical work on personalization-based dark patterns further suggests that algorithmic interface design can induce decision distortion through well‑known psychological mechanisms such as loss aversion and anchoring, which in practice amplifies the ethical stakes for marketing audits</w:t>
      </w:r>
      <w:r>
        <w:t xml:space="preserve"> </w:t>
      </w:r>
      <w:r>
        <w:t xml:space="preserve">(Zulfikar, 2026, p. 4)</w:t>
      </w:r>
      <w:r>
        <w:t xml:space="preserve">. This implies that audit protocols should explicitly test for manipulative interface elements and their cognitive mediators, since technical compliance alone may leave systematic consumer harms unaddressed</w:t>
      </w:r>
      <w:r>
        <w:t xml:space="preserve"> </w:t>
      </w:r>
      <w:r>
        <w:t xml:space="preserve">(Zulfikar, 2026, p. 4)</w:t>
      </w:r>
      <w:r>
        <w:t xml:space="preserve">. Practical studies of expert interaction with AI indicate that interfaces which surface uncertainty, separate AI suggestions from failure evidence, and allow users to reweight evaluative criteria tend to preserve professional agency and improve critical scrutiny of automated outputs</w:t>
      </w:r>
      <w:r>
        <w:t xml:space="preserve"> </w:t>
      </w:r>
      <w:r>
        <w:t xml:space="preserve">(Tseng &amp; Lee, 2026, p. 6)</w:t>
      </w:r>
      <w:r>
        <w:t xml:space="preserve">. Such human factors recommendations therefore appear to offer concrete checks that CSR framed audits could adopt to assess whether consumer‑facing AI systems make decision contexts inspectable and responsibly controllable</w:t>
      </w:r>
      <w:r>
        <w:t xml:space="preserve"> </w:t>
      </w:r>
      <w:r>
        <w:t xml:space="preserve">(Tseng &amp; Lee, 2026, p. 6)</w:t>
      </w:r>
      <w:r>
        <w:t xml:space="preserve">.</w:t>
      </w:r>
    </w:p>
    <w:bookmarkEnd w:id="25"/>
    <w:bookmarkEnd w:id="26"/>
    <w:bookmarkStart w:id="35" w:name="X1e6e0b2bb1adc0836e021a322841fbe85954707"/>
    <w:p>
      <w:pPr>
        <w:pStyle w:val="Heading1"/>
      </w:pPr>
      <w:r>
        <w:rPr>
          <w:rStyle w:val="SectionNumber"/>
        </w:rPr>
        <w:t xml:space="preserve">2</w:t>
      </w:r>
      <w:r>
        <w:tab/>
      </w:r>
      <w:r>
        <w:t xml:space="preserve">Socio-Technical Foundations of Social Recommender Systems</w:t>
      </w:r>
    </w:p>
    <w:bookmarkStart w:id="30" w:name="X9dbc05c9ce1580bc20fafdf3ee32976255cd903"/>
    <w:p>
      <w:pPr>
        <w:pStyle w:val="Heading2"/>
      </w:pPr>
      <w:r>
        <w:rPr>
          <w:rStyle w:val="SectionNumber"/>
        </w:rPr>
        <w:t xml:space="preserve">2.1</w:t>
      </w:r>
      <w:r>
        <w:tab/>
      </w:r>
      <w:r>
        <w:t xml:space="preserve">Architecture of Social Recommender Systems</w:t>
      </w:r>
    </w:p>
    <w:bookmarkStart w:id="27" w:name="sec:core_components_pipelines"/>
    <w:p>
      <w:pPr>
        <w:pStyle w:val="Heading3"/>
      </w:pPr>
      <w:r>
        <w:rPr>
          <w:rStyle w:val="SectionNumber"/>
        </w:rPr>
        <w:t xml:space="preserve">2.1.1</w:t>
      </w:r>
      <w:r>
        <w:tab/>
      </w:r>
      <w:r>
        <w:t xml:space="preserve">Core Components of Recommendation Pipelines</w:t>
      </w:r>
    </w:p>
    <w:p>
      <w:pPr>
        <w:pStyle w:val="FirstParagraph"/>
      </w:pPr>
      <w:r>
        <w:t xml:space="preserve">Recommendation pipelines can be decomposed into a sequence of data, model, and governance components that together determine what content is surfaced, how it is justified, and how its business value is assessed. In social environments, these components are typically instrumented around implicit feedback such as clicks, viewing time, purchases, or browsing activity, which serve as proxy indicators of user interest even though they do not directly encode satisfaction</w:t>
      </w:r>
      <w:r>
        <w:t xml:space="preserve"> </w:t>
      </w:r>
      <w:r>
        <w:t xml:space="preserve">(Polatidis et al., 2026, p. 21)</w:t>
      </w:r>
      <w:r>
        <w:t xml:space="preserve">. Interaction data and associated metadata form the entry point of the pipeline. Contemporary systems often ingest continuous streams of heterogeneous signals into cloud data lakes via distributed messaging infrastructure. In financial decision support, for instance, transaction streams are captured through systems such as Apache Kafka, with row level security and cryptographic tenant isolation to prevent cross contamination between clients. Historical biases can enter at this stage through proxy variables such as geolocation or spending patterns, which can reconstruct protected attributes despite formal omission of sensitive fields</w:t>
      </w:r>
      <w:r>
        <w:t xml:space="preserve"> </w:t>
      </w:r>
      <w:r>
        <w:t xml:space="preserve">(S, 2026, p. 4)</w:t>
      </w:r>
      <w:r>
        <w:t xml:space="preserve">. Social recommender pipelines that rely on similar behavioral telemetry are exposed to analogous risks when seemingly benign features correlate with demographic identity</w:t>
      </w:r>
      <w:r>
        <w:t xml:space="preserve"> </w:t>
      </w:r>
      <w:r>
        <w:t xml:space="preserve">(Polatidis et al., 2026, p. 21; S, 2026, p. 4)</w:t>
      </w:r>
      <w:r>
        <w:t xml:space="preserve">. Pre processing and feature engineering layers transform these raw interaction logs into model ready vectors. Experimental cloud architectures interpose an intermediate telemetry parsing layer that cleans and normalizes inputs before exposing them to bias mitigation engines. In credit scoring contexts, such engines operate in three phases: optimized reweighting at pre processing to neutralize historical discrimination patterns, adversarial debiasing during model training to reduce dependence on proxy markers, and reject option classification at post processing to correct residual bias in borderline cases without retraining the core model. These mechanisms are explicitly designed to align model outputs with fairness constraints while preserving predictive performance</w:t>
      </w:r>
      <w:r>
        <w:t xml:space="preserve"> </w:t>
      </w:r>
      <w:r>
        <w:t xml:space="preserve">(S, 2026, p. 4)</w:t>
      </w:r>
      <w:r>
        <w:t xml:space="preserve">. Core recommender models then operate on these engineered signals. Analyses of algorithm families show that content based techniques tend to retrieve items that are very similar to those a user has already interacted with, which can limit discovery effects. Collaborative filtering approaches are often better suited to serendipitous recommendations but can be "risky," as they may also surface niche or obscure items. Within collaborative methods, algorithms such as Bayesian Personalized Ranking display a bias toward already popular items, while other matrix factorization variants can highlight long tail content. Business facing studies therefore stress that characterizing a recommender solely by accuracy or even beyond accuracy metrics is insufficient unless the downstream effects on consumer behaviour and business value are also considered. Evaluation and optimization components translate these model behaviours into measurable outcomes. Beyond accuracy metrics such as diversity, novelty, and serendipity are used to assess whether a system exposes users to a broader catalogue rather than only blockbusters. In video streaming and e commerce, catalog coverage, user coverage, and sales diversity are treated as direct quality measures. Bandit based recommenders operationalize exploration by randomly serving a proportion of novel items and using observed feedback to decide whether these should be promoted more widely. Such designs may counteract feedback loops in which a small set of items repeatedly receives exposure and engagement, increasing "rich get richer" effects. Yet research also notes that for many beyond accuracy measures, the correlation with actual user perception is unclear, and that industrial deployments often report only high level business metrics without detailing how diversity or novelty is enforced algorithmically</w:t>
      </w:r>
      <w:r>
        <w:t xml:space="preserve"> </w:t>
      </w:r>
      <w:r>
        <w:t xml:space="preserve">(Jannach &amp; Jugovac, 2019, p. 15)</w:t>
      </w:r>
      <w:r>
        <w:t xml:space="preserve">. Dataset curation and benchmarking are additional structural components that shape recommendation outcomes. Widely used datasets such as MovieLens, Amazon, RetailRocket, MIND, EB NeRD, Epinions, and FilmTrust each emphasize different properties: explicit ratings, large scale implicit interactions, temporal dynamics, or social and trust relationships. These differences influence which algorithms appear effective in experimental studies and how sparsity challenges are addressed. In sparse regimes, collaborative filtering struggles due to limited overlap in user histories, prompting the adoption of hybrid, graph based, or knowledge aware methods. Public availability of such datasets has enabled reproducible evaluation but introduces biases related to popularity distributions, demographic skew, and limited contextual information, all of which constrain generalizability to real world social recommendation settings</w:t>
      </w:r>
      <w:r>
        <w:t xml:space="preserve"> </w:t>
      </w:r>
      <w:r>
        <w:t xml:space="preserve">(Polatidis et al., 2026, p. 21)</w:t>
      </w:r>
      <w:r>
        <w:t xml:space="preserve">. Ethical and governance oriented components such as explainability, audit logging, and bias mitigation are increasingly embedded alongside these technical stages. Financial AI architectures, for example, deploy asynchronous SHAP or LIME computations in parallel with inference, stamping explanation vectors with cryptographic hashes and storing them on immutable ledgers to enable regulatory audits. These arrangements demonstrate that recommendation pipelines can be instrumented for real time transparency and post hoc accountability rather than treating ethics as an external layer</w:t>
      </w:r>
      <w:r>
        <w:t xml:space="preserve"> </w:t>
      </w:r>
      <w:r>
        <w:t xml:space="preserve">(S, 2026, p. 4)</w:t>
      </w:r>
      <w:r>
        <w:t xml:space="preserve">.</w:t>
      </w:r>
    </w:p>
    <w:bookmarkEnd w:id="27"/>
    <w:bookmarkStart w:id="28" w:name="sec:feedback_loops_user_ranking"/>
    <w:p>
      <w:pPr>
        <w:pStyle w:val="Heading3"/>
      </w:pPr>
      <w:r>
        <w:rPr>
          <w:rStyle w:val="SectionNumber"/>
        </w:rPr>
        <w:t xml:space="preserve">2.1.2</w:t>
      </w:r>
      <w:r>
        <w:tab/>
      </w:r>
      <w:r>
        <w:t xml:space="preserve">Feedback Loops between User Behavior and Ranking</w:t>
      </w:r>
    </w:p>
    <w:p>
      <w:pPr>
        <w:pStyle w:val="FirstParagraph"/>
      </w:pPr>
      <w:r>
        <w:t xml:space="preserve">Feedback dynamics in social recommendation environments arise whenever user interactions are recycled as training signals that determine subsequent rankings. Short video ecosystems offer a concrete illustration. Recommendation engines in these settings use viewing history, likes, and comments to form a closed loop of "personalized</w:t>
      </w:r>
      <w:r>
        <w:t xml:space="preserve"> </w:t>
      </w:r>
      <m:oMath>
        <m:r>
          <m:rPr>
            <m:sty m:val="p"/>
          </m:rPr>
          <m:t>→</m:t>
        </m:r>
      </m:oMath>
      <w:r>
        <w:t xml:space="preserve"> </w:t>
      </w:r>
      <w:r>
        <w:t xml:space="preserve">need satisfaction</w:t>
      </w:r>
      <w:r>
        <w:t xml:space="preserve"> </w:t>
      </w:r>
      <m:oMath>
        <m:r>
          <m:rPr>
            <m:sty m:val="p"/>
          </m:rPr>
          <m:t>→</m:t>
        </m:r>
      </m:oMath>
      <w:r>
        <w:t xml:space="preserve"> </w:t>
      </w:r>
      <w:r>
        <w:t xml:space="preserve">behavioral data accumulation</w:t>
      </w:r>
      <w:r>
        <w:t xml:space="preserve"> </w:t>
      </w:r>
      <m:oMath>
        <m:r>
          <m:rPr>
            <m:sty m:val="p"/>
          </m:rPr>
          <m:t>→</m:t>
        </m:r>
      </m:oMath>
      <w:r>
        <w:t xml:space="preserve"> </w:t>
      </w:r>
      <w:r>
        <w:t xml:space="preserve">algorithm optimization</w:t>
      </w:r>
      <w:r>
        <w:t xml:space="preserve"> </w:t>
      </w:r>
      <m:oMath>
        <m:r>
          <m:rPr>
            <m:sty m:val="p"/>
          </m:rPr>
          <m:t>→</m:t>
        </m:r>
      </m:oMath>
      <w:r>
        <w:t xml:space="preserve"> </w:t>
      </w:r>
      <w:r>
        <w:t xml:space="preserve">re push." Within this loop, more precise targeting increases immersion and behavioural dependence, while the resulting "information cocoons" narrow exposure and intensify cognitive limitations and dependency on the feed. Engagement metrics therefore function simultaneously as optimization targets and as data sources that entrench the very patterns they measure. Neuropsychological mechanisms accentuate these loops. Continuous exposure to personalized short video content stimulates ventral tegmental area reward circuitry, with dopamine release tied to anticipation of the next clip rather than to completed rewards. This produces cycles of "pursuit</w:t>
      </w:r>
      <w:r>
        <w:t xml:space="preserve"> </w:t>
      </w:r>
      <m:oMath>
        <m:r>
          <m:rPr>
            <m:sty m:val="p"/>
          </m:rPr>
          <m:t>→</m:t>
        </m:r>
      </m:oMath>
      <w:r>
        <w:t xml:space="preserve"> </w:t>
      </w:r>
      <w:r>
        <w:t xml:space="preserve">transient satisfaction</w:t>
      </w:r>
      <w:r>
        <w:t xml:space="preserve"> </w:t>
      </w:r>
      <m:oMath>
        <m:r>
          <m:rPr>
            <m:sty m:val="p"/>
          </m:rPr>
          <m:t>→</m:t>
        </m:r>
      </m:oMath>
      <w:r>
        <w:t xml:space="preserve"> </w:t>
      </w:r>
      <w:r>
        <w:t xml:space="preserve">further pursuit" that are repeatedly triggered by the simple act of swiping, especially given the very low operational cost of extending a session. Prolonged high frequency stimulation may induce expression of</w:t>
      </w:r>
      <w:r>
        <w:t xml:space="preserve"> </w:t>
      </w:r>
      <m:oMath>
        <m:r>
          <m:t>Δ</m:t>
        </m:r>
      </m:oMath>
      <w:r>
        <w:t xml:space="preserve">FosB, altering gene expression in reward circuits. Combined with 15–60 second "sunflower seed" video formats and infinite scroll, these dynamics weaken self regulatory capacity and support escalating usage, particularly among adolescents with immature self control</w:t>
      </w:r>
      <w:r>
        <w:t xml:space="preserve"> </w:t>
      </w:r>
      <w:r>
        <w:t xml:space="preserve">(Li, 2026, p. 3)</w:t>
      </w:r>
      <w:r>
        <w:t xml:space="preserve">. Ranking policies that weight recent watch time or interaction intensity therefore do more than reflect preference: they shape the neurocognitive conditions under which future clicks occur. Empirical analysis of social media feeds connects such loops to broader outcomes. Engagement oriented content prioritization in large platforms amplifies misinformation, behavioural addiction, and societal polarization while users have limited awareness of the underlying mechanisms. Studies on engagement worship describe a paradox where systems designed to connect people simultaneously manipulate cognitive autonomy. Infinite scrolling interfaces and variable reward schedules, key features in services like TikTok, are framed as "dopamine driven feedback loops" that yield 22% higher rates of compulsive checking behaviour in algorithmic feeds compared to non algorithmic interfaces. Neuroimaging work associates prolonged engagement with reduced prefrontal activity, aligning the signature of "doomscrolling" with patterns observed in substance dependence</w:t>
      </w:r>
      <w:r>
        <w:t xml:space="preserve"> </w:t>
      </w:r>
      <w:r>
        <w:t xml:space="preserve">(Hu, 2025, p. 2)</w:t>
      </w:r>
      <w:r>
        <w:t xml:space="preserve">. When ranking functions are tuned to maximize watch time or click probability, these behavioural and neural effects become part of the optimization environment. Content curation studies on platforms such as TikTok, YouTube, Facebook, and Instagram further document how user inputs steer algorithmic outputs which then reshape user behaviour. TikTok’s system is described as meticulously analysing interactions to provide continuous personalized streams, improving satisfaction and loyalty but also reinforcing filter bubbles and marginalising dissenting viewpoints. YouTube’s recommender, responsible for more than 70% of views, prioritises videos that maximise watch time, often at the expense of diversity or accuracy. Case evidence from election contexts shows that Instagram and Facebook amplification of partisan or far right material intensified polarisation and narrowed exposure to moderate voices. These examples demonstrate that engagement metrics, once embedded in ranking objectives, feed back into opinion formation and democratic discourse as the algorithms learn from biased interaction traces that they themselves have helped to create</w:t>
      </w:r>
      <w:r>
        <w:t xml:space="preserve"> </w:t>
      </w:r>
      <w:r>
        <w:t xml:space="preserve">(Hu, 2025, p. 19; Mariia, 2025, p. 2; 2025, p. 23; 2025, p. 29)</w:t>
      </w:r>
      <w:r>
        <w:t xml:space="preserve">. Algorithmic bias work adds a further layer to the feedback picture. Recommendation systems trained on historically skewed interaction data reproduce and amplify social and cultural stereotypes, limiting the visibility of excluded perspectives and distorting public discourse. Because algorithms learn from user clicks and shares, any pre existing preference bias feeds into model parameters, which then allocate future visibility in ways that confirm and strengthen those biases. Regulatory analysis under the Digital Services Act and EU AI Act highlights that, despite transparency reporting on ranking criteria, engagement driven biases in core algorithms remain largely unaddressed, so feedback loops that privilege sensationalist or ideologically extreme content persist. Proposed responses include fairness metrics, media literacy, and explanatory AI tools that can expose why particular items appear in feeds and allow both users and regulators to interrogate the loop between interaction signals and ranking outputs</w:t>
      </w:r>
      <w:r>
        <w:t xml:space="preserve"> </w:t>
      </w:r>
      <w:r>
        <w:t xml:space="preserve">(Mariia, 2025, p. 5; 2025, p. 8; 2025, p. 9)</w:t>
      </w:r>
      <w:r>
        <w:t xml:space="preserve">.</w:t>
      </w:r>
    </w:p>
    <w:p>
      <w:pPr>
        <w:pStyle w:val="BodyText"/>
      </w:pPr>
      <w:r>
        <w:t xml:space="preserve">Classic work on bounded rationality and heuristics suggests an additional interpretive layer: users often satisfice and rely on availability or anchoring shortcuts when interacting with feeds, which means their click signals may systematically misrepresent stable preferences and instead reflect transient cognitive constraints. This has implications for training data quality, since heuristically biased traces are precisely the patterns that ranking models learn from</w:t>
      </w:r>
      <w:r>
        <w:t xml:space="preserve"> </w:t>
      </w:r>
      <w:r>
        <w:t xml:space="preserve">(Mahay, 2025, p. 4)</w:t>
      </w:r>
      <w:r>
        <w:t xml:space="preserve">.</w:t>
      </w:r>
    </w:p>
    <w:bookmarkEnd w:id="28"/>
    <w:bookmarkStart w:id="29" w:name="sec:data_flows_logging_profiling"/>
    <w:p>
      <w:pPr>
        <w:pStyle w:val="Heading3"/>
      </w:pPr>
      <w:r>
        <w:rPr>
          <w:rStyle w:val="SectionNumber"/>
        </w:rPr>
        <w:t xml:space="preserve">2.1.3</w:t>
      </w:r>
      <w:r>
        <w:tab/>
      </w:r>
      <w:r>
        <w:t xml:space="preserve">Data Flows, Logging and Profiling Practices</w:t>
      </w:r>
    </w:p>
    <w:p>
      <w:pPr>
        <w:pStyle w:val="FirstParagraph"/>
      </w:pPr>
      <w:r>
        <w:t xml:space="preserve">Data capture in AI mediated educational and proctoring systems illustrates how continuous telemetry streams become the substrate for profiling and risk assessment. Internet of Things enabled learning platforms aggregate biometric authentication logs such as voice patterns, keystroke dynamics, and facial recognition, alongside behavioural analytics including session length, login frequency, and activity engagement. Assessment metadata like time spent per question and plagiarism detection patterns, together with network logs such as IP addresses, device types, and geolocation anomalies, are combined into a unified dataset used to distinguish genuine student activity from fraud or policy violations. Preprocessing pipelines then impute missing values, normalize features to a common scale, remove duplicated or uninformative fields, and encode categorical states such as login status or exam completion into numerical form, which structures the raw flow of platform interaction into model ready profiles</w:t>
      </w:r>
      <w:r>
        <w:t xml:space="preserve"> </w:t>
      </w:r>
      <w:r>
        <w:t xml:space="preserve">(Jayanthi, 2025, p. 5)</w:t>
      </w:r>
      <w:r>
        <w:t xml:space="preserve">. Financial AI architectures employing cloud data lakes provide a parallel example of high volume, multi tenant data flows. Transaction streams are ingested via distributed messaging systems such as Apache Kafka into scalable object storage, with strict row level security and cryptographically separated tenant isolation to avoid cross contamination between clients. Despite formal exclusion of protected attributes like race or gender, historical biases enter at ingestion because seemingly neutral variables, for example geolocation, school history, or spending patterns, act as precise proxies for demographic identity within deep neural networks. An intermediate telemetry parsing layer that cleans and normalizes incoming vectors then exposes them to a domain specific bias mitigation engine, ensuring that ethical evaluation and mitigation are integrated into the live data flow rather than treated as a separate batch step. Within these pipelines, logging practices are not an ancillary concern but a regulatory and ethical requirement. In the financial context, asynchronous SHAP and LIME computations are executed in parallel with primary inference so that each decision is accompanied by a localized explanation vector indicating the contribution of individual features. This explanation metadata is stamped with a cryptographic hash and written to an immutable cloud ledger, creating a tamper evident audit trail suitable for future supervisory inspection</w:t>
      </w:r>
      <w:r>
        <w:t xml:space="preserve"> </w:t>
      </w:r>
      <w:r>
        <w:t xml:space="preserve">(S, 2026, p. 4)</w:t>
      </w:r>
      <w:r>
        <w:t xml:space="preserve">. HITL grading deployments adopt a similar dual logging approach. Every AI and instructor decision is time stamped, linked to reviewer identifiers, and stored as part of an audit trail that supports quality assurance and makes human overrides or confirmations traceable at the level of individual essays and rubric dimensions</w:t>
      </w:r>
      <w:r>
        <w:t xml:space="preserve"> </w:t>
      </w:r>
      <w:r>
        <w:t xml:space="preserve">(Selvam &amp; González Vallejo, 2025, p. 16; 2025, p. 17)</w:t>
      </w:r>
      <w:r>
        <w:t xml:space="preserve">. Ethically grounded frameworks for AI in education and assessment extend logging beyond technical traceability toward explicit privacy and fairness guarantees. HITL grading systems configure modular architectures where anonymization of student records, encrypted storage of audit logs, opt out options for AI assisted feedback, and clear attribution of comments as "AI generated" or "instructor reviewed" form part of the system design. These features are explicitly positioned as aligning with FERPA and GDPR requirements and as supporting institutional responsibility for transparent, human supervised use of AI in high stakes evaluation</w:t>
      </w:r>
      <w:r>
        <w:t xml:space="preserve"> </w:t>
      </w:r>
      <w:r>
        <w:t xml:space="preserve">(Selvam &amp; González Vallejo, 2025, p. 20)</w:t>
      </w:r>
      <w:r>
        <w:t xml:space="preserve">. In IoT enabled fraud detection for educational platforms, encryption for data transport and storage, anonymization of personally identifiable information, and compliance with FERPA and GDPR are likewise described as integral components, complemented by bias mitigation techniques to avoid discriminatory outcomes in the classification of student behaviour</w:t>
      </w:r>
      <w:r>
        <w:t xml:space="preserve"> </w:t>
      </w:r>
      <w:r>
        <w:t xml:space="preserve">(Jayanthi, 2025, p. 5)</w:t>
      </w:r>
      <w:r>
        <w:t xml:space="preserve">. Regulatory AI law models generalise these obligations into structured digital identities and event logging duties for high risk systems. The TSAI regime specifies that owners, suppliers, or deployers of AI must ensure human oversight, preserve and provide event logs, conduct audits, and comply with data protection, non discrimination, and transparency requirements. These duties are operationalised through an algorithmic passport that includes sources and categories of data, legal grounds for processing, restrictions on reuse, modes of event logging, log storage periods, evidence mechanisms, and information on audits and trust markings</w:t>
      </w:r>
      <w:r>
        <w:t xml:space="preserve"> </w:t>
      </w:r>
      <w:r>
        <w:t xml:space="preserve">(Kostenko, 2025, p. 242; 2025, p. 244)</w:t>
      </w:r>
      <w:r>
        <w:t xml:space="preserve">. For AI in public communications, logging and saving interaction logs in a form that permits independent auditing is listed among the safeguards that distinguish permitted dual use tools from prohibited manipulative systems, and the intensity of logging duties scales with risk levels from increased to critical, linked to potential public harm and coordinated automation tests. Platforms that algorithmically amplify manipulative or disinformative content without implementing such safeguards are described as bearing public responsibility, with independent audit mandated to verify the effectiveness of watermarking, labelling, quota controls, and log based evidence collection</w:t>
      </w:r>
      <w:r>
        <w:t xml:space="preserve"> </w:t>
      </w:r>
      <w:r>
        <w:t xml:space="preserve">(Kostenko, 2025, p. 95; 2025, p. 97)</w:t>
      </w:r>
      <w:r>
        <w:t xml:space="preserve">. Empirical reviews of surveillance deployments further suggest that privacy impact assessments, stakeholder outreach including affected communities, and routine independent audits are practical mechanisms to check for function creep and to make logging practices more publicly accountable; these measures may therefore be appropriate complements to cryptographic and technical safeguards in high risk educational or public-facing systems</w:t>
      </w:r>
      <w:r>
        <w:t xml:space="preserve"> </w:t>
      </w:r>
      <w:r>
        <w:t xml:space="preserve">(Badhan et al., 2024, p. 6)</w:t>
      </w:r>
      <w:r>
        <w:t xml:space="preserve">.</w:t>
      </w:r>
    </w:p>
    <w:bookmarkEnd w:id="29"/>
    <w:bookmarkEnd w:id="30"/>
    <w:bookmarkStart w:id="34" w:name="X7cb9386014f26973e331f342f9645d3e801daaa"/>
    <w:p>
      <w:pPr>
        <w:pStyle w:val="Heading2"/>
      </w:pPr>
      <w:r>
        <w:rPr>
          <w:rStyle w:val="SectionNumber"/>
        </w:rPr>
        <w:t xml:space="preserve">2.2</w:t>
      </w:r>
      <w:r>
        <w:tab/>
      </w:r>
      <w:r>
        <w:t xml:space="preserve">Engagement-Optimized Interface Design in Social Platforms</w:t>
      </w:r>
    </w:p>
    <w:bookmarkStart w:id="31" w:name="sec:infinite_scroll_streams"/>
    <w:p>
      <w:pPr>
        <w:pStyle w:val="Heading3"/>
      </w:pPr>
      <w:r>
        <w:rPr>
          <w:rStyle w:val="SectionNumber"/>
        </w:rPr>
        <w:t xml:space="preserve">2.2.1</w:t>
      </w:r>
      <w:r>
        <w:tab/>
      </w:r>
      <w:r>
        <w:t xml:space="preserve">Infinite Scroll and Continuous Content Streams</w:t>
      </w:r>
    </w:p>
    <w:p>
      <w:pPr>
        <w:pStyle w:val="FirstParagraph"/>
      </w:pPr>
      <w:r>
        <w:t xml:space="preserve">Infinite scrolling and continuous content streams operationalise algorithmic addiction at the interface layer by removing natural stopping cues and tightly coupling user gestures to reward expectation. Short video platforms that rely on neural network based recommendation systems combine micro duration clips with vertically swiped feeds so that a single low effort action reveals the next item, which is selected from a personalised distribution rather than a chronological queue</w:t>
      </w:r>
      <w:r>
        <w:t xml:space="preserve"> </w:t>
      </w:r>
      <w:r>
        <w:t xml:space="preserve">(Li, 2026, p. 2; 2026, p. 3)</w:t>
      </w:r>
      <w:r>
        <w:t xml:space="preserve">. This design supports a closed cycle of "personalized</w:t>
      </w:r>
      <w:r>
        <w:t xml:space="preserve"> </w:t>
      </w:r>
      <m:oMath>
        <m:r>
          <m:rPr>
            <m:sty m:val="p"/>
          </m:rPr>
          <m:t>→</m:t>
        </m:r>
      </m:oMath>
      <w:r>
        <w:t xml:space="preserve"> </w:t>
      </w:r>
      <w:r>
        <w:t xml:space="preserve">user need satisfaction</w:t>
      </w:r>
      <w:r>
        <w:t xml:space="preserve"> </w:t>
      </w:r>
      <m:oMath>
        <m:r>
          <m:rPr>
            <m:sty m:val="p"/>
          </m:rPr>
          <m:t>→</m:t>
        </m:r>
      </m:oMath>
      <w:r>
        <w:t xml:space="preserve"> </w:t>
      </w:r>
      <w:r>
        <w:t xml:space="preserve">behavioural data accumulation</w:t>
      </w:r>
      <w:r>
        <w:t xml:space="preserve"> </w:t>
      </w:r>
      <m:oMath>
        <m:r>
          <m:rPr>
            <m:sty m:val="p"/>
          </m:rPr>
          <m:t>→</m:t>
        </m:r>
      </m:oMath>
      <w:r>
        <w:t xml:space="preserve"> </w:t>
      </w:r>
      <w:r>
        <w:t xml:space="preserve">algorithm optimization</w:t>
      </w:r>
      <w:r>
        <w:t xml:space="preserve"> </w:t>
      </w:r>
      <m:oMath>
        <m:r>
          <m:rPr>
            <m:sty m:val="p"/>
          </m:rPr>
          <m:t>→</m:t>
        </m:r>
      </m:oMath>
      <w:r>
        <w:t xml:space="preserve"> </w:t>
      </w:r>
      <w:r>
        <w:t xml:space="preserve">re push," in which each additional scroll both delivers content and refines the model that will determine subsequent items. As precision improves, dependence on the stream increases and self control over short video consumption declines, particularly when information cocoons narrow exposure and limit alternative cues for disengagement. Neuroscientific explanations underline why the absence of friction in infinite scroll is not a neutral usability choice. Continuous personalised viewing stimulates the ventral tegmental area, with dopamine surging in the moment of expectancy before the next video is revealed rather than only when a clip is enjoyed. Users are drawn into a repeated "pursuit</w:t>
      </w:r>
      <w:r>
        <w:t xml:space="preserve"> </w:t>
      </w:r>
      <m:oMath>
        <m:r>
          <m:rPr>
            <m:sty m:val="p"/>
          </m:rPr>
          <m:t>→</m:t>
        </m:r>
      </m:oMath>
      <w:r>
        <w:t xml:space="preserve"> </w:t>
      </w:r>
      <w:r>
        <w:t xml:space="preserve">transient satisfaction</w:t>
      </w:r>
      <w:r>
        <w:t xml:space="preserve"> </w:t>
      </w:r>
      <m:oMath>
        <m:r>
          <m:rPr>
            <m:sty m:val="p"/>
          </m:rPr>
          <m:t>→</m:t>
        </m:r>
      </m:oMath>
      <w:r>
        <w:t xml:space="preserve"> </w:t>
      </w:r>
      <w:r>
        <w:t xml:space="preserve">further pursuit" cycle, where each swipe triggers anticipation of reward and reinforces the habit of extending the session. Prolonged high frequency stimulation may induce expression of</w:t>
      </w:r>
      <w:r>
        <w:t xml:space="preserve"> </w:t>
      </w:r>
      <m:oMath>
        <m:r>
          <m:t>Δ</m:t>
        </m:r>
      </m:oMath>
      <w:r>
        <w:t xml:space="preserve">FosB in reward circuitry and alter gene expression, which aligns these usage patterns with other forms of addiction physiology</w:t>
      </w:r>
      <w:r>
        <w:t xml:space="preserve"> </w:t>
      </w:r>
      <w:r>
        <w:t xml:space="preserve">(Li, 2026, p. 3)</w:t>
      </w:r>
      <w:r>
        <w:t xml:space="preserve">. The "sunflower seed effect" of 15–60 second high stimulation videos, combined with infinite scroll, disrupts default mode network functioning and undermines self regulatory capacity, especially for adolescents and college students whose executive functions are still maturing</w:t>
      </w:r>
      <w:r>
        <w:t xml:space="preserve"> </w:t>
      </w:r>
      <w:r>
        <w:t xml:space="preserve">(Li, 2026, p. 2; 2026, p. 3)</w:t>
      </w:r>
      <w:r>
        <w:t xml:space="preserve">. Empirical and conceptual work on social media feeds extends these dynamics beyond short video services. Engagement driven content prioritisation in algorithmically curated streams has been associated with behavioural addiction, algorithmic amplification of misinformation, and reinforcement of societal polarization. Infinite scrolling interfaces and variable reward schedules are explicitly cited as core elements of "dopamine driven feedback loops," with empirical validations showing that users of algorithmically curated feeds exhibit 22% higher rates of compulsive checking behaviour compared with non algorithmic interfaces. Neuroimaging studies connect prolonged social media use under such feeds to reduced gray matter density and reduced prefrontal cortex activity in regions governing impulse control, mirroring patterns seen in substance dependence and reinforcing the concern that continuous streams condition addictive engagement rather than merely reflect user preference</w:t>
      </w:r>
      <w:r>
        <w:t xml:space="preserve"> </w:t>
      </w:r>
      <w:r>
        <w:t xml:space="preserve">(Hu, 2025, p. 2)</w:t>
      </w:r>
      <w:r>
        <w:t xml:space="preserve">. Regulatory and policy analyses increasingly treat infinite scroll and continuous streams as potential manipulative design. Under the EU Digital Services Act, TikTok’s algorithmic recommendation mechanisms and interface features, including infinite scrolling, auto play, and push notifications, have been investigated as systematic manipulative design that impairs users’ capacity to make free and informed decisions</w:t>
      </w:r>
      <w:r>
        <w:t xml:space="preserve"> </w:t>
      </w:r>
      <w:r>
        <w:t xml:space="preserve">(Li, 2026, p. 2)</w:t>
      </w:r>
      <w:r>
        <w:t xml:space="preserve">. Article 25 DSA explicitly prohibits platforms from designing manipulative interfaces that undermine autonomous decision making, and Chinese rules such as the *Administrative Provisions on Algorithmic Recommendation for Internet Information Services* require that providers offer options not based on personal characteristics and convenient functions to disable recommendation services</w:t>
      </w:r>
      <w:r>
        <w:t xml:space="preserve"> </w:t>
      </w:r>
      <w:r>
        <w:t xml:space="preserve">(Li, 2026, p. 7)</w:t>
      </w:r>
      <w:r>
        <w:t xml:space="preserve">. Analysis of democratic recommender governance similarly identifies TikTok’s "For You Page" as an exceptionally effective recommendation system that captures and holds attention, with very high engagement and retention, while remaining opaque to public scrutiny</w:t>
      </w:r>
      <w:r>
        <w:t xml:space="preserve"> </w:t>
      </w:r>
      <w:r>
        <w:t xml:space="preserve">(T et al., 2026, p. 16)</w:t>
      </w:r>
      <w:r>
        <w:t xml:space="preserve">. Research on algorithmic engagement worship adds that such feeds produce a paradox where platforms simultaneously connect users and manipulate cognitive autonomy, and it calls for transparency by design and human centred interventions to realign continuous streams with user wellbeing</w:t>
      </w:r>
      <w:r>
        <w:t xml:space="preserve"> </w:t>
      </w:r>
      <w:r>
        <w:t xml:space="preserve">(Hu, 2025, p. 2)</w:t>
      </w:r>
      <w:r>
        <w:t xml:space="preserve">. Interface level mitigations proposed in the literature target precisely the frictionless nature of infinite scroll. Suggested measures include introducing randomized content or user customisable filters to disrupt closed information cocoons and embedding active exit nodes, for example intelligent usage duration reminders, timed automatic pauses, and enhanced natural exit signals, as counterweights to default infinite pathways</w:t>
      </w:r>
      <w:r>
        <w:t xml:space="preserve"> </w:t>
      </w:r>
      <w:r>
        <w:t xml:space="preserve">(Li, 2026, p. 7)</w:t>
      </w:r>
      <w:r>
        <w:t xml:space="preserve">. Enhancing transparency by explaining "why this content" is being shown is framed as a move from black box manipulation to visible assistance, aligning interface design with DSA requirements and emerging expectations around explainable recommendation</w:t>
      </w:r>
      <w:r>
        <w:t xml:space="preserve"> </w:t>
      </w:r>
      <w:r>
        <w:t xml:space="preserve">(Li, 2026, p. 7; Mariia, 2025, p. 8)</w:t>
      </w:r>
      <w:r>
        <w:t xml:space="preserve">. Within this thesis, such proposals provide concrete audit criteria: continuous content streams become ethically problematic where infinite scroll is combined with engagement maximisation objectives, opacity about ranking logic, and absence of exit cues, especially for vulnerable user groups such as adolescents and students with documented susceptibility to algorithmic recommendation environments</w:t>
      </w:r>
      <w:r>
        <w:t xml:space="preserve"> </w:t>
      </w:r>
      <w:r>
        <w:t xml:space="preserve">(Hu, 2025, p. 2; Li, 2026, p. 2; 2026, p. 3; T et al., 2026, p. 16)</w:t>
      </w:r>
      <w:r>
        <w:t xml:space="preserve">.</w:t>
      </w:r>
    </w:p>
    <w:bookmarkEnd w:id="31"/>
    <w:bookmarkStart w:id="32" w:name="sec:autoplay_shortform_sound"/>
    <w:p>
      <w:pPr>
        <w:pStyle w:val="Heading3"/>
      </w:pPr>
      <w:r>
        <w:rPr>
          <w:rStyle w:val="SectionNumber"/>
        </w:rPr>
        <w:t xml:space="preserve">2.2.2</w:t>
      </w:r>
      <w:r>
        <w:tab/>
      </w:r>
      <w:r>
        <w:t xml:space="preserve">Autoplay, Short-Form Clips and Sound Design</w:t>
      </w:r>
    </w:p>
    <w:p>
      <w:pPr>
        <w:pStyle w:val="FirstParagraph"/>
      </w:pPr>
      <w:r>
        <w:t xml:space="preserve">Autoplay and short clip formats operationalise what Li describes as an algorithmic "addiction loop," where content is pushed in rapid succession without requiring intentional selection from the user. Short video platforms rely on neural network based recommendation systems that continually optimise content matching and are tightly coupled with micro duration clips that can be consumed with minimal effort</w:t>
      </w:r>
      <w:r>
        <w:t xml:space="preserve"> </w:t>
      </w:r>
      <w:r>
        <w:t xml:space="preserve">(Li, 2026, p. 2)</w:t>
      </w:r>
      <w:r>
        <w:t xml:space="preserve">. Viewing history, likes, and comments are processed through content based and collaborative filtering, which together create a closed cycle of "personalized</w:t>
      </w:r>
      <w:r>
        <w:t xml:space="preserve"> </w:t>
      </w:r>
      <m:oMath>
        <m:r>
          <m:rPr>
            <m:sty m:val="p"/>
          </m:rPr>
          <m:t>→</m:t>
        </m:r>
      </m:oMath>
      <w:r>
        <w:t xml:space="preserve"> </w:t>
      </w:r>
      <w:r>
        <w:t xml:space="preserve">user need satisfaction</w:t>
      </w:r>
      <w:r>
        <w:t xml:space="preserve"> </w:t>
      </w:r>
      <m:oMath>
        <m:r>
          <m:rPr>
            <m:sty m:val="p"/>
          </m:rPr>
          <m:t>→</m:t>
        </m:r>
      </m:oMath>
      <w:r>
        <w:t xml:space="preserve"> </w:t>
      </w:r>
      <w:r>
        <w:t xml:space="preserve">behavioural data accumulation</w:t>
      </w:r>
      <w:r>
        <w:t xml:space="preserve"> </w:t>
      </w:r>
      <m:oMath>
        <m:r>
          <m:rPr>
            <m:sty m:val="p"/>
          </m:rPr>
          <m:t>→</m:t>
        </m:r>
      </m:oMath>
      <w:r>
        <w:t xml:space="preserve"> </w:t>
      </w:r>
      <w:r>
        <w:t xml:space="preserve">algorithm optimization</w:t>
      </w:r>
      <w:r>
        <w:t xml:space="preserve"> </w:t>
      </w:r>
      <m:oMath>
        <m:r>
          <m:rPr>
            <m:sty m:val="p"/>
          </m:rPr>
          <m:t>→</m:t>
        </m:r>
      </m:oMath>
      <w:r>
        <w:t xml:space="preserve"> </w:t>
      </w:r>
      <w:r>
        <w:t xml:space="preserve">re push." As the loop tightens, precision of information delivery rises and self control over viewing behaviour declines, particularly when information cocoons emerge that restrict access to diverse content and intensify dependency on the feed</w:t>
      </w:r>
      <w:r>
        <w:t xml:space="preserve"> </w:t>
      </w:r>
      <w:r>
        <w:t xml:space="preserve">(Li, 2026, p. 3)</w:t>
      </w:r>
      <w:r>
        <w:t xml:space="preserve">. Autoplay embeds this cycle directly into the interface: every completed clip immediately triggers another, so the path of least resistance is continued consumption rather than deliberate stopping</w:t>
      </w:r>
      <w:r>
        <w:t xml:space="preserve"> </w:t>
      </w:r>
      <w:r>
        <w:t xml:space="preserve">(Li, 2026, p. 2; 2026, p. 3)</w:t>
      </w:r>
      <w:r>
        <w:t xml:space="preserve">. Short form clips interact with this autoplay logic in specific ways. Li reports that dominant formats are 15–60 second videos, with some platforms popularising 15 second vertical, high stimulation clips that are easy to chain together through infinite swipe based navigation. The extremely low operational cost of swiping to the next video enables effortless extension of sessions; users can watch for close to 60 minutes per day with more than 21 sessions on services such as Douyin, where 41.3% of users open the app multiple times per day and 56.9% exceed 60 minutes of daily use</w:t>
      </w:r>
      <w:r>
        <w:t xml:space="preserve"> </w:t>
      </w:r>
      <w:r>
        <w:t xml:space="preserve">(Li, 2026, p. 3)</w:t>
      </w:r>
      <w:r>
        <w:t xml:space="preserve">. These metrics reflect how short clip duration and frictionless progression form the behavioural substrate on which recommendation engines optimise engagement. For college students and adolescents with immature self control, this configuration is associated with heightened susceptibility to addiction, diminished academic concentration, and increased anxiety and depression</w:t>
      </w:r>
      <w:r>
        <w:t xml:space="preserve"> </w:t>
      </w:r>
      <w:r>
        <w:t xml:space="preserve">(Li, 2026, p. 2; 2026, p. 6)</w:t>
      </w:r>
      <w:r>
        <w:t xml:space="preserve">. Sound design amplifies these dynamics because short videos are routinely paired with dynamic music and audio cues that deliver continuous high stimulation. Li characterises this as a "sunflower seed effect," where 15 second vertical clips, combined with vivid visuals and music, repeatedly capture attention, disrupt the brain’s default mode network, and compromise self regulatory capacity</w:t>
      </w:r>
      <w:r>
        <w:t xml:space="preserve"> </w:t>
      </w:r>
      <w:r>
        <w:t xml:space="preserve">(Li, 2026, p. 3)</w:t>
      </w:r>
      <w:r>
        <w:t xml:space="preserve">. Neurobiological analysis links these interface properties to dopaminergic reward pathways. The content switching mechanism of short video platforms is described as structurally similar to slot machine variable rewards: each downward swipe carries an unpredictable probability of encountering more engaging content, which strongly activates the mesolimbic dopamine system. Dopamine surges primarily during anticipation, that is in the moment before the next clip is revealed, trapping users in a cycle of "pursuit</w:t>
      </w:r>
      <w:r>
        <w:t xml:space="preserve"> </w:t>
      </w:r>
      <m:oMath>
        <m:r>
          <m:rPr>
            <m:sty m:val="p"/>
          </m:rPr>
          <m:t>→</m:t>
        </m:r>
      </m:oMath>
      <w:r>
        <w:t xml:space="preserve"> </w:t>
      </w:r>
      <w:r>
        <w:t xml:space="preserve">transient satisfaction</w:t>
      </w:r>
      <w:r>
        <w:t xml:space="preserve"> </w:t>
      </w:r>
      <m:oMath>
        <m:r>
          <m:rPr>
            <m:sty m:val="p"/>
          </m:rPr>
          <m:t>→</m:t>
        </m:r>
      </m:oMath>
      <w:r>
        <w:t xml:space="preserve"> </w:t>
      </w:r>
      <w:r>
        <w:t xml:space="preserve">further pursuit." Chronic high frequency stimulation can lead to downregulation of dopamine receptors and elevated reward thresholds, reducing the hedonic value of natural rewards and creating a vicious cycle where increased usage breeds dissatisfaction that in turn drives further usage</w:t>
      </w:r>
      <w:r>
        <w:t xml:space="preserve"> </w:t>
      </w:r>
      <w:r>
        <w:t xml:space="preserve">(Li, 2026, p. 4)</w:t>
      </w:r>
      <w:r>
        <w:t xml:space="preserve">. Engagement oriented social media research corroborates these findings. Hu synthesises behavioural psychology and platform studies to show that infinite scrolling interfaces and variable reward schedules are core features of systems like TikTok and are associated with 22% higher rates of compulsive checking behaviour in algorithmically curated feeds compared with non algorithmic interfaces. Neuroimaging studies cited in the same work correlate prolonged use of such feeds with reduced prefrontal cortex activity and altered gray matter density in regions responsible for impulse control, mirroring patterns observed in substance dependence</w:t>
      </w:r>
      <w:r>
        <w:t xml:space="preserve"> </w:t>
      </w:r>
      <w:r>
        <w:t xml:space="preserve">(Hu, 2025, p. 2)</w:t>
      </w:r>
      <w:r>
        <w:t xml:space="preserve">. Short form videos with autoplay and high arousal soundscapes therefore do not merely mirror pre existing preferences; they function as stimulus packages tuned to exploit neural pathways associated with addiction. Regulatory sources treat these mechanics as potential manipulative design rather than neutral entertainment features. Under the Digital Services Act, the European Commission opened proceedings into TikTok’s algorithmic recommendation mechanisms and interface features, explicitly naming infinite scrolling, auto play, and push notifications as possible systematic manipulative design that impairs users’ capacity to make free and informed decisions</w:t>
      </w:r>
      <w:r>
        <w:t xml:space="preserve"> </w:t>
      </w:r>
      <w:r>
        <w:t xml:space="preserve">(Li, 2026, p. 2)</w:t>
      </w:r>
      <w:r>
        <w:t xml:space="preserve">. Kostenko’s AI Law Model reinforces this framing by prohibiting gamification of addiction, reward games and streaks, exploitation of age related vulnerabilities, and manipulative interface patterns. For minors, it mandates age appropriate design, secure defaults with profiling disabled, and explicit bans on endless scrolling and autoplay, alongside limits on push notifications and requirements for visible "no personalization" switches and clear explanations such as "why am I seeing this"</w:t>
      </w:r>
      <w:r>
        <w:t xml:space="preserve"> </w:t>
      </w:r>
      <w:r>
        <w:t xml:space="preserve">(Kostenko, 2025, p. 223)</w:t>
      </w:r>
      <w:r>
        <w:t xml:space="preserve">. Reliability and resilience provisions in the same model require systematic incident logging, risk management, and independent audits for high risk systems, which would include platforms deploying such engagement mechanics at scale</w:t>
      </w:r>
      <w:r>
        <w:t xml:space="preserve"> </w:t>
      </w:r>
      <w:r>
        <w:t xml:space="preserve">(Kostenko, 2025, p. 57; 2025, p. 79)</w:t>
      </w:r>
      <w:r>
        <w:t xml:space="preserve">. Within this thesis, these findings underscore why autoplay, short form clips, and sound design must be treated as audit targets. They sit at the intersection of dopamine driven feedback loops, behavioural addiction indicators, and explicit regulatory concern about manipulative interfaces, especially where adolescents and students form core user groups with documented vulnerability to algorithmic recommendation environments</w:t>
      </w:r>
      <w:r>
        <w:t xml:space="preserve"> </w:t>
      </w:r>
      <w:r>
        <w:t xml:space="preserve">(Hu, 2025, p. 2; Kostenko, 2025, p. 223; Li, 2026, p. 2; 2026, p. 3)</w:t>
      </w:r>
      <w:r>
        <w:t xml:space="preserve">.</w:t>
      </w:r>
    </w:p>
    <w:bookmarkEnd w:id="32"/>
    <w:bookmarkStart w:id="33" w:name="sec:notification_reengagement_triggers"/>
    <w:p>
      <w:pPr>
        <w:pStyle w:val="Heading3"/>
      </w:pPr>
      <w:r>
        <w:rPr>
          <w:rStyle w:val="SectionNumber"/>
        </w:rPr>
        <w:t xml:space="preserve">2.2.3</w:t>
      </w:r>
      <w:r>
        <w:tab/>
      </w:r>
      <w:r>
        <w:t xml:space="preserve">Notification Systems and Re-Engagement Triggers</w:t>
      </w:r>
    </w:p>
    <w:p>
      <w:pPr>
        <w:pStyle w:val="FirstParagraph"/>
      </w:pPr>
      <w:r>
        <w:t xml:space="preserve">Push notifications, streak reminders, and related prompts extend engagement-optimised design beyond the feed into the user’s off-platform environment. Research on short video ecosystems identifies push notifications alongside infinite scrolling and auto play as core elements of an "algorithmic addiction loop" in which personalised recommendations, micro duration clips, and external triggers collectively sustain persistent scrolling and weaken self control among college students</w:t>
      </w:r>
      <w:r>
        <w:t xml:space="preserve"> </w:t>
      </w:r>
      <w:r>
        <w:t xml:space="preserve">(Li, 2026, p. 2; 2026, p. 3)</w:t>
      </w:r>
      <w:r>
        <w:t xml:space="preserve">. Within this loop, notifications operate as re entry cues: they call users back into the personalised cycle of "personalized</w:t>
      </w:r>
      <w:r>
        <w:t xml:space="preserve"> </w:t>
      </w:r>
      <m:oMath>
        <m:r>
          <m:rPr>
            <m:sty m:val="p"/>
          </m:rPr>
          <m:t>→</m:t>
        </m:r>
      </m:oMath>
      <w:r>
        <w:t xml:space="preserve"> </w:t>
      </w:r>
      <w:r>
        <w:t xml:space="preserve">user need satisfaction</w:t>
      </w:r>
      <w:r>
        <w:t xml:space="preserve"> </w:t>
      </w:r>
      <m:oMath>
        <m:r>
          <m:rPr>
            <m:sty m:val="p"/>
          </m:rPr>
          <m:t>→</m:t>
        </m:r>
      </m:oMath>
      <w:r>
        <w:t xml:space="preserve"> </w:t>
      </w:r>
      <w:r>
        <w:t xml:space="preserve">behavioural data accumulation</w:t>
      </w:r>
      <w:r>
        <w:t xml:space="preserve"> </w:t>
      </w:r>
      <m:oMath>
        <m:r>
          <m:rPr>
            <m:sty m:val="p"/>
          </m:rPr>
          <m:t>→</m:t>
        </m:r>
      </m:oMath>
      <w:r>
        <w:t xml:space="preserve"> </w:t>
      </w:r>
      <w:r>
        <w:t xml:space="preserve">algorithm optimization</w:t>
      </w:r>
      <w:r>
        <w:t xml:space="preserve"> </w:t>
      </w:r>
      <m:oMath>
        <m:r>
          <m:rPr>
            <m:sty m:val="p"/>
          </m:rPr>
          <m:t>→</m:t>
        </m:r>
      </m:oMath>
      <w:r>
        <w:t xml:space="preserve"> </w:t>
      </w:r>
      <w:r>
        <w:t xml:space="preserve">re push," thereby refreshing the data used for further targeting and reinforcing behavioural dependence. Neurocognitive analysis deepens this account. Short video consumption is associated with dopamine driven "reward circuitry" where dopamine surges primarily during anticipation of the next reward, not only when a clip is enjoyed. When notifications signal that new, potentially rewarding content is available, they may serve as anticipatory cues that trigger the same "pursuit</w:t>
      </w:r>
      <w:r>
        <w:t xml:space="preserve"> </w:t>
      </w:r>
      <m:oMath>
        <m:r>
          <m:rPr>
            <m:sty m:val="p"/>
          </m:rPr>
          <m:t>→</m:t>
        </m:r>
      </m:oMath>
      <w:r>
        <w:t xml:space="preserve"> </w:t>
      </w:r>
      <w:r>
        <w:t xml:space="preserve">transient satisfaction</w:t>
      </w:r>
      <w:r>
        <w:t xml:space="preserve"> </w:t>
      </w:r>
      <m:oMath>
        <m:r>
          <m:rPr>
            <m:sty m:val="p"/>
          </m:rPr>
          <m:t>→</m:t>
        </m:r>
      </m:oMath>
      <w:r>
        <w:t xml:space="preserve"> </w:t>
      </w:r>
      <w:r>
        <w:t xml:space="preserve">further pursuit" cycle even before the user re opens the app. High frequency stimulation in this cycle can induce expression of</w:t>
      </w:r>
      <w:r>
        <w:t xml:space="preserve"> </w:t>
      </w:r>
      <m:oMath>
        <m:r>
          <m:t>Δ</m:t>
        </m:r>
      </m:oMath>
      <w:r>
        <w:t xml:space="preserve">FosB in reward circuits, altering gene expression and supporting addiction like states</w:t>
      </w:r>
      <w:r>
        <w:t xml:space="preserve"> </w:t>
      </w:r>
      <w:r>
        <w:t xml:space="preserve">(Li, 2026, p. 3)</w:t>
      </w:r>
      <w:r>
        <w:t xml:space="preserve">. For adolescents and college students, whose executive functions and self control capacities are still maturing, such externally injected prompts sit atop an already vulnerable psychological profile and are associated with heightened anxiety, depression, and behavioural addiction when usage becomes excessive</w:t>
      </w:r>
      <w:r>
        <w:t xml:space="preserve"> </w:t>
      </w:r>
      <w:r>
        <w:t xml:space="preserve">(Li, 2026, p. 2; 2026, p. 3)</w:t>
      </w:r>
      <w:r>
        <w:t xml:space="preserve">. Engagement oriented social media studies add a behavioural layer. Alter’s model of "dopamine driven feedback loops" is applied to platforms like TikTok, where infinite scrolling interfaces and variable reward schedules correlate with 22% higher rates of compulsive checking for algorithmically curated feeds compared with non algorithmic interfaces. While this work focuses primarily on in feed dynamics, compulsive checking behaviour necessarily interacts with notification policies that repeatedly invite users back into the environment. Neuroimaging findings cited in the same study link prolonged use of such feeds to reduced prefrontal cortex activity and altered gray matter density in regions responsible for impulse control, aligning the resulting pattern of "doomscrolling" with markers of substance dependence</w:t>
      </w:r>
      <w:r>
        <w:t xml:space="preserve"> </w:t>
      </w:r>
      <w:r>
        <w:t xml:space="preserve">(Hu, 2025, p. 2)</w:t>
      </w:r>
      <w:r>
        <w:t xml:space="preserve">. In this context, re engagement triggers are not neutral reminders; they are part of a broader conditioning process in which cues, rewards, and behavioural responses are tightly coupled. Regulatory proposals in AI law respond directly to these risks by treating re engagement triggers as potential manipulative mechanics. Kostenko’s AI Law Model prohibits hidden models of psychological influence, gamification of addiction such as reward games and streaks, exploitation of age related vulnerabilities, and manipulative interface patterns. For minors, the principle of age appropriate design specifies secure defaults in which profiling, geolocation, biometrics, and manipulative mechanics are disabled. Endless scrolling, autoplay, streaks, forced quests, and "penalties" for exiting are explicitly banned, and push notifications must be kept to a minimum and restricted to neutral informational messages. These provisions position high frequency, emotionally charged re engagement triggers as incompatible with acceptable practice where children are concerned and require visible "no personalization" switches, notification limits, and modes such as "lesson" or "sleep" that modulate attention demands</w:t>
      </w:r>
      <w:r>
        <w:t xml:space="preserve"> </w:t>
      </w:r>
      <w:r>
        <w:t xml:space="preserve">(Kostenko, 2025, p. 223)</w:t>
      </w:r>
      <w:r>
        <w:t xml:space="preserve">. Confidentiality and data protection principles in the same model reinforce constraints on notification driven profiling. All AI systems processing personal data must comply with confidentiality, integrity, and security requirements and must not use personal data for advertising, targeted marketing, or profiling aimed at influencing users in ways that restrict or distort freedom of choice without explicit informed consent. Creation of behavioural profiles and tracking without a proper legal basis is prohibited, which directly affects data pipelines that generate notification triggers based on fine grained behavioural histories</w:t>
      </w:r>
      <w:r>
        <w:t xml:space="preserve"> </w:t>
      </w:r>
      <w:r>
        <w:t xml:space="preserve">(Kostenko, 2025, p. 44)</w:t>
      </w:r>
      <w:r>
        <w:t xml:space="preserve">. Research on dark patterns in e commerce confirms that repeated prompts and nagging in app notifications can wear down resistance and generate decision fatigue, illustrating how re engagement triggers can operate as dark patterns that exploit System 1 heuristics and suppress deliberative System 2 processing</w:t>
      </w:r>
      <w:r>
        <w:t xml:space="preserve"> </w:t>
      </w:r>
      <w:r>
        <w:t xml:space="preserve">(Khare et al., 2026, p. 2; 2026, p. 8)</w:t>
      </w:r>
      <w:r>
        <w:t xml:space="preserve">. These converging lines of evidence and regulation will inform this report’s working taxonomy of notification risk levels, in which high frequency, personalised, difficult to disable prompts are treated as high risk or potentially prohibited for vulnerable users, while clearly labelled, low frequency, informational notifications aligned with explicit consent are assessed as lower risk</w:t>
      </w:r>
      <w:r>
        <w:t xml:space="preserve"> </w:t>
      </w:r>
      <w:r>
        <w:t xml:space="preserve">(Hu, 2025, p. 2; Kostenko, 2025, p. 223; Li, 2026, p. 2; 2026, p. 3)</w:t>
      </w:r>
      <w:r>
        <w:t xml:space="preserve">.</w:t>
      </w:r>
    </w:p>
    <w:p>
      <w:pPr>
        <w:pStyle w:val="BodyText"/>
      </w:pPr>
      <w:r>
        <w:t xml:space="preserve">Clinical and qualitative research on adolescents adds a cautionary note: many young people conceal severe distress and may seek information or coping strategies privately on their phones rather than disclose to caregivers, which suggests that notification-based interventions intended to prompt help-seeking may miss or even aggravate hidden crises</w:t>
      </w:r>
      <w:r>
        <w:t xml:space="preserve"> </w:t>
      </w:r>
      <w:r>
        <w:t xml:space="preserve">(Azasu et al., 2026, p. 9)</w:t>
      </w:r>
      <w:r>
        <w:t xml:space="preserve">. It therefore appears prudent to treat re engagement cues aimed at minors as potentially intrusive interventions that require both stricter limits and explicit safeguards to avoid worsening acute, rapidly emerging crises</w:t>
      </w:r>
      <w:r>
        <w:t xml:space="preserve"> </w:t>
      </w:r>
      <w:r>
        <w:t xml:space="preserve">(Azasu et al., 2026, p. 9)</w:t>
      </w:r>
      <w:r>
        <w:t xml:space="preserve">. System architectures that produce these cues often rely on offline clustering, topic modelling, and sequence mining to surface highly contextually relevant moments for intervention or reengagement; such pipelines can make prompts both highly effective and difficult for users to detect or control</w:t>
      </w:r>
      <w:r>
        <w:t xml:space="preserve"> </w:t>
      </w:r>
      <w:r>
        <w:t xml:space="preserve">(Noorian Avval &amp; Harounabadi, 2023, p. 2)</w:t>
      </w:r>
      <w:r>
        <w:t xml:space="preserve">. This technical detail suggests a pragmatic policy implication: limiting the use of sequential and context-aware personalization in notification pipelines may be as important as restricting message content itself</w:t>
      </w:r>
      <w:r>
        <w:t xml:space="preserve"> </w:t>
      </w:r>
      <w:r>
        <w:t xml:space="preserve">(Noorian Avval &amp; Harounabadi, 2023, p. 2)</w:t>
      </w:r>
      <w:r>
        <w:t xml:space="preserve">.</w:t>
      </w:r>
    </w:p>
    <w:bookmarkEnd w:id="33"/>
    <w:bookmarkEnd w:id="34"/>
    <w:bookmarkEnd w:id="35"/>
    <w:bookmarkStart w:id="48" w:name="X3d06269142590ebbea524d0e56541c55c4afde5"/>
    <w:p>
      <w:pPr>
        <w:pStyle w:val="Heading1"/>
      </w:pPr>
      <w:r>
        <w:rPr>
          <w:rStyle w:val="SectionNumber"/>
        </w:rPr>
        <w:t xml:space="preserve">3</w:t>
      </w:r>
      <w:r>
        <w:tab/>
      </w:r>
      <w:r>
        <w:t xml:space="preserve">Behavioral and Psychological Mechanisms of Algorithmic Addiction</w:t>
      </w:r>
    </w:p>
    <w:bookmarkStart w:id="39" w:name="Xdba1b5dc6c0ab0b8db3b81f457578ac9629dcd1"/>
    <w:p>
      <w:pPr>
        <w:pStyle w:val="Heading2"/>
      </w:pPr>
      <w:r>
        <w:rPr>
          <w:rStyle w:val="SectionNumber"/>
        </w:rPr>
        <w:t xml:space="preserve">3.1</w:t>
      </w:r>
      <w:r>
        <w:tab/>
      </w:r>
      <w:r>
        <w:t xml:space="preserve">Behavioral Economics and Choice Architecture</w:t>
      </w:r>
    </w:p>
    <w:bookmarkStart w:id="36" w:name="sec:default_effects_friction_costs"/>
    <w:p>
      <w:pPr>
        <w:pStyle w:val="Heading3"/>
      </w:pPr>
      <w:r>
        <w:rPr>
          <w:rStyle w:val="SectionNumber"/>
        </w:rPr>
        <w:t xml:space="preserve">3.1.1</w:t>
      </w:r>
      <w:r>
        <w:tab/>
      </w:r>
      <w:r>
        <w:t xml:space="preserve">Default Effects and Friction Costs in Digital Journeys</w:t>
      </w:r>
    </w:p>
    <w:p>
      <w:pPr>
        <w:pStyle w:val="FirstParagraph"/>
      </w:pPr>
      <w:r>
        <w:t xml:space="preserve">Default configurations and frictions in digital journeys act as powerful behavioral levers that intersect directly with algorithmic addiction and dark pattern design. Defaults are described as "powerful nudges" that guide user behaviour by reducing cognitive effort so that individuals tend to remain with preselected options rather than explore alternatives, even when alternatives may better serve their interests. This status quo bias anchors preferences over time and enables digital platforms to reinforce dominance through seemingly neutral interface choices such as pre ticked boxes or pre chosen services</w:t>
      </w:r>
      <w:r>
        <w:t xml:space="preserve"> </w:t>
      </w:r>
      <w:r>
        <w:t xml:space="preserve">(Hermansyah, 2025, p. 152)</w:t>
      </w:r>
      <w:r>
        <w:t xml:space="preserve">. Empirical work in behavioral economics shows that defaults combined with social cues significantly increase adoption of targeted products, while consumers often make less informed choices because the cognitive relief of adhering to preselected options outweighs the perceived benefits of actively choosing an alternative. These dynamics explain why default settings inside platform ecosystems can entrench dominance and shape engagement patterns that users experience as "natural" or personalised, although they structurally reflect platform interests</w:t>
      </w:r>
      <w:r>
        <w:t xml:space="preserve"> </w:t>
      </w:r>
      <w:r>
        <w:t xml:space="preserve">(Hermansyah, 2025, p. 153)</w:t>
      </w:r>
      <w:r>
        <w:t xml:space="preserve">. Dark pattern scholarship complements this account by specifying how default bias is operationalised as a design tactic. Typologies of dark patterns explicitly list pre selected defaults as practices where automatically chosen options favour the platform, for example add ons or insurance, and note that such defaults have been banned by regulators such as IRDAI in insurance because they produce uninformed consent and financial leakage</w:t>
      </w:r>
      <w:r>
        <w:t xml:space="preserve"> </w:t>
      </w:r>
      <w:r>
        <w:t xml:space="preserve">(Khare et al., 2026, p. 8)</w:t>
      </w:r>
      <w:r>
        <w:t xml:space="preserve">. Marketing oriented taxonomies label similar tactics as "forced action and data extraction," including privacy invasive defaults and consent walls that make forced account creation or tracking consent the path of least resistance. These designs are interpreted by consumers as signals that the firm prioritises data capture over welfare, increasing first party data and tracking consent in the short term while creating privacy concern and perceived loss of control. In algorithmic environments, such default driven data capture directly feeds recommender models and notification systems, thereby integrating default bias into the technical substrate of engagement optimisation. Friction costs appear on the other side of the journey, where exiting or exercising protective choices becomes intentionally difficult. Choice obstruction is defined as the deliberate addition of friction, complexity, or delays to actions that reduce firm revenue or data access, with examples such as hard to cancel subscriptions, long unsubscribe flows, and confusing return processes. These tactics increase cognitive fatigue and action costs, lowering immediate churn and reducing completed cancellations while producing reactance, anger, negative word of mouth, and regulatory risk</w:t>
      </w:r>
      <w:r>
        <w:t xml:space="preserve"> </w:t>
      </w:r>
      <w:r>
        <w:t xml:space="preserve">(Liu &amp; Keshavarz, 2026, p. 4)</w:t>
      </w:r>
      <w:r>
        <w:t xml:space="preserve">. Systematic evidence from Indian e commerce shows that "roach motel" patterns (easy sign up, difficult cancellation), obstruction, subscription traps, and nagging are highly prevalent. Roach motel patterns exploit status quo bias and inertia, with 47% of surveyed users reporting difficulty cancelling services, and subscription traps combine default enrolment, unclear billing, and complex exits to generate recurring unwanted payments. Nagging through repeated prompts, often via app notifications, generates decision fatigue and exerts a wear down effect that pushes users back toward profit maximising options rather than genuinely chosen outcomes</w:t>
      </w:r>
      <w:r>
        <w:t xml:space="preserve"> </w:t>
      </w:r>
      <w:r>
        <w:t xml:space="preserve">(Khare et al., 2026, p. 8)</w:t>
      </w:r>
      <w:r>
        <w:t xml:space="preserve">. Policy analysis based on dual process cognition clarifies why these defaults and frictions are so effective. Dark patterns are said to systematically target System 1 processing by exploiting heuristics such as default bias, loss aversion, scarcity, and social pressure. By loading protective actions with sludge like friction and presenting profit aligned options as effortless defaults, platforms keep users in fast, heuristic driven decision making modes and suppress System 2 reflective evaluation. This reduces capacity for informed and autonomous choice across pricing, consent, and cancellation decisions</w:t>
      </w:r>
      <w:r>
        <w:t xml:space="preserve"> </w:t>
      </w:r>
      <w:r>
        <w:t xml:space="preserve">(Khare et al., 2026, p. 4)</w:t>
      </w:r>
      <w:r>
        <w:t xml:space="preserve">. Regulatory scholarship therefore argues that effective enforcement must move beyond formal obligations such as choice screens or nominal consent banners. Manipulative design practices can neutralise regulatory intent by steering users back to defaults aligned with platform interests through misleading button placements, obfuscating language, or deliberate complication of opt out procedures</w:t>
      </w:r>
      <w:r>
        <w:t xml:space="preserve"> </w:t>
      </w:r>
      <w:r>
        <w:t xml:space="preserve">(Hermansyah, 2025, p. 9; Khare et al., 2026, p. 12)</w:t>
      </w:r>
      <w:r>
        <w:t xml:space="preserve">. For an Ethical AI Audit Toolkit, these findings imply that default settings and friction costs are not peripheral usability questions but central indicators of manipulation risk. Research on dark patterns in India recommends bright line prohibitions against specific patterns, mandatory UX design audits for dominant platforms, and statutory ethical design mandates that require consumer first defaults, privacy by design, and algorithmic transparency</w:t>
      </w:r>
      <w:r>
        <w:t xml:space="preserve"> </w:t>
      </w:r>
      <w:r>
        <w:t xml:space="preserve">(Khare et al., 2026, p. 12)</w:t>
      </w:r>
      <w:r>
        <w:t xml:space="preserve">. Competition oriented work on interoperability in digital markets adds that behaviourally informed regulation, such as DMA style choice architecture reforms, can reduce switching frictions and increase contestability, but only when paired with vigilant enforcement against dark patterns that recreate lock in through defaults and sludge. Ex ante rules on interoperability and choice are therefore seen as necessary but insufficient without continuous oversight targeted specifically at default bias and friction costs in digital journeys</w:t>
      </w:r>
      <w:r>
        <w:t xml:space="preserve"> </w:t>
      </w:r>
      <w:r>
        <w:t xml:space="preserve">(Hermansyah, 2025, p. 152; 2025, p. 160)</w:t>
      </w:r>
      <w:r>
        <w:t xml:space="preserve">. Empirical analyses of recommender deployment indicate that a large share of user activity and commercial value is driven by algorithmic suggestions, which means that any upstream bias in data collection or consent flows will be amplified downstream by personalised ranking and notification systems</w:t>
      </w:r>
      <w:r>
        <w:t xml:space="preserve"> </w:t>
      </w:r>
      <w:r>
        <w:t xml:space="preserve">(Guan, 2024, p. 3)</w:t>
      </w:r>
      <w:r>
        <w:t xml:space="preserve">. This suggests regulators should treat defaults and exit frictions as integral to algorithmic impact assessments, since small design nudges can cascade into measurable changes in engagement, retention, and revenue. Users frequently recognise that algorithms shape visibility yet report limited trust in AI-curated content, a gap that may make them more susceptible to simplified, platform-framed defaults presented as convenient choices</w:t>
      </w:r>
      <w:r>
        <w:t xml:space="preserve"> </w:t>
      </w:r>
      <w:r>
        <w:t xml:space="preserve">(Zhang &amp; Liu, 2026)</w:t>
      </w:r>
      <w:r>
        <w:t xml:space="preserve">. Such mistrust alongside visible algorithmic influence appears to complicate the normative case for consent-by-design: users see the influence but may still accept low-effort defaults that match the platform’s framing rather than pursue reflective alternatives</w:t>
      </w:r>
      <w:r>
        <w:t xml:space="preserve"> </w:t>
      </w:r>
      <w:r>
        <w:t xml:space="preserve">(Zhang &amp; Liu, 2026)</w:t>
      </w:r>
      <w:r>
        <w:t xml:space="preserve">.</w:t>
      </w:r>
    </w:p>
    <w:bookmarkEnd w:id="36"/>
    <w:bookmarkStart w:id="37" w:name="sec:salience_scarcity_loss_aversion"/>
    <w:p>
      <w:pPr>
        <w:pStyle w:val="Heading3"/>
      </w:pPr>
      <w:r>
        <w:rPr>
          <w:rStyle w:val="SectionNumber"/>
        </w:rPr>
        <w:t xml:space="preserve">3.1.2</w:t>
      </w:r>
      <w:r>
        <w:tab/>
      </w:r>
      <w:r>
        <w:t xml:space="preserve">Salience, Scarcity and Loss Aversion in Interface Design</w:t>
      </w:r>
    </w:p>
    <w:p>
      <w:pPr>
        <w:pStyle w:val="FirstParagraph"/>
      </w:pPr>
      <w:r>
        <w:t xml:space="preserve">Interface design in digital retail systematically exploits salience, scarcity, and loss aversion to accelerate decisions and shift routine purchases into urgent, emotionally charged episodes. Scarcity messages such as "only two left," countdown timers, expiring discounts, and indicators of recent purchases are singled out as transforming an ordinary opportunity into a perceived time sensitive decision, altering both perceived value and desirability of the product</w:t>
      </w:r>
      <w:r>
        <w:t xml:space="preserve"> </w:t>
      </w:r>
      <w:r>
        <w:t xml:space="preserve">(Bansal, 2026, p. 135)</w:t>
      </w:r>
      <w:r>
        <w:t xml:space="preserve">. When such cues are highly salient in the visual hierarchy, for example dominating colour, size, or placement compared with neutral information, they function as focal stimuli that draw System 1 attention and suppress slower, reflective appraisal</w:t>
      </w:r>
      <w:r>
        <w:t xml:space="preserve"> </w:t>
      </w:r>
      <w:r>
        <w:t xml:space="preserve">(Bansal, 2026, p. 136; Khare et al., 2026, p. 8)</w:t>
      </w:r>
      <w:r>
        <w:t xml:space="preserve">. Loss framing interacts tightly with scarcity. Prospect theory predicts that losses and gains are psychologically asymmetric, with losses weighing more heavily than equivalent gains, and interface copy that frames non purchase as "missing out" on a discount harnesses this asymmetry directly</w:t>
      </w:r>
      <w:r>
        <w:t xml:space="preserve"> </w:t>
      </w:r>
      <w:r>
        <w:t xml:space="preserve">(Bansal, 2026, p. 135)</w:t>
      </w:r>
      <w:r>
        <w:t xml:space="preserve">. Interview evidence from digital retail executives describes campaigns where budget conscious consumers are targeted with expiring discount language and "pay more later" narratives, while higher income segments receive exclusivity and rarity messaging. The distinction between relevance and vulnerability targeting is explicit: messages are selected because predictable weaknesses such as sensitivity to price or status increase the likelihood of immediate conversion rather than because the product intrinsically matches needs</w:t>
      </w:r>
      <w:r>
        <w:t xml:space="preserve"> </w:t>
      </w:r>
      <w:r>
        <w:t xml:space="preserve">(Bansal, 2026, p. 138)</w:t>
      </w:r>
      <w:r>
        <w:t xml:space="preserve">. In this environment, salience is not incidental; visually dominant urgency prompts, pop ups, and notifications are deliberately placed to amplify loss framed scarcity and compress deliberation time. Dark pattern typologies in Indian e commerce operationalise these mechanisms at the design level. "False urgency / scarcity" is defined as misleading countdown timers or stock alerts that create artificial pressure, explicitly linked to the scarcity effect and time pressure, and documented as frequently deployed by platforms audited by the Advertising Standards Council of India. "Interface interference" describes manipulation of visual hierarchy, colour, and placement to privilege platform preferred choices, exploiting salience bias and visual dominance, and appearing on approximately</w:t>
      </w:r>
      <w:r>
        <w:t xml:space="preserve"> </w:t>
      </w:r>
      <m:oMath>
        <m:r>
          <m:t>70</m:t>
        </m:r>
        <m:r>
          <m:rPr>
            <m:sty m:val="p"/>
          </m:rPr>
          <m:t>%</m:t>
        </m:r>
      </m:oMath>
      <w:r>
        <w:t xml:space="preserve"> </w:t>
      </w:r>
      <w:r>
        <w:t xml:space="preserve">of audited platforms. Nagging, in the form of repeated prompts after refusal, generates a wear down effect and decision fatigue, especially when delivered through app notifications. Subscription traps and drip pricing combine loss aversion and inertia with incremental disclosure to create recurring payments and surprise charges</w:t>
      </w:r>
      <w:r>
        <w:t xml:space="preserve"> </w:t>
      </w:r>
      <w:r>
        <w:t xml:space="preserve">(Khare et al., 2026, p. 8)</w:t>
      </w:r>
      <w:r>
        <w:t xml:space="preserve">. These patterns show how salience is engineered around scarcity and loss cues instead of neutral information about total cost or cancellation rights. Organisational interviews on urgency marketing extend this design picture into governance. Executives report that high pressure cues such as countdowns and stock alerts are routinely deployed as operational responses to competitive pressure and conversion targets rather than isolated creative experiments. The analysis cautions that reported conversion gains are interviewee accounts, yet aligns them with established behavioral economics showing that framing, pre commitment, and default escalation can dramatically change savings or purchase behaviour</w:t>
      </w:r>
      <w:r>
        <w:t xml:space="preserve"> </w:t>
      </w:r>
      <w:r>
        <w:t xml:space="preserve">(Bansal, 2026, p. 135)</w:t>
      </w:r>
      <w:r>
        <w:t xml:space="preserve">. The same study synthesises a "cognitive trigger layer" in algorithmic advertising: scarcity cues, loss framed notifications, and social proof increase perceived importance of decisions; an "algorithmic personalization layer" tailors timing and intensity based on behavioural histories; and a "temporal and friction reduction layer" compresses steps to checkout. When these layers converge, exploitative impulse buying is better understood as an architectural phenomenon than as single messages</w:t>
      </w:r>
      <w:r>
        <w:t xml:space="preserve"> </w:t>
      </w:r>
      <w:r>
        <w:t xml:space="preserve">(Bansal, 2026, p. 139)</w:t>
      </w:r>
      <w:r>
        <w:t xml:space="preserve">. Regulatory analysis under the EU Digital Services Act adds a risk framing for manipulative use of these mechanisms. Recital 69 warns that advertising based on targeting techniques optimised to align with users’ interests and exploit vulnerabilities can yield particularly severe adverse effects. Article 26 requires that ads disclose their nature, identify the financed entity, and explain the primary targeting parameters together with instructions on how users can modify them. Sensitive data based profiling is categorically banned and notifications deployed with obstructive intent or to impede competition are highlighted as abusive practices that can generate social and economic harms, including mental wellbeing impacts and violations of consumer protection and non discrimination</w:t>
      </w:r>
      <w:r>
        <w:t xml:space="preserve"> </w:t>
      </w:r>
      <w:r>
        <w:t xml:space="preserve">(Quinelato, 2024, p. 18)</w:t>
      </w:r>
      <w:r>
        <w:t xml:space="preserve">. These provisions, combined with national dark pattern guidelines that prohibit misleading urgency and mandate explicit consent rather than pre checked defaults, form normative anchors for assessing salience driven scarcity and loss aversion tactics as potential manipulation rather than ordinary persuasion</w:t>
      </w:r>
      <w:r>
        <w:t xml:space="preserve"> </w:t>
      </w:r>
      <w:r>
        <w:t xml:space="preserve">(Khare et al., 2026, p. 12; Sanikidze, 2026, p. 390)</w:t>
      </w:r>
      <w:r>
        <w:t xml:space="preserve">. Recent work on recommender systems suggests an additional ethical dimension: personalization does not act in isolation but shapes the distribution of cultural content and the kinds of choices presented at scale, so decisions about which behaviours to optimize for are inherently normative and may reinforce the very vulnerabilities that urgency cues exploit</w:t>
      </w:r>
      <w:r>
        <w:t xml:space="preserve"> </w:t>
      </w:r>
      <w:r>
        <w:t xml:space="preserve">(Rafie et al., 2025, p. 3)</w:t>
      </w:r>
      <w:r>
        <w:t xml:space="preserve">.</w:t>
      </w:r>
    </w:p>
    <w:bookmarkEnd w:id="37"/>
    <w:bookmarkStart w:id="38" w:name="X0ffe3808c7b3ad325b9b72d2b91218ddf81fbae"/>
    <w:p>
      <w:pPr>
        <w:pStyle w:val="Heading3"/>
      </w:pPr>
      <w:r>
        <w:rPr>
          <w:rStyle w:val="SectionNumber"/>
        </w:rPr>
        <w:t xml:space="preserve">3.1.3</w:t>
      </w:r>
      <w:r>
        <w:tab/>
      </w:r>
      <w:r>
        <w:t xml:space="preserve">Temporal Discounting and Instant Gratification Online</w:t>
      </w:r>
    </w:p>
    <w:p>
      <w:pPr>
        <w:pStyle w:val="FirstParagraph"/>
      </w:pPr>
      <w:r>
        <w:t xml:space="preserve">Short video platforms exemplify how instant rewards restructure time preferences. Li describes micro duration clips of 15–60 seconds, combined with infinite swipe navigation, that enable users to extend viewing with almost no effort, producing average daily usage on Douyin of nearly 60 minutes, with more than 21 sessions and over half of users exceeding 60 minutes per day</w:t>
      </w:r>
      <w:r>
        <w:t xml:space="preserve"> </w:t>
      </w:r>
      <w:r>
        <w:t xml:space="preserve">(Li, 2026, p. 3)</w:t>
      </w:r>
      <w:r>
        <w:t xml:space="preserve">. This extremely low operational cost of "just one more swipe" aligns closely with temporal discounting: immediate, low effort entertainment is repeatedly chosen over deferred, potentially more beneficial activities such as study, offline social interaction, or sleep. Among adolescents and college students, whose psychological development and self control remain immature, these instant gratifications are associated with diminished academic concentration, weakened social skills, and heightened anxiety and depression, culminating in behavioural addiction</w:t>
      </w:r>
      <w:r>
        <w:t xml:space="preserve"> </w:t>
      </w:r>
      <w:r>
        <w:t xml:space="preserve">(Li, 2026, p. 2; 2026, p. 3)</w:t>
      </w:r>
      <w:r>
        <w:t xml:space="preserve">. Neuropsychological mechanisms described by Li reinforce this temporal skew. Dopamine surges are reported not primarily at reward receipt but at the moment of expectancy before scrolling to the next video, entrapping users in a cycle of "pursuit</w:t>
      </w:r>
      <w:r>
        <w:t xml:space="preserve"> </w:t>
      </w:r>
      <m:oMath>
        <m:r>
          <m:rPr>
            <m:sty m:val="p"/>
          </m:rPr>
          <m:t>→</m:t>
        </m:r>
      </m:oMath>
      <w:r>
        <w:t xml:space="preserve"> </w:t>
      </w:r>
      <w:r>
        <w:t xml:space="preserve">transient satisfaction</w:t>
      </w:r>
      <w:r>
        <w:t xml:space="preserve"> </w:t>
      </w:r>
      <m:oMath>
        <m:r>
          <m:rPr>
            <m:sty m:val="p"/>
          </m:rPr>
          <m:t>→</m:t>
        </m:r>
      </m:oMath>
      <w:r>
        <w:t xml:space="preserve"> </w:t>
      </w:r>
      <w:r>
        <w:t xml:space="preserve">further pursuit"</w:t>
      </w:r>
      <w:r>
        <w:t xml:space="preserve"> </w:t>
      </w:r>
      <w:r>
        <w:t xml:space="preserve">(Li, 2026, p. 3)</w:t>
      </w:r>
      <w:r>
        <w:t xml:space="preserve">. The content switching mechanism is characterised as structurally isomorphic to slot machine variable rewards, where each downward swipe carries an unpredictable payoff and maximally activates mesolimbic dopaminergic pathways. Chronic stimulation leads to downregulation of dopamine receptors and elevated reward thresholds, diminishing the hedonic value of "natural" long term rewards such as learning or physical exercise and creating a vicious cycle in which increased short video use breeds dissatisfaction that in turn drives further use. Algorithmic recommendation systems are explicitly designed to build sustained, automated usage habits and to bypass deliberative decision making processes, inducing impulsive, intuition driven choices that mirror the preference for immediate gratification observed in temporal discounting experiments</w:t>
      </w:r>
      <w:r>
        <w:t xml:space="preserve"> </w:t>
      </w:r>
      <w:r>
        <w:t xml:space="preserve">(Li, 2026, p. 4)</w:t>
      </w:r>
      <w:r>
        <w:t xml:space="preserve">. Hu’s synthesis of "algorithm driven engagement worship" links these micro level reward dynamics to broader mental health outcomes. Infinite scrolling interfaces and variable reward schedules on platforms such as TikTok are described as exploiting neural pathways associated with addiction, with empirical validations showing 22% higher rates of compulsive checking in algorithmically curated feeds than in non algorithmic interfaces</w:t>
      </w:r>
      <w:r>
        <w:t xml:space="preserve"> </w:t>
      </w:r>
      <w:r>
        <w:t xml:space="preserve">(Hu, 2025, p. 2)</w:t>
      </w:r>
      <w:r>
        <w:t xml:space="preserve">. Additional evidence is cited that hyper personalised feeds are associated with a 23% higher incidence of depressive symptoms compared to chronological content, and neuroimaging studies correlate "doomscrolling" with reduced prefrontal cortex activity and reduced gray matter density in regions governing impulse control, changes that resemble substance dependence</w:t>
      </w:r>
      <w:r>
        <w:t xml:space="preserve"> </w:t>
      </w:r>
      <w:r>
        <w:t xml:space="preserve">(Hu, 2025, p. 20)</w:t>
      </w:r>
      <w:r>
        <w:t xml:space="preserve">. These findings indicate that repeated selection of instant digital rewards over temporally distant benefits is not merely a behavioural preference but is reinforced and stabilized by neurocognitive adaptation. Research on recommendation algorithms has also documented systematic popularity and exposure biases in feed and venue suggestions, and it appears that combining models or applying re-ranking can moderate these polarizations while keeping acceptable accuracy levels</w:t>
      </w:r>
      <w:r>
        <w:t xml:space="preserve"> </w:t>
      </w:r>
      <w:r>
        <w:t xml:space="preserve">(Sánchez et al., 2023, p. 3)</w:t>
      </w:r>
      <w:r>
        <w:t xml:space="preserve">. Such work suggests that algorithmic design choices may be able to reduce the structural skew toward immediately gratifying content without fully sacrificing relevance</w:t>
      </w:r>
      <w:r>
        <w:t xml:space="preserve"> </w:t>
      </w:r>
      <w:r>
        <w:t xml:space="preserve">(Sánchez et al., 2023, p. 3)</w:t>
      </w:r>
      <w:r>
        <w:t xml:space="preserve">. Temporal orientation work within the I PACE framework provides a complementary behavioural lens. Li reports a large sample study of 2 239 participants in which past and present oriented temporal foci were significantly positively correlated with short video addiction, while future oriented focus was negatively correlated. Inhibitory self control mediated the link between past or present focus and addiction, with attempts at suppression consuming cognitive resources and producing a "resistance backfire effect," whereas initiatory self control mediated the protective effect of future orientation by enabling individuals with clear future goals to initiate alternative beneficial behaviours that replace habitual scrolling</w:t>
      </w:r>
      <w:r>
        <w:t xml:space="preserve"> </w:t>
      </w:r>
      <w:r>
        <w:t xml:space="preserve">(Li, 2026, p. 4)</w:t>
      </w:r>
      <w:r>
        <w:t xml:space="preserve">. These results can be read as an explicit articulation of temporal discounting inside algorithmic environments: users anchored in immediate or retrospective frames, and relying on inhibition rather than proactive substitution, are more likely to overvalue instant gratification delivered by recommender loops. Regulatory analysis under the Digital Services Act connects these dynamics to concerns about manipulation. Quinelato explains that Article 25 DSA prohibits online interfaces that deceive or manipulate users or substantially impair their ability to make free and informed decisions, explicitly naming techniques such as giving undue prominence to specific options, requesting repeated choices, or making cancellation harder than subscription</w:t>
      </w:r>
      <w:r>
        <w:t xml:space="preserve"> </w:t>
      </w:r>
      <w:r>
        <w:t xml:space="preserve">(Quinelato, 2024, p. 20)</w:t>
      </w:r>
      <w:r>
        <w:t xml:space="preserve">. In combination with Li’s account of "addictive design" in infinite scrolling, auto play, and push notifications already under DSA investigation for impairing free decision making on TikTok, these provisions frame environments that constantly offer immediate, highly salient rewards while obstructing exit or alternative choices as manipulative architectures that exploit temporal discounting</w:t>
      </w:r>
      <w:r>
        <w:t xml:space="preserve"> </w:t>
      </w:r>
      <w:r>
        <w:t xml:space="preserve">(Li, 2026, p. 2; Quinelato, 2024, p. 20)</w:t>
      </w:r>
      <w:r>
        <w:t xml:space="preserve">. Dark pattern research further shows that default choices and obstructive frictions can compress deliberation time around purchases and subscriptions by making impulsive acceptance effortless and introducing sludge into protective actions such as cancellation or refusal, thereby amplifying preferences for instant gratification over longer term welfare</w:t>
      </w:r>
      <w:r>
        <w:t xml:space="preserve"> </w:t>
      </w:r>
      <w:r>
        <w:t xml:space="preserve">(Khare et al., 2026, p. 6; Quinelato, 2024, p. 18)</w:t>
      </w:r>
      <w:r>
        <w:t xml:space="preserve">. Bansal’s synthesis characterises this as a "temporal and friction reduction layer" where reduced steps and urgency cues compress the time available for reflective evaluation and push consumers toward immediate conversion</w:t>
      </w:r>
      <w:r>
        <w:t xml:space="preserve"> </w:t>
      </w:r>
      <w:r>
        <w:t xml:space="preserve">(Bansal, 2026, p. 6)</w:t>
      </w:r>
      <w:r>
        <w:t xml:space="preserve">. Educational and policy responses emphasise algorithmic literacy and AI education as counterweights. Kostenko argues that public educational platforms and AI literacy materials should build critical skills for evaluating algorithms and their results, enabling users to understand how recommendation systems and addictive design strategies influence their time allocation and reward expectations</w:t>
      </w:r>
      <w:r>
        <w:t xml:space="preserve"> </w:t>
      </w:r>
      <w:r>
        <w:t xml:space="preserve">(Kostenko, 2025, p. 99)</w:t>
      </w:r>
      <w:r>
        <w:t xml:space="preserve">. Surveys on digital literacy and EU regulatory awareness nonetheless reveal that while users feel confident in everyday digital tasks, they score low on recognising hidden manipulations, indicating that many remain vulnerable to interface designs that trade on instant gratification and temporal discounting dynamics</w:t>
      </w:r>
      <w:r>
        <w:t xml:space="preserve"> </w:t>
      </w:r>
      <w:r>
        <w:t xml:space="preserve">(Chukhray &amp; Koval, 2026, p. 31)</w:t>
      </w:r>
      <w:r>
        <w:t xml:space="preserve">.</w:t>
      </w:r>
    </w:p>
    <w:bookmarkEnd w:id="38"/>
    <w:bookmarkEnd w:id="39"/>
    <w:bookmarkStart w:id="43" w:name="Xfae7144b6abbb4663fce6e53f9b0a4cee218873"/>
    <w:p>
      <w:pPr>
        <w:pStyle w:val="Heading2"/>
      </w:pPr>
      <w:r>
        <w:rPr>
          <w:rStyle w:val="SectionNumber"/>
        </w:rPr>
        <w:t xml:space="preserve">3.2</w:t>
      </w:r>
      <w:r>
        <w:tab/>
      </w:r>
      <w:r>
        <w:t xml:space="preserve">Nudging, Dark Patterns and Ethical Boundaries</w:t>
      </w:r>
    </w:p>
    <w:bookmarkStart w:id="40" w:name="sec:helpful_nudges_to_dark_patterns"/>
    <w:p>
      <w:pPr>
        <w:pStyle w:val="Heading3"/>
      </w:pPr>
      <w:r>
        <w:rPr>
          <w:rStyle w:val="SectionNumber"/>
        </w:rPr>
        <w:t xml:space="preserve">3.2.1</w:t>
      </w:r>
      <w:r>
        <w:tab/>
      </w:r>
      <w:r>
        <w:t xml:space="preserve">From Helpful Nudges to Manipulative Dark Patterns</w:t>
      </w:r>
    </w:p>
    <w:p>
      <w:pPr>
        <w:pStyle w:val="FirstParagraph"/>
      </w:pPr>
      <w:r>
        <w:t xml:space="preserve">Choice architecture in digital interfaces ranges from helpful guidance to manipulative dark commercial patterns that erode autonomy and trust. Online choice architecture and digital nudging describe how rankings, default options, button placement, and recommendation systems structure the environment in which users act, without implying that all influence is harmful. Ethical nudges can highlight relevant options or simplify complex flows while preserving the user’s capacity for informed, preference consistent choice. Dark commercial patterns mark the point where this influence becomes manipulative: designs that steer, deceive, pressure, or obstruct consumers so that comprehension, reversibility, or autonomy are weakened. A recommender that hides lower priced alternatives, obscures sponsored placement, or makes refusal difficult crosses that boundary because it secures compliance by undermining the conditions of legitimate persuasion rather than by clarifying options</w:t>
      </w:r>
      <w:r>
        <w:t xml:space="preserve"> </w:t>
      </w:r>
      <w:r>
        <w:t xml:space="preserve">(Liu &amp; Keshavarz, 2026, pp. 32–33)</w:t>
      </w:r>
      <w:r>
        <w:t xml:space="preserve">. Dark pattern research traces this shift back to systematic exploitation of cognitive biases. Building on Kahneman’s dual process theory, dark patterns are described as deliberately triggering fast, intuitive System 1 processing through time pressure, default selections, visual salience, and emotional cues while suppressing slower, reflective System 2 reasoning. Practices such as drip pricing, false urgency, and confirm shaming are characterised as "exploitative nudges," whereas obstruction, subscription traps, and forced action are classified as "sludge" because they introduce artificial friction that discourages consumer protective behaviour</w:t>
      </w:r>
      <w:r>
        <w:t xml:space="preserve"> </w:t>
      </w:r>
      <w:r>
        <w:t xml:space="preserve">(Khare et al., 2026, p. 2; 2026, p. 4)</w:t>
      </w:r>
      <w:r>
        <w:t xml:space="preserve">. In this framing, the same behavioural tools that make welfare enhancing nudges possible can be reoriented toward coercion when interface design is optimised for conversion and data extraction rather than user welfare</w:t>
      </w:r>
      <w:r>
        <w:t xml:space="preserve"> </w:t>
      </w:r>
      <w:r>
        <w:t xml:space="preserve">(Khare et al., 2026, p. 2; 2026, p. 4; Liu &amp; Keshavarz, 2026, p. 34)</w:t>
      </w:r>
      <w:r>
        <w:t xml:space="preserve">. Marketing oriented work adds a relational perspective by linking these patterns to a conversion trust trade off. Large scale crawls of shopping sites identify thousands of instances of dark patterns, including hidden fees, difficult cancellation, misleading scarcity claims, and data sharing tricks. Consent interfaces often structure cookie choices asymmetrically so that accepting tracking is easier than refusal, even when formal choices exist. Conceptual analysis therefore proposes that dark commercial patterns may increase immediate compliance but risk eroding perceived fairness, autonomy, and privacy control, which in turn damages trust, relationship quality, and customer equity over time</w:t>
      </w:r>
      <w:r>
        <w:t xml:space="preserve"> </w:t>
      </w:r>
      <w:r>
        <w:t xml:space="preserve">(Liu &amp; Keshavarz, 2026, p. 33)</w:t>
      </w:r>
      <w:r>
        <w:t xml:space="preserve">. Ethical digital marketing is consequently defined as persuasion that preserves informed, preference consistent choice, while dark patterns are practices that violate this second condition by distorting salience, defaults, or friction costs in ways that systematically favour firm goals over consumer interests</w:t>
      </w:r>
      <w:r>
        <w:t xml:space="preserve"> </w:t>
      </w:r>
      <w:r>
        <w:t xml:space="preserve">(Liu &amp; Keshavarz, 2026, pp. 32–33)</w:t>
      </w:r>
      <w:r>
        <w:t xml:space="preserve">. Empirical and regulatory evidence from India illustrates how helpful nudging and dark patterns can coexist in the same ecosystem and why enforcement must focus on design. Surveys report that approximately 87% of major platforms deploy at least one dark pattern, with interface interference present on around 70% and obstruction based designs on 63%. At the same time, only 39% of users recognise the term "dark patterns," although 68% report experiencing deceptive practices, 55% unexpected charges, and 47% difficulty cancelling subscriptions or services. These figures reveal a structural power imbalance: interfaces systematically exploit default bias and inertia, while informational asymmetry and low digital literacy prevent users from recognising manipulation</w:t>
      </w:r>
      <w:r>
        <w:t xml:space="preserve"> </w:t>
      </w:r>
      <w:r>
        <w:t xml:space="preserve">(Khare et al., 2026, p. 2)</w:t>
      </w:r>
      <w:r>
        <w:t xml:space="preserve">. Regulatory bodies have started to intervene at the design level. The Advertising Standards Council of India has defined thirteen recurring dark pattern categories and issued guidelines on deceptive digital design, while the Central Consumer Protection Authority’s guidelines classify manipulative practices as unfair trade practices. Judicial decisions, such as the Hyderabad commission’s ruling against concealed convenience fees on BookMyShow, confirm that interface level deception falls within consumer protection law. Sector regulators like IRDAI have explicitly banned pre checked travel insurance options, recognising that such defaults create uninformed consent and financial leakage</w:t>
      </w:r>
      <w:r>
        <w:t xml:space="preserve"> </w:t>
      </w:r>
      <w:r>
        <w:t xml:space="preserve">(Khare et al., 2026, p. 3)</w:t>
      </w:r>
      <w:r>
        <w:t xml:space="preserve">. A critical challenge is that formal regulatory nudges, such as mandated choice screens or consent banners, can be neutralised by counter nudges engineered by platforms. Competition oriented analysis documents how dominant firms deploy misleading button placements, obfuscating language, and complicated opt out procedures that steer users back to default settings aligned with platform interests. These manipulative tactics preserve nominal autonomy while undermining the practical ability to exercise it. Regulatory choice architecture that aims to break default bias and reduce switching frictions must therefore be paired with continuous oversight of interface asymmetries and sludge based frictions to prevent a slide from helpful nudges into covert coercion</w:t>
      </w:r>
      <w:r>
        <w:t xml:space="preserve"> </w:t>
      </w:r>
      <w:r>
        <w:t xml:space="preserve">(Hermansyah, 2025, p. 159)</w:t>
      </w:r>
      <w:r>
        <w:t xml:space="preserve">. For the Ethical AI Audit Toolkit developed later in this report, this body of work motivates a clear evaluative distinction: interface elements count as acceptable nudges when they simplify decisions without degrading comprehension, reversibility, or independent preference formation, and they fall into this report’s "dark pattern" risk categories when they rely on information distortion, interface asymmetry, social or temporal pressure, choice obstruction, or forced action that materially impairs informed and autonomous choice</w:t>
      </w:r>
      <w:r>
        <w:t xml:space="preserve"> </w:t>
      </w:r>
      <w:r>
        <w:t xml:space="preserve">(Khare et al., 2026, p. 2; 2026, p. 4; Liu &amp; Keshavarz, 2026, pp. 32–33)</w:t>
      </w:r>
      <w:r>
        <w:t xml:space="preserve">.</w:t>
      </w:r>
    </w:p>
    <w:bookmarkEnd w:id="40"/>
    <w:bookmarkStart w:id="41" w:name="sec:common_dark_interface_social"/>
    <w:p>
      <w:pPr>
        <w:pStyle w:val="Heading3"/>
      </w:pPr>
      <w:r>
        <w:rPr>
          <w:rStyle w:val="SectionNumber"/>
        </w:rPr>
        <w:t xml:space="preserve">3.2.2</w:t>
      </w:r>
      <w:r>
        <w:tab/>
      </w:r>
      <w:r>
        <w:t xml:space="preserve">Common Dark Interface Strategies in Social Media</w:t>
      </w:r>
    </w:p>
    <w:p>
      <w:pPr>
        <w:pStyle w:val="FirstParagraph"/>
      </w:pPr>
      <w:r>
        <w:t xml:space="preserve">Dark interface strategies on social platforms frequently operationalise patterns already documented in e commerce, but embed them in feeds, consent flows, and notification settings that are tightly coupled to recommender engines. Content analysis of major Indian platforms shows that interface interference and obstruction based designs appear on approximately</w:t>
      </w:r>
      <w:r>
        <w:t xml:space="preserve"> </w:t>
      </w:r>
      <m:oMath>
        <m:r>
          <m:t>70</m:t>
        </m:r>
        <m:r>
          <m:rPr>
            <m:sty m:val="p"/>
          </m:rPr>
          <m:t>%</m:t>
        </m:r>
      </m:oMath>
      <w:r>
        <w:t xml:space="preserve"> </w:t>
      </w:r>
      <w:r>
        <w:t xml:space="preserve">and</w:t>
      </w:r>
      <w:r>
        <w:t xml:space="preserve"> </w:t>
      </w:r>
      <m:oMath>
        <m:r>
          <m:t>63</m:t>
        </m:r>
        <m:r>
          <m:rPr>
            <m:sty m:val="p"/>
          </m:rPr>
          <m:t>%</m:t>
        </m:r>
      </m:oMath>
      <w:r>
        <w:t xml:space="preserve"> </w:t>
      </w:r>
      <w:r>
        <w:t xml:space="preserve">of audited services respectively, signalling a systematic reliance on choice architecture manipulation rather than overt misinformation</w:t>
      </w:r>
      <w:r>
        <w:t xml:space="preserve"> </w:t>
      </w:r>
      <w:r>
        <w:t xml:space="preserve">(Khare et al., 2026, p. 7; 2026, p. 9)</w:t>
      </w:r>
      <w:r>
        <w:t xml:space="preserve">. These tactics include visually privileging engagement maximising actions, hiding or de emphasising opt out controls, and stretching cancellation journeys so that users experience high cognitive effort when attempting to reduce data sharing or disengage from a service</w:t>
      </w:r>
      <w:r>
        <w:t xml:space="preserve"> </w:t>
      </w:r>
      <w:r>
        <w:t xml:space="preserve">(Hermansyah, 2025, p. 9; Khare et al., 2026, p. 7)</w:t>
      </w:r>
      <w:r>
        <w:t xml:space="preserve">. Empirical survey data from Indian consumers illustrates how such strategies manifest as experienced harm. Drip pricing, bait and switch, and privacy zuckering affect</w:t>
      </w:r>
      <w:r>
        <w:t xml:space="preserve"> </w:t>
      </w:r>
      <m:oMath>
        <m:r>
          <m:t>75</m:t>
        </m:r>
        <m:r>
          <m:rPr>
            <m:sty m:val="p"/>
          </m:rPr>
          <m:t>%</m:t>
        </m:r>
      </m:oMath>
      <w:r>
        <w:t xml:space="preserve">,</w:t>
      </w:r>
      <w:r>
        <w:t xml:space="preserve"> </w:t>
      </w:r>
      <m:oMath>
        <m:r>
          <m:t>48</m:t>
        </m:r>
        <m:r>
          <m:rPr>
            <m:sty m:val="p"/>
          </m:rPr>
          <m:t>%</m:t>
        </m:r>
      </m:oMath>
      <w:r>
        <w:t xml:space="preserve">, and</w:t>
      </w:r>
      <w:r>
        <w:t xml:space="preserve"> </w:t>
      </w:r>
      <m:oMath>
        <m:r>
          <m:t>44</m:t>
        </m:r>
        <m:r>
          <m:rPr>
            <m:sty m:val="p"/>
          </m:rPr>
          <m:t>%</m:t>
        </m:r>
      </m:oMath>
      <w:r>
        <w:t xml:space="preserve"> </w:t>
      </w:r>
      <w:r>
        <w:t xml:space="preserve">of consumers respectively, while forced action and basket sneaking demonstrate how platforms use procedural dominance to override user intent, for instance through auto added services or orders processed despite cancellation</w:t>
      </w:r>
      <w:r>
        <w:t xml:space="preserve"> </w:t>
      </w:r>
      <w:r>
        <w:t xml:space="preserve">(Khare et al., 2026, p. 9)</w:t>
      </w:r>
      <w:r>
        <w:t xml:space="preserve">. Although this audit focus is on e commerce, the same design motifs appear in social media contexts: ambiguous consent dialogs, pre selected data sharing defaults, and auto enrolment into personalised feeds shift control over data and attention without explicit, informed action by users</w:t>
      </w:r>
      <w:r>
        <w:t xml:space="preserve"> </w:t>
      </w:r>
      <w:r>
        <w:t xml:space="preserve">(Khare et al., 2026, p. 7; Liu &amp; Keshavarz, 2026, p. 3)</w:t>
      </w:r>
      <w:r>
        <w:t xml:space="preserve">. Dark commercial pattern scholarship characterises these practices as steering, pressuring, or obstructing users in ways that impair informed, autonomous choice. Examples include consent banners where the "accept all" option is visually dominant and refusal requires multi step navigation, or feeds where lower cost or lower engagement alternatives are hidden or framed as abnormal choices. Such interfaces are evaluated along two dimensions: contribution to firm objectives such as data capture or retention, and preservation of preference consistent choice. Designs that secure compliance by weakening comprehension, transparency, or reversibility are judged as manipulative</w:t>
      </w:r>
      <w:r>
        <w:t xml:space="preserve"> </w:t>
      </w:r>
      <w:r>
        <w:t xml:space="preserve">(Liu &amp; Keshavarz, 2026, p. 3)</w:t>
      </w:r>
      <w:r>
        <w:t xml:space="preserve">. Research on competition and regulation adds that, even when regulators introduce pro user choice screens or interoperability mandates, dominant platforms may respond with "dark patterns" that neutralise these interventions through defaults and friction, for example by making switching away from a default social login or profile based feed substantially harder in practice</w:t>
      </w:r>
      <w:r>
        <w:t xml:space="preserve"> </w:t>
      </w:r>
      <w:r>
        <w:t xml:space="preserve">(Hermansyah, 2025, p. 3; 2025, p. 10)</w:t>
      </w:r>
      <w:r>
        <w:t xml:space="preserve">. AI enabled social environments introduce additional escalation patterns. Sanikidze documents "adaptive UI &amp; friction shifting," where reinforcement learning dynamically adds or removes interface steps to steer or trap users, effectively creating "roach motel" journeys in which account deletion or cancellation is hidden behind changing, asymmetric friction. The same analysis lists "chatbot coercion &amp; LLM dark patterns," where conversational agents employ sycophantic tone, anthropomorphism, fabricated consensus, and relentless retention strategies during chat based interactions. These agents can present opt out or cancellation as socially deviant, or repeatedly propose alternative retention offers, thereby defeating informed cancellation and consent. In social media settings, similar conversational layers increasingly mediate privacy settings or recommendation controls, which raises the risk that dialogue design itself becomes an engagement trap. Generative social proof and confirm shaming extend these dynamics to social cues. Large language models can mass produce persuasive but indistinguishable fake reviews and testimonials, which then appear as authentic peer endorsements and mislead users into perceiving low quality or manipulative services as widely trusted. Confirm shaming techniques personalise guilt inducing opt out language, using demographic and historical data so that declining a prompt is framed as irresponsible or ungrateful, pushing users toward continued engagement or data sharing despite initial reluctance</w:t>
      </w:r>
      <w:r>
        <w:t xml:space="preserve"> </w:t>
      </w:r>
      <w:r>
        <w:t xml:space="preserve">(Sanikidze, 2026, p. 11)</w:t>
      </w:r>
      <w:r>
        <w:t xml:space="preserve">. On social networks, analogous mechanisms may appear as fabricated "friends liked this" indicators or emotionally charged prompts that shame users into keeping notifications or personalised feeds enabled. Evidence from national audits shows that such patterns are not marginal. An estimated</w:t>
      </w:r>
      <w:r>
        <w:t xml:space="preserve"> </w:t>
      </w:r>
      <m:oMath>
        <m:r>
          <m:t>87</m:t>
        </m:r>
        <m:r>
          <m:rPr>
            <m:sty m:val="p"/>
          </m:rPr>
          <m:t>%</m:t>
        </m:r>
      </m:oMath>
      <w:r>
        <w:t xml:space="preserve"> </w:t>
      </w:r>
      <w:r>
        <w:t xml:space="preserve">of major Indian digital platforms deploy at least one dark pattern, and</w:t>
      </w:r>
      <w:r>
        <w:t xml:space="preserve"> </w:t>
      </w:r>
      <m:oMath>
        <m:r>
          <m:t>81</m:t>
        </m:r>
        <m:r>
          <m:rPr>
            <m:sty m:val="p"/>
          </m:rPr>
          <m:t>%</m:t>
        </m:r>
      </m:oMath>
      <w:r>
        <w:t xml:space="preserve"> </w:t>
      </w:r>
      <w:r>
        <w:t xml:space="preserve">of platforms self declared "dark pattern free" during Central Consumer Protection Authority audits despite persistent consumer reports of deceptive practices, unexpected charges, and difficulty cancelling services. Complaint resolution rates remain at</w:t>
      </w:r>
      <w:r>
        <w:t xml:space="preserve"> </w:t>
      </w:r>
      <m:oMath>
        <m:r>
          <m:t>28</m:t>
        </m:r>
        <m:r>
          <m:rPr>
            <m:sty m:val="p"/>
          </m:rPr>
          <m:t>%</m:t>
        </m:r>
      </m:oMath>
      <w:r>
        <w:t xml:space="preserve">, and awareness of recourse mechanisms is low, illustrating a structural enforcement gap where design manipulation persists despite formal rules</w:t>
      </w:r>
      <w:r>
        <w:t xml:space="preserve"> </w:t>
      </w:r>
      <w:r>
        <w:t xml:space="preserve">(Khare et al., 2026, p. 7; 2026, p. 12)</w:t>
      </w:r>
      <w:r>
        <w:t xml:space="preserve">. Regulatory responses therefore advocate bright line prohibitions of specific patterns, mandatory UX design audits, and statutory ethical design mandates that require consumer first defaults and transparent algorithmic governance</w:t>
      </w:r>
      <w:r>
        <w:t xml:space="preserve"> </w:t>
      </w:r>
      <w:r>
        <w:t xml:space="preserve">(Hermansyah, 2025, p. 10; Khare et al., 2026, p. 12)</w:t>
      </w:r>
      <w:r>
        <w:t xml:space="preserve">. Within social recommender systems, these findings justify treating interface interference, obstruction, AI driven friction shifting, and conversational coercion as central items in this report’s working taxonomy of dark strategies, rather than as peripheral issues detached from algorithmic addiction dynamics</w:t>
      </w:r>
      <w:r>
        <w:t xml:space="preserve"> </w:t>
      </w:r>
      <w:r>
        <w:t xml:space="preserve">(Khare et al., 2026, p. 7; Liu &amp; Keshavarz, 2026, p. 3; Sanikidze, 2026, p. 11)</w:t>
      </w:r>
      <w:r>
        <w:t xml:space="preserve">.</w:t>
      </w:r>
    </w:p>
    <w:bookmarkEnd w:id="41"/>
    <w:bookmarkStart w:id="42" w:name="sec:moral_legal_manipulation"/>
    <w:p>
      <w:pPr>
        <w:pStyle w:val="Heading3"/>
      </w:pPr>
      <w:r>
        <w:rPr>
          <w:rStyle w:val="SectionNumber"/>
        </w:rPr>
        <w:t xml:space="preserve">3.2.3</w:t>
      </w:r>
      <w:r>
        <w:tab/>
      </w:r>
      <w:r>
        <w:t xml:space="preserve">Moral and Legal Contours of Manipulative Design</w:t>
      </w:r>
    </w:p>
    <w:p>
      <w:pPr>
        <w:pStyle w:val="FirstParagraph"/>
      </w:pPr>
      <w:r>
        <w:t xml:space="preserve">Normative evaluation of manipulative design in algorithmic environments rests on two intertwined axes: moral duties toward user autonomy and legally enforceable boundaries on interface conduct. AI law proposals explicitly formulate an ethical duty to counter manipulative and behavioural practices, framing this as part of a broader commitment to human dignity, autonomy, justice, and non discrimination. These duties are operationalised through mandatory procedures such as notification of AI use, explainability of algorithmic conclusions, human control over critical decisions, and protection of vulnerable groups. Systems that manipulate behaviour, cause digital addiction, emotional exhaustion, loss of trust, or suppress autonomy are categorically prohibited under the principle of ethical responsibility</w:t>
      </w:r>
      <w:r>
        <w:t xml:space="preserve"> </w:t>
      </w:r>
      <w:r>
        <w:t xml:space="preserve">(Kostenko, 2025, p. 8; 2025, pp. 61–62)</w:t>
      </w:r>
      <w:r>
        <w:t xml:space="preserve">. A complementary legal construct in the same model is the TSAI regime, which treats access to critical digital infrastructures and market platforms as conditional on registration, risk classification, human supervision channels, event logging, and regular audits. High risk systems must be registered, assigned a unique identifier, and documented via an algorithmic passport that specifies model architecture, data sources, legal bases for processing, and modes of event logging and evidence preservation. Annual audits and public trust marks are mandatory, and violations can trigger orders, fines, restrictions, or suspension of system identifiers</w:t>
      </w:r>
      <w:r>
        <w:t xml:space="preserve"> </w:t>
      </w:r>
      <w:r>
        <w:t xml:space="preserve">(Kostenko, 2025, p. 243; 2025, p. 244)</w:t>
      </w:r>
      <w:r>
        <w:t xml:space="preserve">. This architecture positions manipulative design not as a minor UX concern but as a trigger for regulatory sanctions and potential shutdown where ethical responsibility is breached. Dark pattern regulation in digital markets supplies a more granular vocabulary for manipulative interface conduct. Studies on Indian e commerce show that dark patterns are a systemic feature of platform architectures, not isolated anomalies. Patterns such as interface interference, obstruction, subscription traps, drip pricing, and privacy zuckering operate by exploiting dual process cognition: they channel users into fast, heuristic System 1 modes using defaults, salience and time pressure, while adding sludge like friction to System 2 protective actions such as cancellation or refusal</w:t>
      </w:r>
      <w:r>
        <w:t xml:space="preserve"> </w:t>
      </w:r>
      <w:r>
        <w:t xml:space="preserve">(Khare et al., 2026, p. 2; 2026, p. 4; 2026, p. 13)</w:t>
      </w:r>
      <w:r>
        <w:t xml:space="preserve">. Legal responses therefore emphasise bright line prohibitions, statutory ethical design mandates, and compulsory UI/UX audits for major platforms, combined with centralized enforcement capacity in a dedicated consumer authority</w:t>
      </w:r>
      <w:r>
        <w:t xml:space="preserve"> </w:t>
      </w:r>
      <w:r>
        <w:t xml:space="preserve">(Khare et al., 2026, p. 13)</w:t>
      </w:r>
      <w:r>
        <w:t xml:space="preserve">. European regulatory developments extend this logic into a "fair design" mandate. The Digital Services Act prohibits interfaces that mislead users or substantially impair their ability to make free and informed decisions, while the Digital Markets Act bans certain forms of interface pressure by gatekeepers. Building on these frameworks, policy analysis describes a planned Digital Fairness Act whose goal is to regulate addictive product designs and unfair personalisation, explicitly targeting AI driven manipulation and filling gaps between the DSA and general consumer protection rules. The AI Act complements this by banning subliminal manipulation and manipulative effects that significantly harm behaviour. Together these instruments are characterised as moving EU policy from reactive enforcement to ex ante prevention of manipulative designs and positioning the Union as a leading jurisdiction in regulating dark patterns and AI enabled manipulation</w:t>
      </w:r>
      <w:r>
        <w:t xml:space="preserve"> </w:t>
      </w:r>
      <w:r>
        <w:t xml:space="preserve">(Sanikidze, 2026, p. 389; 2026, p. 390)</w:t>
      </w:r>
      <w:r>
        <w:t xml:space="preserve">. International experience demonstrates that broad consumer protection concepts can already reach manipulative interfaces if regulators choose to treat them as unfair practices. Georgia’s Law on the Protection of Consumer Rights, aligned with EU standards, has been used to sanction practices such as false countdown timers, misleading scarcity cues, fake reviews, and deceptive brand associations. The Georgian Competition and Consumer Agency further issued an E commerce Guideline that explicitly identifies harmful dark patterns and requires disclosure of key recommender parameters in terms of service, signalling that hidden algorithmic steering falls within consumer law scrutiny. Reported cases such as advertising products under "Maxbosch" while using BOSCH imagery exemplify how manipulation of perception is treated as a legal violation, even in the absence of AI specific statutes</w:t>
      </w:r>
      <w:r>
        <w:t xml:space="preserve"> </w:t>
      </w:r>
      <w:r>
        <w:t xml:space="preserve">(Sanikidze, 2026, p. 390; 2026, p. 391)</w:t>
      </w:r>
      <w:r>
        <w:t xml:space="preserve">. From a competition perspective, behaviorally informed regulation under the Digital Markets Act seeks to break default bias and lock in through choice screens and interoperability mandates. Evidence from DMA implementation shows that such ex ante rules can reduce switching frictions and increase adoption of alternative services, yet their success depends on vigilant enforcement against manipulative design practices that would otherwise neutralise regulatory nudges. Interoperability is framed as a more durable route to contestability than structural remedies, provided enforcement can continuously counter evolving dark patterns and maintain a user centred digital ecosystem where consumer welfare and innovation are balanced</w:t>
      </w:r>
      <w:r>
        <w:t xml:space="preserve"> </w:t>
      </w:r>
      <w:r>
        <w:t xml:space="preserve">(Hermansyah, 2025, p. 10)</w:t>
      </w:r>
      <w:r>
        <w:t xml:space="preserve">. These moral and legal contours jointly support this report’s working distinction between acceptable nudging and impermissible manipulation. Ethical design aligns with duties of transparency, human supervision, and autonomy protection and can be documented through algorithmic passports, audit trails, and ethics impact reports. Manipulative design, by contrast, is characterised by intentional exploitation of cognitive vulnerabilities, opacity about AI driven targeting, obstruction of protective choices, and induction of addiction like engagement, and it falls squarely within the category of practices that high level AI law models seek either to prohibit outright or subject to stringent registration, auditing, and sanction regimes</w:t>
      </w:r>
      <w:r>
        <w:t xml:space="preserve"> </w:t>
      </w:r>
      <w:r>
        <w:t xml:space="preserve">(Khare et al., 2026, p. 13; Kostenko, 2025, p. 8; 2025, pp. 61–62; Sanikidze, 2026, p. 389)</w:t>
      </w:r>
      <w:r>
        <w:t xml:space="preserve">.</w:t>
      </w:r>
    </w:p>
    <w:bookmarkEnd w:id="42"/>
    <w:bookmarkEnd w:id="43"/>
    <w:bookmarkStart w:id="47" w:name="X1ee5a854bc28999f30847f1f2bdc6b76fb53da3"/>
    <w:p>
      <w:pPr>
        <w:pStyle w:val="Heading2"/>
      </w:pPr>
      <w:r>
        <w:rPr>
          <w:rStyle w:val="SectionNumber"/>
        </w:rPr>
        <w:t xml:space="preserve">3.3</w:t>
      </w:r>
      <w:r>
        <w:tab/>
      </w:r>
      <w:r>
        <w:t xml:space="preserve">Motivational Psychology and Self-Determination</w:t>
      </w:r>
    </w:p>
    <w:bookmarkStart w:id="44" w:name="Xe63a15078129fe44b6d399eb349301b22b2838b"/>
    <w:p>
      <w:pPr>
        <w:pStyle w:val="Heading3"/>
      </w:pPr>
      <w:r>
        <w:rPr>
          <w:rStyle w:val="SectionNumber"/>
        </w:rPr>
        <w:t xml:space="preserve">3.3.1</w:t>
      </w:r>
      <w:r>
        <w:tab/>
      </w:r>
      <w:r>
        <w:t xml:space="preserve">Autonomy, Competence and Relatedness in Digital Contexts</w:t>
      </w:r>
    </w:p>
    <w:p>
      <w:pPr>
        <w:pStyle w:val="FirstParagraph"/>
      </w:pPr>
      <w:r>
        <w:t xml:space="preserve">Autonomy in algorithmically curated environments depends strongly on whether users retain meaningful control over how systems influence their behaviour. Kostenko’s principle of ethical responsibility requires AI systems to be designed so that user autonomy, psycho emotional comfort, and the right to an informed decision are maintained, and explicitly prohibits systems that manipulate behaviour, cause digital addiction, or suppress autonomy</w:t>
      </w:r>
      <w:r>
        <w:t xml:space="preserve"> </w:t>
      </w:r>
      <w:r>
        <w:t xml:space="preserve">(Kostenko, 2025, pp. 61–62)</w:t>
      </w:r>
      <w:r>
        <w:t xml:space="preserve">. The same model later specifies a right to a "transparent, fair, environmentally sustainable and psycho emotionally safe digital environment," including protection against digital noise, information overload, and excessive or addictive content, as well as tools for audit and monitoring of one’s own digital activity and the possibility to opt out of profiling and personalized influences</w:t>
      </w:r>
      <w:r>
        <w:t xml:space="preserve"> </w:t>
      </w:r>
      <w:r>
        <w:t xml:space="preserve">(Kostenko, 2025, p. 119)</w:t>
      </w:r>
      <w:r>
        <w:t xml:space="preserve">. These provisions treat interface mechanics such as infinite scroll, auto play, and high frequency notifications as autonomy relevant when they create self replicating digital environments that undermine critical thinking or free choice</w:t>
      </w:r>
      <w:r>
        <w:t xml:space="preserve"> </w:t>
      </w:r>
      <w:r>
        <w:t xml:space="preserve">(Kostenko, 2025, p. 119; Li, 2026, p. 2)</w:t>
      </w:r>
      <w:r>
        <w:t xml:space="preserve">. Empirical work on short video platforms illustrates how such mechanics erode autonomy in practice. Neural network based recommendation engines, combined with micro duration clips and variable reward schedules, push users into an "auto pilot mode" of persistent scrolling, with infinite scrolling, auto play, and push notifications identified by the European Commission under the DSA as systematic manipulative design that impairs users’ capacity for free and informed decisions. College students, characterised by unstable self identity and immature executive functions, are described as particularly susceptible to these dynamics, experiencing diminished concentration, weakened social skills, and heightened anxiety and depression when excessive use develops into behavioural addiction</w:t>
      </w:r>
      <w:r>
        <w:t xml:space="preserve"> </w:t>
      </w:r>
      <w:r>
        <w:t xml:space="preserve">(Li, 2026, p. 2)</w:t>
      </w:r>
      <w:r>
        <w:t xml:space="preserve">. Hu’s synthesis of "dopamine driven feedback loops" connects these interface features with reduced prefrontal activity and increased compulsive checking, indicating that autonomy is constrained not only procedurally but also neurocognitively when engagement optimisation becomes the dominant design goal</w:t>
      </w:r>
      <w:r>
        <w:t xml:space="preserve"> </w:t>
      </w:r>
      <w:r>
        <w:t xml:space="preserve">(Hu, 2025, p. 2)</w:t>
      </w:r>
      <w:r>
        <w:t xml:space="preserve">. Competence in digital contexts relates to whether users can effectively understand and manage AI mediated interactions. Survey evidence on GDPR, the DSA, and the AI Act shows high self assessed confidence in routine digital tasks and online purchases, yet significantly lower scores for recognising hidden manipulations and avoiding fraud, with average ratings of 2.31 and 2.13 on a Likert scale. These findings are interpreted as a "second level divide," where basic skills are present but deeper grasp of behavioural biases and algorithmic influence is missing, limiting users’ ability to exercise competent, reflective control over complex interfaces</w:t>
      </w:r>
      <w:r>
        <w:t xml:space="preserve"> </w:t>
      </w:r>
      <w:r>
        <w:t xml:space="preserve">(Chukhray &amp; Koval, 2026, p. 31)</w:t>
      </w:r>
      <w:r>
        <w:t xml:space="preserve">. Kostenko’s AI Law Model directly targets this gap by granting every person the right to digital hygiene tools such as audit and monitoring of their own activity, the possibility to delete accounts and terminate automatic profiling, and the ability to view and re verify digital traces in order to restore autonomy</w:t>
      </w:r>
      <w:r>
        <w:t xml:space="preserve"> </w:t>
      </w:r>
      <w:r>
        <w:t xml:space="preserve">(Kostenko, 2025, p. 119)</w:t>
      </w:r>
      <w:r>
        <w:t xml:space="preserve">. Ethical AI governance frameworks like the AI Normativity (AIN) approach similarly emphasise transparency, record keeping, and stakeholder involvement across the AI lifecycle, arguing that organizations must conduct impact evaluations and engage affected communities so that subtle harms missed by standard risk assessments are surfaced and addressed</w:t>
      </w:r>
      <w:r>
        <w:t xml:space="preserve"> </w:t>
      </w:r>
      <w:r>
        <w:t xml:space="preserve">(Leon, 2026, p. 2)</w:t>
      </w:r>
      <w:r>
        <w:t xml:space="preserve">. These institutional duties create preconditions for competence, because users and civil society can only contest or exit harmful systems if they have information and channels to do so. Practical auditing guidance further indicates that recommender system audits should involve a broad cross section of platform teams (development, policy, UX, research, integrity) alongside users and civil society representatives, since these varied perspectives are often necessary to identify harms that technical checks alone miss. Such multi-stakeholder involvement appears likely to improve the legitimacy and reach of impact evaluations and external audits</w:t>
      </w:r>
      <w:r>
        <w:t xml:space="preserve"> </w:t>
      </w:r>
      <w:r>
        <w:t xml:space="preserve">(Adanyin, 2024, p. 25)</w:t>
      </w:r>
      <w:r>
        <w:t xml:space="preserve">. Relatedness in online environments is increasingly mediated through social proof signals such as likes, follower counts, and influencer endorsements. Wang documents how inflated metrics created through bots or paid engagement on platforms like Douyin and Xiaohongshu fabricate an illusion of popularity, while nearly 30% of Chinese online shoppers report encountering misleading or falsified reviews, which turns social validation from a trust anchor into a tool of manipulation. Influencer marketing further blurs boundaries between authentic recommendation and paid promotion when sponsorships are not clearly disclosed, exploiting followers’ emotional connection and trust in perceived authenticity. Algorithms that preferentially promote already popular content reinforce herd behaviour and FOMO driven spending, pressuring users to conform to trends and eroding the quality of relatedness by turning social connection into a vector for impulsive consumption and emotional fatigue</w:t>
      </w:r>
      <w:r>
        <w:t xml:space="preserve"> </w:t>
      </w:r>
      <w:r>
        <w:t xml:space="preserve">(Wang, 2025, p. 13)</w:t>
      </w:r>
      <w:r>
        <w:t xml:space="preserve">. Normative responses again frame these dynamics in terms of rights and duties. The AI Law Model’s chapter on digital ecology states that every person has a right to an environment free from intrusive content and excessive information flows that create chronic anxiety or distraction without explicit consent, and protects against the imposition of commercial narratives that could become addictive</w:t>
      </w:r>
      <w:r>
        <w:t xml:space="preserve"> </w:t>
      </w:r>
      <w:r>
        <w:t xml:space="preserve">(Kostenko, 2025, p. 119)</w:t>
      </w:r>
      <w:r>
        <w:t xml:space="preserve">. Accountability provisions require detailed documentation, annual external audits, and accessible complaint and redress mechanisms, positioning organisations as responsible for the social and psychological consequences of AI mediated interaction, including impacts on trust and relational integrity</w:t>
      </w:r>
      <w:r>
        <w:t xml:space="preserve"> </w:t>
      </w:r>
      <w:r>
        <w:t xml:space="preserve">(Kostenko, 2025, p. 81)</w:t>
      </w:r>
      <w:r>
        <w:t xml:space="preserve">. Research on automated gender recognition audits reinforces this expectation by classifying systems as non compliant when they lack transparent documentation, revocable consent, and mechanisms for contestation or opt out, arguing that absence of such safeguards undermines both individual autonomy and socially just inclusion</w:t>
      </w:r>
      <w:r>
        <w:t xml:space="preserve"> </w:t>
      </w:r>
      <w:r>
        <w:t xml:space="preserve">(Silva &amp; Valença, 2026, p. 7)</w:t>
      </w:r>
      <w:r>
        <w:t xml:space="preserve">. Within this thesis, these strands jointly support an interpretation of autonomy, competence and relatedness as intertwined motivational conditions that algorithmic addiction can corrode, but that ethical regulation and organisational practice can partly restore through rights to digital hygiene, transparency, contestability and authentic social proof</w:t>
      </w:r>
      <w:r>
        <w:t xml:space="preserve"> </w:t>
      </w:r>
      <w:r>
        <w:t xml:space="preserve">(Chukhray &amp; Koval, 2026, p. 31; Kostenko, 2025, pp. 61–62; 2025, p. 119; Wang, 2025, p. 13)</w:t>
      </w:r>
      <w:r>
        <w:t xml:space="preserve">.</w:t>
      </w:r>
    </w:p>
    <w:bookmarkEnd w:id="44"/>
    <w:bookmarkStart w:id="45" w:name="sec:impact_intrinsic_motivation"/>
    <w:p>
      <w:pPr>
        <w:pStyle w:val="Heading3"/>
      </w:pPr>
      <w:r>
        <w:rPr>
          <w:rStyle w:val="SectionNumber"/>
        </w:rPr>
        <w:t xml:space="preserve">3.3.2</w:t>
      </w:r>
      <w:r>
        <w:tab/>
      </w:r>
      <w:r>
        <w:t xml:space="preserve">Impact of Algorithmic Environments on Intrinsic Motivation</w:t>
      </w:r>
    </w:p>
    <w:p>
      <w:pPr>
        <w:pStyle w:val="FirstParagraph"/>
      </w:pPr>
      <w:r>
        <w:t xml:space="preserve">Intrinsic motivation in digital contexts depends strongly on how reward structures, feedback loops, and cognitive load are configured by algorithmic environments. Gamified learning systems that use token economies illustrate both supportive and corrosive effects on learners’ self driven engagement. In narrative based games such as Blooket, tokens are not only contingent rewards for correct answers but function as a "currency for creative agency" when embedded in goal oriented scenarios like expanding a virtual restaurant. Under these conditions, token mechanics are reported to satisfy autonomy through goal driven choice and competence through strategic problem solving, extending prior work that links gamification to these psychological needs. Intrinsic motivation is supported when tokens scaffold self directed exploration instead of merely reinforcing discrete target behaviours. However, the same review warns that poorly calibrated rewards can trigger an overjustification effect if salient extrinsic incentives crowd out the internal satisfaction of mastering material, especially when feedback is vague or overly punitive</w:t>
      </w:r>
      <w:r>
        <w:t xml:space="preserve"> </w:t>
      </w:r>
      <w:r>
        <w:t xml:space="preserve">(Anisa &amp; Maisa, 2025, p. 7)</w:t>
      </w:r>
      <w:r>
        <w:t xml:space="preserve">. Short video recommendation ecosystems present a contrasting configuration where algorithmically orchestrated rewards deplete rather than support intrinsic motivation for alternative activities. Dan Li describes platforms using 15–60 second micro clips, infinite swipe navigation, and neural network based recommendation engines that create a closed loop of personalised delivery, behavioural data accumulation, algorithm optimisation, and re push</w:t>
      </w:r>
      <w:r>
        <w:t xml:space="preserve"> </w:t>
      </w:r>
      <w:r>
        <w:t xml:space="preserve">(Li, 2026, p. 2; 2026, p. 3)</w:t>
      </w:r>
      <w:r>
        <w:t xml:space="preserve">. From a neuropsychological standpoint, dopamine surges occur primarily during the anticipation of the next video; the expectation at the moment of scrolling drives a cycle of "pursuit</w:t>
      </w:r>
      <w:r>
        <w:t xml:space="preserve"> </w:t>
      </w:r>
      <m:oMath>
        <m:r>
          <m:rPr>
            <m:sty m:val="p"/>
          </m:rPr>
          <m:t>→</m:t>
        </m:r>
      </m:oMath>
      <w:r>
        <w:t xml:space="preserve"> </w:t>
      </w:r>
      <w:r>
        <w:t xml:space="preserve">transient satisfaction</w:t>
      </w:r>
      <w:r>
        <w:t xml:space="preserve"> </w:t>
      </w:r>
      <m:oMath>
        <m:r>
          <m:rPr>
            <m:sty m:val="p"/>
          </m:rPr>
          <m:t>→</m:t>
        </m:r>
      </m:oMath>
      <w:r>
        <w:t xml:space="preserve"> </w:t>
      </w:r>
      <w:r>
        <w:t xml:space="preserve">further pursuit," reinforced by the very low operational cost of continuing. Empirical usage data on Douyin show average daily durations approaching 60 minutes with more than 21 sessions, and more than half of users exceeding 60 minutes per day, especially among adolescents with weaker self control, where excessive use is linked to diminished academic concentration, social skill weakening, and increased anxiety and depression</w:t>
      </w:r>
      <w:r>
        <w:t xml:space="preserve"> </w:t>
      </w:r>
      <w:r>
        <w:t xml:space="preserve">(Li, 2026, p. 3)</w:t>
      </w:r>
      <w:r>
        <w:t xml:space="preserve">. These patterns indicate a systematic preference for instant, algorithmically curated gratification over longer term, effortful pursuits. Hu’s concept of "algorithm driven engagement worship" frames this preference shift more explicitly as a conflict between engagement metrics and user well being. Infinite scrolling interfaces and variable reward schedules, central to platforms such as TikTok, are characterised as exploiting neural pathways associated with addiction, with empirical validations that users of algorithmically curated feeds show 22% higher rates of compulsive checking than users of non algorithmic interfaces. Neuroimaging evidence discussed in the same study associates prolonged use with reduced prefrontal cortex activity and altered gray matter density in regions involved in impulse control</w:t>
      </w:r>
      <w:r>
        <w:t xml:space="preserve"> </w:t>
      </w:r>
      <w:r>
        <w:t xml:space="preserve">(Hu, 2025, p. 2)</w:t>
      </w:r>
      <w:r>
        <w:t xml:space="preserve">. When cognitive control circuitry is weakened, intrinsic motivation to initiate demanding, future oriented tasks becomes harder to enact, even if underlying values remain unchanged. Self determination oriented governance frameworks respond by redefining acceptable design boundaries. Kostenko’s principle of ethical responsibility requires AI systems to be designed so that user autonomy, psycho emotional comfort, and the right to an informed decision are preserved, and explicitly prohibits systems that manipulate behaviour, cause digital addiction, emotional exhaustion, loss of trust, or suppress autonomy</w:t>
      </w:r>
      <w:r>
        <w:t xml:space="preserve"> </w:t>
      </w:r>
      <w:r>
        <w:t xml:space="preserve">(Kostenko, 2025, pp. 61–62)</w:t>
      </w:r>
      <w:r>
        <w:t xml:space="preserve">. A separate confidentiality principle bans use of personal data for advertising, targeted marketing, or profiling aimed at influence that restricts or distorts the user’s freedom of choice without explicit informed consent</w:t>
      </w:r>
      <w:r>
        <w:t xml:space="preserve"> </w:t>
      </w:r>
      <w:r>
        <w:t xml:space="preserve">(Kostenko, 2025, p. 44)</w:t>
      </w:r>
      <w:r>
        <w:t xml:space="preserve">. These provisions directly challenge algorithmic environments that continuously optimise for short term reward seeking and profile based targeting without meaningful escape routes. Regulatory initiatives on dark patterns also speak to motivational harm. Sanikidze documents how the planned EU Digital Fairness Act is framed as regulating addictive product designs and unfair personalisation, complementing DSA and DMA prohibitions on manipulative interfaces and subliminal or harmful manipulation in the AI Act</w:t>
      </w:r>
      <w:r>
        <w:t xml:space="preserve"> </w:t>
      </w:r>
      <w:r>
        <w:t xml:space="preserve">(Sanikidze, 2026, p. 390)</w:t>
      </w:r>
      <w:r>
        <w:t xml:space="preserve">. Dark pattern research in India, using dual process cognition and nudge sludge theory, describes interfaces that push users into fast, heuristic System 1 decisions through defaults, salience, and time pressure while loading reflective, protective actions with friction</w:t>
      </w:r>
      <w:r>
        <w:t xml:space="preserve"> </w:t>
      </w:r>
      <w:r>
        <w:t xml:space="preserve">(Khare et al., 2026, p. 6)</w:t>
      </w:r>
      <w:r>
        <w:t xml:space="preserve">. When such architectures govern social recommender settings, they reorient motivational energy away from self endorsed goals toward platform defined outcomes. Educational and welfare oriented AI deployments demonstrate that algorithmic environments can be aligned with intrinsic motivation when ethics is treated as design input rather than afterthought. Anisa et al. emphasise that token feedback loops in gamified platforms need to be specific, actionable, and gradually fade the prominence of external rewards to internalise learning habits instead of locking users into perpetual dependency on points and badges</w:t>
      </w:r>
      <w:r>
        <w:t xml:space="preserve"> </w:t>
      </w:r>
      <w:r>
        <w:t xml:space="preserve">(Anisa &amp; Maisa, 2025, p. 7)</w:t>
      </w:r>
      <w:r>
        <w:t xml:space="preserve">. Malachi’s AI augmented mental health intervention in Nigeria highlights that users valued AI as "good for first help, but not the only help," and that human intermediaries were essential to maintain trust and ensure that automated support complemented rather than displaced self directed coping strategies</w:t>
      </w:r>
      <w:r>
        <w:t xml:space="preserve"> </w:t>
      </w:r>
      <w:r>
        <w:t xml:space="preserve">(Grace Malachi et al., 2025, p. 9)</w:t>
      </w:r>
      <w:r>
        <w:t xml:space="preserve">. Both strands suggest that when algorithmic scaffolds are transparent, contextually aligned, and explicitly bounded by human oversight, they can reinforce competence and autonomy rather than eroding them. Methodologically, this thesis treats such motivational impacts as observable primarily through secondary reports on usage patterns, neuropsychological correlates, and governance responses, given that proprietary engagement algorithms remain opaque. Audit tools proposed later therefore operationalise intrinsic motivation not as an internal state but as an externally assessable condition: whether design choices and data practices align with ethical responsibility duties, avoid exploitative profiling, and provide room for users to pursue their own long term goals rather than being locked into cycles of algorithmically orchestrated instant gratification</w:t>
      </w:r>
      <w:r>
        <w:t xml:space="preserve"> </w:t>
      </w:r>
      <w:r>
        <w:t xml:space="preserve">(Hu, 2025, p. 2; Khare et al., 2026, p. 6; Kostenko, 2025, p. 62; Li, 2026, p. 2)</w:t>
      </w:r>
      <w:r>
        <w:t xml:space="preserve">.</w:t>
      </w:r>
    </w:p>
    <w:bookmarkEnd w:id="45"/>
    <w:bookmarkStart w:id="46" w:name="sec:experiences_control_flow_compulsion"/>
    <w:p>
      <w:pPr>
        <w:pStyle w:val="Heading3"/>
      </w:pPr>
      <w:r>
        <w:rPr>
          <w:rStyle w:val="SectionNumber"/>
        </w:rPr>
        <w:t xml:space="preserve">3.3.3</w:t>
      </w:r>
      <w:r>
        <w:tab/>
      </w:r>
      <w:r>
        <w:t xml:space="preserve">Experiences of Control, Flow and Compulsion in App Use</w:t>
      </w:r>
    </w:p>
    <w:p>
      <w:pPr>
        <w:pStyle w:val="FirstParagraph"/>
      </w:pPr>
      <w:r>
        <w:t xml:space="preserve">Episodes of app use in social recommender environments oscillate between perceived mastery and loss of control, and this oscillation is tightly bound to how interfaces and algorithms structure reward experience over time. Short video platforms built on neural network based recommendation systems couple micro duration clips with infinite swipe navigation, creating a closed cycle of personalised delivery, behavioural data accumulation, algorithm optimisation, and renewed content pushes. Users describe being drawn into an "auto pilot mode" of continuous scrolling, where the precision of recommendations progressively undermines intentional control over when to disengage</w:t>
      </w:r>
      <w:r>
        <w:t xml:space="preserve"> </w:t>
      </w:r>
      <w:r>
        <w:t xml:space="preserve">(Li, 2026, p. 2; 2026, p. 3)</w:t>
      </w:r>
      <w:r>
        <w:t xml:space="preserve">. At a neural level, these episodes of use are shaped by dopaminergic dynamics that blur boundaries between flow and compulsion. Continuous viewing of personalised clips stimulates the ventral tegmental area, with dopamine surging primarily during the expectation of the next video rather than at the moment of consumption. Each swipe therefore becomes a trigger for anticipatory reward, locking users into a cycle of pursuit, transient satisfaction, and renewed pursuit. Chronic, high frequency stimulation can induce expression of</w:t>
      </w:r>
      <w:r>
        <w:t xml:space="preserve"> </w:t>
      </w:r>
      <m:oMath>
        <m:r>
          <m:t>Δ</m:t>
        </m:r>
      </m:oMath>
      <w:r>
        <w:t xml:space="preserve">FosB and downregulate dopamine receptors, elevating reward thresholds and reducing the hedonic value of alternative activities such as learning, offline social interaction, or exercise. App sessions that subjectively feel like effortless immersion are therefore simultaneously reinforcing neurobiological conditions that weaken subsequent capacity for self governed choice</w:t>
      </w:r>
      <w:r>
        <w:t xml:space="preserve"> </w:t>
      </w:r>
      <w:r>
        <w:t xml:space="preserve">(Li, 2026, p. 3; 2026, p. 4)</w:t>
      </w:r>
      <w:r>
        <w:t xml:space="preserve">. The same content switching mechanism has been characterised as structurally isomorphic to slot machine variable rewards: each downward swipe carries an unpredictable probability of "hitting" a more engaging clip. This probabilistic structure maximally activates mesolimbic dopamine pathways and supports the formation of conditioned usage impulses. Algorithmic recommendation systems are explicitly described as being designed to establish sustained, automated usage habits that bypass deliberative decision making processes in favour of intuition and impulse driven responses. In Sunstein’s terms, short video feeds constitute a manipulative choice architecture in which users repeatedly "choose" to continue despite minimal reflection on opportunity costs or long term consequences. From a motivational perspective, these dynamics can be read through the I PACE model, which interprets addictive behaviour as an interaction between person, affect, cognition and execution. A large scale study with</w:t>
      </w:r>
      <w:r>
        <w:t xml:space="preserve"> </w:t>
      </w:r>
      <m:oMath>
        <m:r>
          <m:t>N</m:t>
        </m:r>
        <m:r>
          <m:rPr>
            <m:sty m:val="p"/>
          </m:rPr>
          <m:t>=</m:t>
        </m:r>
        <m:r>
          <m:t>2</m:t>
        </m:r>
        <m:r>
          <m:rPr>
            <m:sty m:val="p"/>
          </m:rPr>
          <m:t>,</m:t>
        </m:r>
        <m:r>
          <m:t>239</m:t>
        </m:r>
      </m:oMath>
      <w:r>
        <w:t xml:space="preserve"> </w:t>
      </w:r>
      <w:r>
        <w:t xml:space="preserve">participants found that past and present oriented temporal foci correlate positively with short video addiction, whereas a future oriented focus is negatively related. Inhibitory self control mediates the link between present focus and addiction: individuals who repeatedly try to suppress impulses consume scarce cognitive resources and may experience a "resistance backfire effect," where attempts at restraint paradoxically deepen entrenchment. By contrast, initiatory self control mediates the protective effect of future orientation, since clear goals support initiation of alternative behaviours that interrupt scrolling routines. These findings help explain why some users experience app sessions as controlled flow, while others report failed attempts to disengage and mounting compulsion</w:t>
      </w:r>
      <w:r>
        <w:t xml:space="preserve"> </w:t>
      </w:r>
      <w:r>
        <w:t xml:space="preserve">(Li, 2026, p. 4)</w:t>
      </w:r>
      <w:r>
        <w:t xml:space="preserve">. Population level data in China underline how such patterns scale. Short video users reached</w:t>
      </w:r>
      <w:r>
        <w:t xml:space="preserve"> </w:t>
      </w:r>
      <m:oMath>
        <m:r>
          <m:t>1.074</m:t>
        </m:r>
      </m:oMath>
      <w:r>
        <w:t xml:space="preserve"> </w:t>
      </w:r>
      <w:r>
        <w:t xml:space="preserve">billion, representing</w:t>
      </w:r>
      <w:r>
        <w:t xml:space="preserve"> </w:t>
      </w:r>
      <m:oMath>
        <m:r>
          <m:t>95.4</m:t>
        </m:r>
        <m:r>
          <m:rPr>
            <m:sty m:val="p"/>
          </m:rPr>
          <m:t>%</m:t>
        </m:r>
      </m:oMath>
      <w:r>
        <w:t xml:space="preserve"> </w:t>
      </w:r>
      <w:r>
        <w:t xml:space="preserve">of netizens, with usage concentrated among college students. Moderate use can contribute to information acquisition and emotional regulation, yet excessive use is linked to diminished academic concentration, weakened social skills, heightened anxiety and depression, and behavioural addiction. Adolescents with immature self control show particularly high susceptibility to instant feedback and highly stimulating content, highlighting that subjective experiences of flow often coexist with objectively impaired functioning and deteriorating well being</w:t>
      </w:r>
      <w:r>
        <w:t xml:space="preserve"> </w:t>
      </w:r>
      <w:r>
        <w:t xml:space="preserve">(Li, 2026, p. 2)</w:t>
      </w:r>
      <w:r>
        <w:t xml:space="preserve">. Evidence from social media more broadly associates algorithmically curated feeds with 22% higher rates of compulsive checking than non algorithmic interfaces, and with reduced gray matter density and prefrontal activity in regions governing impulse control, patterns akin to substance dependence. Flow like engagement on such feeds therefore carries measurable neural signatures of decreasing control and rising compulsion</w:t>
      </w:r>
      <w:r>
        <w:t xml:space="preserve"> </w:t>
      </w:r>
      <w:r>
        <w:t xml:space="preserve">(Hu, 2025, p. 2; 2025, p. 20)</w:t>
      </w:r>
      <w:r>
        <w:t xml:space="preserve">. Normative frameworks on digital ecology and ethical responsibility interpret these experiential patterns as legally and morally relevant. Kostenko prohibits algorithms that cause psychological pressure, impose behavioural patterns, restrict freedom of choice, form addiction, or create self replicating digital environments that erode critical and autonomous thinking. Individuals are recognised as having an inalienable right to a fair, transparent, humane and environmentally friendly digital environment that does not cause digital exhaustion, emotional discomfort or manipulative influence. This right includes protection from intrusive content and excessive information flows that generate chronic anxiety or distract cognitive attention without explicit consent, and it is coupled with a right to digital hygiene tools such as activity monitoring, depersonalisation of data and control over digital identity</w:t>
      </w:r>
      <w:r>
        <w:t xml:space="preserve"> </w:t>
      </w:r>
      <w:r>
        <w:t xml:space="preserve">(Kostenko, 2025, pp. 61–62; 2025, p. 119)</w:t>
      </w:r>
      <w:r>
        <w:t xml:space="preserve">. Within this normative frame, experiences of control, flow and compulsion in app use are not only psychological states but indicators of whether digital environments respect or violate autonomy oriented rights. When recommendation architectures and interface mechanics systematically shift users from goal directed engagement into dopamine driven cycles of compulsive checking, they meet the conditions that Kostenko identifies as prohibited manipulative use of AI, including digital addiction and emotional exhaustion. Ethical AI audits aimed at social recommender systems must therefore treat subjective reports of "getting lost" in feeds, difficulties disengaging, and post use exhaustion as critical signals of misalignment between design choices and the legally grounded expectation of a psycho emotionally safe digital environment</w:t>
      </w:r>
      <w:r>
        <w:t xml:space="preserve"> </w:t>
      </w:r>
      <w:r>
        <w:t xml:space="preserve">(Hu, 2025, p. 2; Kostenko, 2025, pp. 61–62; 2025, p. 119; Li, 2026, p. 2)</w:t>
      </w:r>
      <w:r>
        <w:t xml:space="preserve">.</w:t>
      </w:r>
    </w:p>
    <w:bookmarkEnd w:id="46"/>
    <w:bookmarkEnd w:id="47"/>
    <w:bookmarkEnd w:id="48"/>
    <w:bookmarkStart w:id="63" w:name="X2fe23288bd39e04d4aa2056161d5639ad75dc61"/>
    <w:p>
      <w:pPr>
        <w:pStyle w:val="Heading1"/>
      </w:pPr>
      <w:r>
        <w:rPr>
          <w:rStyle w:val="SectionNumber"/>
        </w:rPr>
        <w:t xml:space="preserve">4</w:t>
      </w:r>
      <w:r>
        <w:tab/>
      </w:r>
      <w:r>
        <w:t xml:space="preserve">Regulatory Landscape for Digital Fairness and Algorithmic Accountability</w:t>
      </w:r>
    </w:p>
    <w:bookmarkStart w:id="52" w:name="european-digital-governance-frameworks"/>
    <w:p>
      <w:pPr>
        <w:pStyle w:val="Heading2"/>
      </w:pPr>
      <w:r>
        <w:rPr>
          <w:rStyle w:val="SectionNumber"/>
        </w:rPr>
        <w:t xml:space="preserve">4.1</w:t>
      </w:r>
      <w:r>
        <w:tab/>
      </w:r>
      <w:r>
        <w:t xml:space="preserve">European Digital Governance Frameworks</w:t>
      </w:r>
    </w:p>
    <w:bookmarkStart w:id="49" w:name="Xc0cf35bad6f84851f75b8e44109447d249d9d04"/>
    <w:p>
      <w:pPr>
        <w:pStyle w:val="Heading3"/>
      </w:pPr>
      <w:r>
        <w:rPr>
          <w:rStyle w:val="SectionNumber"/>
        </w:rPr>
        <w:t xml:space="preserve">4.1.1</w:t>
      </w:r>
      <w:r>
        <w:tab/>
      </w:r>
      <w:r>
        <w:t xml:space="preserve">Digital Services Regulation of Online Platforms</w:t>
      </w:r>
    </w:p>
    <w:p>
      <w:pPr>
        <w:pStyle w:val="FirstParagraph"/>
      </w:pPr>
      <w:r>
        <w:t xml:space="preserve">Digital services regulation in the European Union increasingly treats recommender systems as objects of systemic accountability rather than neutral technical components. The Digital Services Act (DSA) updates the 2000 e Commerce Directive and introduces due diligence obligations for all online intermediaries, including notice and action mechanisms for illegal content and priority handling for trusted flaggers, accompanied by transparency reporting on moderation, advertising, and recommendation practices</w:t>
      </w:r>
      <w:r>
        <w:t xml:space="preserve"> </w:t>
      </w:r>
      <w:r>
        <w:t xml:space="preserve">(Kustura, 2025, p. 7)</w:t>
      </w:r>
      <w:r>
        <w:t xml:space="preserve">. For platforms exceeding</w:t>
      </w:r>
      <w:r>
        <w:t xml:space="preserve"> </w:t>
      </w:r>
      <m:oMath>
        <m:r>
          <m:t>45</m:t>
        </m:r>
      </m:oMath>
      <w:r>
        <w:t xml:space="preserve"> </w:t>
      </w:r>
      <w:r>
        <w:t xml:space="preserve">million users, classified as very large online platforms (VLOPs), the DSA adds specific duties that directly affect social recommender systems: mandatory systemic risk assessments, annual independent audits, and the obligation to offer at least one non profiling recommendation option. These provisions mark a shift from ex post liability to ex ante systemic accountability for algorithmic curation of content</w:t>
      </w:r>
      <w:r>
        <w:t xml:space="preserve"> </w:t>
      </w:r>
      <w:r>
        <w:t xml:space="preserve">(Kustura, 2025, p. 7; T et al., 2026, p. 12)</w:t>
      </w:r>
      <w:r>
        <w:t xml:space="preserve">. Risk governance under the DSA rests on a distributed audit architecture. Providers of VLOPs must perform internal risk assessments before deploying functionalities that may critically impact systemic risks, and they must implement mitigation measures where such risks are identified. Independent organisations, commissioned and paid by VLOPs, conduct compliance audits that check adherence to due diligence obligations in Chapter III DSA, including the adequacy of internal risk assessments and risk mitigation. Vetted researchers receive data access under Article 40(4) to study systemic risks and assess mitigation effectiveness, while Digital Services Coordinators and the European Commission obtain the data needed to monitor compliance</w:t>
      </w:r>
      <w:r>
        <w:t xml:space="preserve"> </w:t>
      </w:r>
      <w:r>
        <w:t xml:space="preserve">(Meßmer &amp; Degeling, 2023, p. 18)</w:t>
      </w:r>
      <w:r>
        <w:t xml:space="preserve">. This mapping aligns first party risk assessments, second party compliance audits, and third party research and supervisory oversight into a multi tier audit regime</w:t>
      </w:r>
      <w:r>
        <w:t xml:space="preserve"> </w:t>
      </w:r>
      <w:r>
        <w:t xml:space="preserve">(Meßmer &amp; Degeling, 2023, p. 18; 2023, p. 19)</w:t>
      </w:r>
      <w:r>
        <w:t xml:space="preserve">. Transparency duties are a core mechanism for disciplining platform recommender behaviour. Article 24 DSA requires transparency reports covering, among other items, dispute volumes and suspensions, while Article 42 adds that VLOPs must disclose the number of content moderators, their qualifications, and linguistic coverage. Article 27 obliges platforms to explain the main parameters of recommender systems, and Article 40 details data access obligations for Digital Services Coordinators and the Commission. Civil society organisations argue that users must be able to act on this published information, so transparency requirements should be operationally meaningful rather than purely descriptive</w:t>
      </w:r>
      <w:r>
        <w:t xml:space="preserve"> </w:t>
      </w:r>
      <w:r>
        <w:t xml:space="preserve">(Meßmer &amp; Degeling, 2023, p. 19)</w:t>
      </w:r>
      <w:r>
        <w:t xml:space="preserve">. Complementary analysis stresses that the DSA’s systemic risk framework obliges VLOPs to assess and mitigate risks to civic discourse and electoral processes, again with annual independent audits and researcher access to platform data as enforcement levers</w:t>
      </w:r>
      <w:r>
        <w:t xml:space="preserve"> </w:t>
      </w:r>
      <w:r>
        <w:t xml:space="preserve">(T et al., 2026, p. 12)</w:t>
      </w:r>
      <w:r>
        <w:t xml:space="preserve">. Policy analysis positions the DSA alongside the AI Act and the Digital Markets Act as part of a wider European attempt to write transparency, accountability, and human oversight obligations directly into law</w:t>
      </w:r>
      <w:r>
        <w:t xml:space="preserve"> </w:t>
      </w:r>
      <w:r>
        <w:t xml:space="preserve">(Kustura, 2025, p. 2)</w:t>
      </w:r>
      <w:r>
        <w:t xml:space="preserve">. Very large platforms are treated as infrastructural actors whose algorithmic systems hold "something close to public power," and the DSA is interpreted as a digital constitutionalist move that binds private platforms with obligations traditionally reserved for states</w:t>
      </w:r>
      <w:r>
        <w:t xml:space="preserve"> </w:t>
      </w:r>
      <w:r>
        <w:t xml:space="preserve">(Kustura, 2025, p. 2; T et al., 2026, p. 11)</w:t>
      </w:r>
      <w:r>
        <w:t xml:space="preserve">. Through the "Brussels Effect," these rules are expected to set global benchmarks, influencing jurisdictions such as Japan, Australia, and the United States, even though enforcement capacity and geopolitical tensions may limit uniform uptake</w:t>
      </w:r>
      <w:r>
        <w:t xml:space="preserve"> </w:t>
      </w:r>
      <w:r>
        <w:t xml:space="preserve">(Kustura, 2025, p. 8; Sikalo, 2026, p. 7)</w:t>
      </w:r>
      <w:r>
        <w:t xml:space="preserve">. Comparative assessments classify the DSA as high on transparency, accountability, democratic focus, and enforcement, in contrast to softer, non binding instruments like the OECD AI Principles or the UNESCO Recommendation on AI Ethics</w:t>
      </w:r>
      <w:r>
        <w:t xml:space="preserve"> </w:t>
      </w:r>
      <w:r>
        <w:t xml:space="preserve">(T et al., 2026, p. 13)</w:t>
      </w:r>
      <w:r>
        <w:t xml:space="preserve">. Implementation challenges remain substantial. Audits mandated by the DSA risk becoming procedural formalities if regulators and auditors lack the technical expertise to interrogate complex recommendation algorithms, interpret risk assessments, or assess mitigation claims</w:t>
      </w:r>
      <w:r>
        <w:t xml:space="preserve"> </w:t>
      </w:r>
      <w:r>
        <w:t xml:space="preserve">(Bahangulu &amp; Owusu-Berko, 2025, p. 9; T et al., 2026, p. 13)</w:t>
      </w:r>
      <w:r>
        <w:t xml:space="preserve">. Evidence from GDPR enforcement shows that uneven national capacities can produce fragmented application, and similar concerns are raised for AI Act and DSA implementation</w:t>
      </w:r>
      <w:r>
        <w:t xml:space="preserve"> </w:t>
      </w:r>
      <w:r>
        <w:t xml:space="preserve">(Kustura, 2025, p. 9; Sikalo, 2026, p. 20)</w:t>
      </w:r>
      <w:r>
        <w:t xml:space="preserve">. To address this expertise gap, commentators call for dedicated algorithmic auditing units within regulatory bodies and stress the importance of civil society participation in defining audit standards, voluntary norms under Article 44 DSA, and codes of conduct under Articles 45ff.</w:t>
      </w:r>
      <w:r>
        <w:t xml:space="preserve"> </w:t>
      </w:r>
      <w:r>
        <w:t xml:space="preserve">(Meßmer &amp; Degeling, 2023, p. 19; T et al., 2026, p. 13)</w:t>
      </w:r>
      <w:r>
        <w:t xml:space="preserve">. For this thesis, these features make the DSA a key external anchor: its requirements on systemic risk assessment, non profiling recommender options, layered audits, and recommender transparency define concrete compliance targets that any Ethical AI Audit Toolkit for social platforms must internalise when anticipating a Digital Fairness Act trajectory</w:t>
      </w:r>
      <w:r>
        <w:t xml:space="preserve"> </w:t>
      </w:r>
      <w:r>
        <w:t xml:space="preserve">(Bahangulu &amp; Owusu-Berko, 2025, p. 6; Kustura, 2025, p. 2; T et al., 2026, p. 12)</w:t>
      </w:r>
      <w:r>
        <w:t xml:space="preserve">.</w:t>
      </w:r>
    </w:p>
    <w:bookmarkEnd w:id="49"/>
    <w:bookmarkStart w:id="50" w:name="sec:ai_risk_governance_eu"/>
    <w:p>
      <w:pPr>
        <w:pStyle w:val="Heading3"/>
      </w:pPr>
      <w:r>
        <w:rPr>
          <w:rStyle w:val="SectionNumber"/>
        </w:rPr>
        <w:t xml:space="preserve">4.1.2</w:t>
      </w:r>
      <w:r>
        <w:tab/>
      </w:r>
      <w:r>
        <w:t xml:space="preserve">Artificial Intelligence Risk Governance in the EU</w:t>
      </w:r>
    </w:p>
    <w:p>
      <w:pPr>
        <w:pStyle w:val="FirstParagraph"/>
      </w:pPr>
      <w:r>
        <w:t xml:space="preserve">Risk governance for artificial intelligence in the European Union is anchored in a risk based statutory framework that sits alongside data protection and platform regulation. The Artificial Intelligence Act classifies systems into four tiers: prohibited or unacceptable risk, high risk, limited risk, and minimal risk. Unacceptable categories include social scoring by public authorities, real time biometric surveillance in public spaces, and AI systems that exploit psychological vulnerabilities, which are banned outright. High risk systems in domains such as critical infrastructure, education, employment, essential services, law enforcement, and border control must undergo conformity assessment, maintain technical documentation, and ensure human oversight, while limited risk applications such as chatbots carry transparency duties and minimal risk systems like spam filters face no mandatory obligations</w:t>
      </w:r>
      <w:r>
        <w:t xml:space="preserve"> </w:t>
      </w:r>
      <w:r>
        <w:t xml:space="preserve">(Kostenko, 2025, p. 10; T et al., 2026, p. 12)</w:t>
      </w:r>
      <w:r>
        <w:t xml:space="preserve">. This tiering reflects a broader move toward risk based regulation rather than technology specific bans. Kostenko’s comparative legal analysis characterises the EU regime as the most ambitious and systemic, with strict requirements on transparency, ethics, protection of fundamental rights, and security, coordinated through the European AI Office and national competent authorities. By contrast, the United States relies on a flexible mix of standards and sector laws and China pursues a centralized innovation and control model, for example through regulations on algorithmic recommendations and the Personal Information Protection Law. Identified gaps in many jurisdictions include weak oversight mechanisms, insufficient institutional capacity for independent auditing, and the lack of unified impact assessment procedures or public registers, which the AI Act explicitly seeks to address through its governance structure and mandatory risk management provisions</w:t>
      </w:r>
      <w:r>
        <w:t xml:space="preserve"> </w:t>
      </w:r>
      <w:r>
        <w:t xml:space="preserve">(Kostenko, 2025, p. 10)</w:t>
      </w:r>
      <w:r>
        <w:t xml:space="preserve">. Standardisation activity interacts with this legal architecture. ISO/IEC JTC 1/SC 42 has issued AI related standards on risk management, bias mitigation, and ethical considerations, such as ISO/IEC 23894, 24027, 24028, and 24368. Analyses of their alignment with the AI Act show strong conceptual convergence around bias, transparency and human oversight in high risk systems, yet stress that ISO norms remain voluntary and therefore rely on binding instruments like the AI Act to gain enforcement power. Within the EU, these standards can function as de facto benchmarks for demonstrating conformity with requirements on representative datasets, bias mitigation, and explainable operation, especially where national authorities lack detailed technical criteria of their own</w:t>
      </w:r>
      <w:r>
        <w:t xml:space="preserve"> </w:t>
      </w:r>
      <w:r>
        <w:t xml:space="preserve">(Sankaran, 2025, p. 4; 2025, p. 5)</w:t>
      </w:r>
      <w:r>
        <w:t xml:space="preserve">. A concise comparison clarifies the EU’s distinctive position:</w:t>
      </w:r>
    </w:p>
    <w:p>
      <w:pPr>
        <w:pStyle w:val="TableCaption"/>
      </w:pPr>
      <w:r>
        <w:t xml:space="preserve">Selected AI risk governance features by region</w:t>
      </w:r>
    </w:p>
    <w:tbl>
      <w:tblPr>
        <w:tblStyle w:val="Table"/>
        <w:tblW w:type="auto" w:w="0"/>
        <w:jc w:val="left"/>
        <w:tblLook w:firstRow="1" w:lastRow="0" w:firstColumn="0" w:lastColumn="0" w:noHBand="0" w:noVBand="0" w:val="0020"/>
        <w:tblCaption w:val="Selected AI risk governance features by region"/>
      </w:tblPr>
      <w:tblGrid>
        <w:gridCol w:w="1980"/>
        <w:gridCol w:w="1980"/>
        <w:gridCol w:w="1980"/>
        <w:gridCol w:w="1980"/>
      </w:tblGrid>
      <w:tr>
        <w:trPr>
          <w:tblHeader w:val="on"/>
        </w:trPr>
        <w:tc>
          <w:tcPr/>
          <w:p>
            <w:pPr>
              <w:pStyle w:val="Compact"/>
              <w:jc w:val="left"/>
            </w:pPr>
            <w:r>
              <w:t xml:space="preserve">Feature</w:t>
            </w:r>
          </w:p>
        </w:tc>
        <w:tc>
          <w:tcPr/>
          <w:p>
            <w:pPr>
              <w:pStyle w:val="Compact"/>
              <w:jc w:val="center"/>
            </w:pPr>
            <w:r>
              <w:t xml:space="preserve">EU AI Act</w:t>
            </w:r>
          </w:p>
        </w:tc>
        <w:tc>
          <w:tcPr/>
          <w:p>
            <w:pPr>
              <w:pStyle w:val="Compact"/>
              <w:jc w:val="center"/>
            </w:pPr>
            <w:r>
              <w:t xml:space="preserve">US federal</w:t>
            </w:r>
          </w:p>
        </w:tc>
        <w:tc>
          <w:tcPr/>
          <w:p>
            <w:pPr>
              <w:pStyle w:val="Compact"/>
              <w:jc w:val="center"/>
            </w:pPr>
            <w:r>
              <w:t xml:space="preserve">China</w:t>
            </w:r>
          </w:p>
        </w:tc>
      </w:tr>
      <w:tr>
        <w:tc>
          <w:tcPr/>
          <w:p>
            <w:pPr>
              <w:pStyle w:val="Compact"/>
              <w:jc w:val="left"/>
            </w:pPr>
            <w:r>
              <w:t xml:space="preserve">Legal form</w:t>
            </w:r>
          </w:p>
        </w:tc>
        <w:tc>
          <w:tcPr/>
          <w:p>
            <w:pPr>
              <w:pStyle w:val="Compact"/>
              <w:jc w:val="center"/>
            </w:pPr>
            <w:r>
              <w:t xml:space="preserve">Binding regulation</w:t>
            </w:r>
          </w:p>
        </w:tc>
        <w:tc>
          <w:tcPr/>
          <w:p>
            <w:pPr>
              <w:pStyle w:val="Compact"/>
              <w:jc w:val="center"/>
            </w:pPr>
            <w:r>
              <w:t xml:space="preserve">Soft guidance</w:t>
            </w:r>
          </w:p>
        </w:tc>
        <w:tc>
          <w:tcPr/>
          <w:p>
            <w:pPr>
              <w:pStyle w:val="Compact"/>
              <w:jc w:val="center"/>
            </w:pPr>
            <w:r>
              <w:t xml:space="preserve">Administrative regs</w:t>
            </w:r>
          </w:p>
        </w:tc>
      </w:tr>
      <w:tr>
        <w:tc>
          <w:tcPr/>
          <w:p>
            <w:pPr>
              <w:pStyle w:val="Compact"/>
              <w:jc w:val="left"/>
            </w:pPr>
            <w:r>
              <w:t xml:space="preserve">Risk tiers</w:t>
            </w:r>
          </w:p>
        </w:tc>
        <w:tc>
          <w:tcPr/>
          <w:p>
            <w:pPr>
              <w:pStyle w:val="Compact"/>
              <w:jc w:val="center"/>
            </w:pPr>
            <w:r>
              <w:t xml:space="preserve">4 level scheme</w:t>
            </w:r>
          </w:p>
        </w:tc>
        <w:tc>
          <w:tcPr/>
          <w:p>
            <w:pPr>
              <w:pStyle w:val="Compact"/>
              <w:jc w:val="center"/>
            </w:pPr>
            <w:r>
              <w:t xml:space="preserve">None unified</w:t>
            </w:r>
          </w:p>
        </w:tc>
        <w:tc>
          <w:tcPr/>
          <w:p>
            <w:pPr>
              <w:pStyle w:val="Compact"/>
              <w:jc w:val="center"/>
            </w:pPr>
            <w:r>
              <w:t xml:space="preserve">Domain specific</w:t>
            </w:r>
          </w:p>
        </w:tc>
      </w:tr>
      <w:tr>
        <w:tc>
          <w:tcPr/>
          <w:p>
            <w:pPr>
              <w:pStyle w:val="Compact"/>
              <w:jc w:val="left"/>
            </w:pPr>
            <w:r>
              <w:t xml:space="preserve">High risk duties</w:t>
            </w:r>
          </w:p>
        </w:tc>
        <w:tc>
          <w:tcPr/>
          <w:p>
            <w:pPr>
              <w:pStyle w:val="Compact"/>
              <w:jc w:val="center"/>
            </w:pPr>
            <w:r>
              <w:t xml:space="preserve">Conformity, oversight</w:t>
            </w:r>
          </w:p>
        </w:tc>
        <w:tc>
          <w:tcPr/>
          <w:p>
            <w:pPr>
              <w:pStyle w:val="Compact"/>
              <w:jc w:val="center"/>
            </w:pPr>
            <w:r>
              <w:t xml:space="preserve">Sectoral</w:t>
            </w:r>
          </w:p>
        </w:tc>
        <w:tc>
          <w:tcPr/>
          <w:p>
            <w:pPr>
              <w:pStyle w:val="Compact"/>
              <w:jc w:val="center"/>
            </w:pPr>
            <w:r>
              <w:t xml:space="preserve">State centric</w:t>
            </w:r>
          </w:p>
        </w:tc>
      </w:tr>
      <w:tr>
        <w:tc>
          <w:tcPr/>
          <w:p>
            <w:pPr>
              <w:pStyle w:val="Compact"/>
              <w:jc w:val="left"/>
            </w:pPr>
            <w:r>
              <w:t xml:space="preserve">Audit capacity</w:t>
            </w:r>
          </w:p>
        </w:tc>
        <w:tc>
          <w:tcPr/>
          <w:p>
            <w:pPr>
              <w:pStyle w:val="Compact"/>
              <w:jc w:val="center"/>
            </w:pPr>
            <w:r>
              <w:t xml:space="preserve">Mandated, still weak</w:t>
            </w:r>
          </w:p>
        </w:tc>
        <w:tc>
          <w:tcPr/>
          <w:p>
            <w:pPr>
              <w:pStyle w:val="Compact"/>
              <w:jc w:val="center"/>
            </w:pPr>
            <w:r>
              <w:t xml:space="preserve">Fragmented</w:t>
            </w:r>
          </w:p>
        </w:tc>
        <w:tc>
          <w:tcPr/>
          <w:p>
            <w:pPr>
              <w:pStyle w:val="Compact"/>
              <w:jc w:val="center"/>
            </w:pPr>
            <w:r>
              <w:t xml:space="preserve">Centralised</w:t>
            </w:r>
          </w:p>
        </w:tc>
      </w:tr>
    </w:tbl>
    <w:p>
      <w:pPr>
        <w:pStyle w:val="BodyText"/>
      </w:pPr>
      <w:r>
        <w:t xml:space="preserve">Research on enforcement underscores that even in the EU, institutional capacity to audit complex models is a critical bottleneck. Machine learning systems often lack explainability, which complicates assessment of fairness and transparency obligations in practice. Regulators confront black box architectures where decision logic is difficult to interpret, and uneven national resources risk fragmented implementation of AI Act duties, echoing earlier experience under the GDPR. Commentators therefore call for specialised algorithmic auditing units, improved technical tooling, and closer collaboration with industry and civil society to translate risk based legal categories into operational audit routines</w:t>
      </w:r>
      <w:r>
        <w:t xml:space="preserve"> </w:t>
      </w:r>
      <w:r>
        <w:t xml:space="preserve">(Bahangulu &amp; Owusu-Berko, 2025, p. 9; Kustura, 2025, p. 2)</w:t>
      </w:r>
      <w:r>
        <w:t xml:space="preserve">. Interaction between the AI Act and adjacent instruments is highly relevant for social recommender systems. Platform regulation through the Digital Services Act already requires very large online platforms to assess and mitigate systemic risks to civic discourse and electoral processes and to undergo annual independent audits. The AI Act adds technology focused obligations on transparency, bias mitigation, documentation and human oversight for high risk systems, while the Digital Markets Act complements these with ex ante competition duties for gatekeepers. Together, these instruments extend algorithmic accountability from individual rights and content layers to infrastructural questions of market power and systemic risk. EU level analysis suggests that, through the "Brussels Effect," this combined regime may function as a global benchmark for AI risk governance, even though enforcement capacity, innovation concerns, and geopolitical contestation remain unresolved</w:t>
      </w:r>
      <w:r>
        <w:t xml:space="preserve"> </w:t>
      </w:r>
      <w:r>
        <w:t xml:space="preserve">(Kustura, 2025, p. 2; T et al., 2026, p. 12)</w:t>
      </w:r>
      <w:r>
        <w:t xml:space="preserve">. Empirical work on educational AI systems illustrates why those enforcement and auditing concerns matter in concrete settings: algorithms trained on skewed school data can systematically underrate students from lower-income backgrounds and, when labels are exposed to teachers, can reduce teacher engagement by a material margin, producing what researchers have described as a digital self-fulfilling prophecy</w:t>
      </w:r>
      <w:r>
        <w:t xml:space="preserve"> </w:t>
      </w:r>
      <w:r>
        <w:t xml:space="preserve">(Luo, 2025, p. 2)</w:t>
      </w:r>
      <w:r>
        <w:t xml:space="preserve">. Such findings suggest that audit frameworks and representative dataset requirements in the AI Act are not merely theoretical safeguards but respond to observable harms in domains like education that are likely to reappear in other high risk applications</w:t>
      </w:r>
      <w:r>
        <w:t xml:space="preserve"> </w:t>
      </w:r>
      <w:r>
        <w:t xml:space="preserve">(Luo, 2025, p. 2)</w:t>
      </w:r>
      <w:r>
        <w:t xml:space="preserve">.</w:t>
      </w:r>
    </w:p>
    <w:bookmarkEnd w:id="50"/>
    <w:bookmarkStart w:id="51" w:name="sec:policy_trajectory_digital_fairness"/>
    <w:p>
      <w:pPr>
        <w:pStyle w:val="Heading3"/>
      </w:pPr>
      <w:r>
        <w:rPr>
          <w:rStyle w:val="SectionNumber"/>
        </w:rPr>
        <w:t xml:space="preserve">4.1.3</w:t>
      </w:r>
      <w:r>
        <w:tab/>
      </w:r>
      <w:r>
        <w:t xml:space="preserve">Policy Trajectory toward a Digital Fairness Regulation</w:t>
      </w:r>
    </w:p>
    <w:p>
      <w:pPr>
        <w:pStyle w:val="FirstParagraph"/>
      </w:pPr>
      <w:r>
        <w:t xml:space="preserve">Regulatory discussions in the EU increasingly converge on the need for an explicit "fair design" layer that targets addictive interfaces and unfair personalisation more directly than existing data protection and platform rules can achieve. Sanikidze describes a planned Digital Fairness Act (DFA), scheduled as a proposal for late 2026, whose stated goal is to regulate addictive product designs and unfair personalisation "across the board," filling gaps between the Digital Services Act (DSA) and traditional consumer protection instruments such as the Unfair Commercial Practices Directive</w:t>
      </w:r>
      <w:r>
        <w:t xml:space="preserve"> </w:t>
      </w:r>
      <w:r>
        <w:t xml:space="preserve">(Sanikidze, 2026, p. 390)</w:t>
      </w:r>
      <w:r>
        <w:t xml:space="preserve">. This trajectory emerges against a backdrop where the DSA already bans manipulative interfaces that impair free and informed decision making and imposes obligations on very large online platforms to provide at least one non profiled recommendation option, conduct annual independent audits, and assess systemic risks to civic discourse and electoral processes. The AI Act complements this by prohibiting AI systems that exploit psychological vulnerabilities and by banning subliminal manipulation or manipulative effects that can significantly harm behaviour, yet current classifications do not explicitly treat social recommender algorithms as high risk, which critics regard as a democratic protection gap the DFA is expected to address</w:t>
      </w:r>
      <w:r>
        <w:t xml:space="preserve"> </w:t>
      </w:r>
      <w:r>
        <w:t xml:space="preserve">(T et al., 2026, p. 2248)</w:t>
      </w:r>
      <w:r>
        <w:t xml:space="preserve">. Policy momentum is reinforced by enforcement practice under unfair commercial practices law in EU aligned jurisdictions. Georgia’s Law on the Protection of Consumer Rights, which transposes EU standards, has already been used by the Georgian Competition and Consumer Agency to sanction digital dark patterns such as false countdown timers, fabricated scarcity, fake reviews, and misleading brand associations exemplified by advertising under the "Maxbosch" label while using BOSCH imagery. These decisions show that a general unfair practices framework can be applied to technologically sophisticated interface manipulations even in the absence of AI specific clauses. At the same time, Sanikidze stresses that recent Georgian cases did not yet cover AI driven dark patterns, which indicates both the reach and the current limits of consumer law when faced with adaptive, data driven designs</w:t>
      </w:r>
      <w:r>
        <w:t xml:space="preserve"> </w:t>
      </w:r>
      <w:r>
        <w:t xml:space="preserve">(Sanikidze, 2026, p. 390)</w:t>
      </w:r>
      <w:r>
        <w:t xml:space="preserve">. Within the EU, the emerging trajectory can be read as a layering strategy. Existing pillars include the GDPR on data privacy, the DSA on platform accountability, and the Digital Markets Act (DMA) on gatekeeper competition duties such as bans on self preferencing and requirements for interoperability and explicit consent before combining personal data across services</w:t>
      </w:r>
      <w:r>
        <w:t xml:space="preserve"> </w:t>
      </w:r>
      <w:r>
        <w:t xml:space="preserve">(Kustura, 2025, p. 8; T et al., 2026, p. 2248)</w:t>
      </w:r>
      <w:r>
        <w:t xml:space="preserve">. The AI Act then adds a cross sectoral, risk based scheme that bans unacceptable uses like social scoring and systems that exploit psychological vulnerabilities, while imposing conformity assessment, documentation, and human oversight requirements on high risk applications in domains such as education and employment</w:t>
      </w:r>
      <w:r>
        <w:t xml:space="preserve"> </w:t>
      </w:r>
      <w:r>
        <w:t xml:space="preserve">(T et al., 2026, p. 2248)</w:t>
      </w:r>
      <w:r>
        <w:t xml:space="preserve">. Analysis by Kustura characterises this ensemble as the most ambitious set of algorithmic regulations currently in force, with the "Brussels Effect" likely to externalise its standards globally, though uneven enforcement capacity and contested geopolitical conditions constrain this ambition</w:t>
      </w:r>
      <w:r>
        <w:t xml:space="preserve"> </w:t>
      </w:r>
      <w:r>
        <w:t xml:space="preserve">(Kustura, 2025, p. 2)</w:t>
      </w:r>
      <w:r>
        <w:t xml:space="preserve">. Against this regulatory stack, the DFA is framed not as an isolated statute but as an additional, preventive tier that targets design practices which fall between content moderation and data processing, especially addictive UX, unfair personalisation, and AI mediated dark patterns. Sanikidze explicitly links the DFA’s focus on addictive product designs and unfair personalisation to concerns about AI driven manipulation and dark patterns in e commerce. Recent enforcement against platform X and Temu under the DSA and UCPD, including fines for "deceptive" verification features and preliminary findings on potentially addictive design, are interpreted as early signals of regulatory intolerance for interface pressure that makes cancellation harder than sign up or obscures material information through countdown timers and scarcity messaging</w:t>
      </w:r>
      <w:r>
        <w:t xml:space="preserve"> </w:t>
      </w:r>
      <w:r>
        <w:t xml:space="preserve">(Sanikidze, 2026, p. 390)</w:t>
      </w:r>
      <w:r>
        <w:t xml:space="preserve">. The DFA is consequently presented as a move from case by case unfair practice enforcement to an ex ante, horizontally applicable regime where fairness in design becomes a primary regulatory objective in its own right, alongside safety, competition, and data protection. Research on behavioural advertising underlines why such a regime is seen as necessary: personalised online campaigns rely on data flows across publisher ad servers, supply side and demand side platforms, and data management platforms that segment users through cookies, allowing advertising to shift from mass oriented communication to highly individualised influence strategies</w:t>
      </w:r>
      <w:r>
        <w:t xml:space="preserve"> </w:t>
      </w:r>
      <w:r>
        <w:t xml:space="preserve">(Quinelato, 2024, p. 5)</w:t>
      </w:r>
      <w:r>
        <w:t xml:space="preserve">. When these strategies are embedded in opaque recommendation and interface logic, general transparency and consent rules may be insufficient to prevent exploitation of cognitive vulnerabilities. For this thesis, which treats the DFA as a policy trajectory rather than settled law, the practical implication is clear. Any Ethical AI Audit Toolkit and pro social pivot strategy must be aligned ex ante with this direction of travel, not only with the letter of current DSA and AI Act provisions. This implies incorporating explicit audit dimensions on addictive design patterns, unfair personalisation, and AI enabled dark patterns into the coding matrix used to assess social recommender systems. It also suggests that future compliance will likely depend on demonstrating that engagement optimisation does not rely on manipulative UX mechanics, that profiling based targeting can be meaningfully switched off, and that audit trails and explanations are available for both content ranking and advertising decisions within social feeds</w:t>
      </w:r>
      <w:r>
        <w:t xml:space="preserve"> </w:t>
      </w:r>
      <w:r>
        <w:t xml:space="preserve">(Quinelato, 2024, p. 5; Sanikidze, 2026, p. 390; T et al., 2026, p. 2248)</w:t>
      </w:r>
      <w:r>
        <w:t xml:space="preserve">. At the same time, the literature on AI auditing cautions that audits vary in scope and independence and that provider-commissioned reviews may not suffice for regulatory assurance; structured, independent assessments of system rationale, code, and impacts are therefore likely to become an important element of credible compliance</w:t>
      </w:r>
      <w:r>
        <w:t xml:space="preserve"> </w:t>
      </w:r>
      <w:r>
        <w:t xml:space="preserve">(Dantas et al., 2025, p. 13)</w:t>
      </w:r>
      <w:r>
        <w:t xml:space="preserve">. This suggests auditors and regulators will need to look beyond declarative documentation and seek evidence of substantive, replicable testing and impact measurement when evaluating claims about non-manipulative engagement design</w:t>
      </w:r>
      <w:r>
        <w:t xml:space="preserve"> </w:t>
      </w:r>
      <w:r>
        <w:t xml:space="preserve">(Dantas et al., 2025, p. 13)</w:t>
      </w:r>
      <w:r>
        <w:t xml:space="preserve">.</w:t>
      </w:r>
    </w:p>
    <w:bookmarkEnd w:id="51"/>
    <w:bookmarkEnd w:id="52"/>
    <w:bookmarkStart w:id="57" w:name="X4cc48cd632b152e2f9ad9fe83eb5e4315397092"/>
    <w:p>
      <w:pPr>
        <w:pStyle w:val="Heading2"/>
      </w:pPr>
      <w:r>
        <w:rPr>
          <w:rStyle w:val="SectionNumber"/>
        </w:rPr>
        <w:t xml:space="preserve">4.2</w:t>
      </w:r>
      <w:r>
        <w:tab/>
      </w:r>
      <w:r>
        <w:t xml:space="preserve">Transparency, Data Access and Audit Obligations</w:t>
      </w:r>
    </w:p>
    <w:bookmarkStart w:id="54" w:name="sec:platform_transparency_reporting"/>
    <w:p>
      <w:pPr>
        <w:pStyle w:val="Heading3"/>
      </w:pPr>
      <w:r>
        <w:rPr>
          <w:rStyle w:val="SectionNumber"/>
        </w:rPr>
        <w:t xml:space="preserve">4.2.1</w:t>
      </w:r>
      <w:r>
        <w:tab/>
      </w:r>
      <w:r>
        <w:t xml:space="preserve">Platform Transparency Reporting Requirements</w:t>
      </w:r>
    </w:p>
    <w:p>
      <w:pPr>
        <w:pStyle w:val="FirstParagraph"/>
      </w:pPr>
      <w:r>
        <w:t xml:space="preserve">Transparency reporting in EU platform regulation functions as a central control surface for recommender accountability rather than a peripheral disclosure duty. Under the Digital Services Act, very large online platforms with more than</w:t>
      </w:r>
      <w:r>
        <w:t xml:space="preserve"> </w:t>
      </w:r>
      <m:oMath>
        <m:r>
          <m:t>45</m:t>
        </m:r>
      </m:oMath>
      <w:r>
        <w:t xml:space="preserve"> </w:t>
      </w:r>
      <w:r>
        <w:t xml:space="preserve">million monthly EU users must publish recurring reports that specify, among other items, the number of disputes submitted, the number of suspensions, and staffing levels for content moderation, including qualifications and linguistic expertise</w:t>
      </w:r>
      <w:r>
        <w:t xml:space="preserve"> </w:t>
      </w:r>
      <w:r>
        <w:t xml:space="preserve">(Kustura, 2025, p. 7; Meßmer &amp; Degeling, 2023, p. 19)</w:t>
      </w:r>
      <w:r>
        <w:t xml:space="preserve">. These reports are designed to transform traditionally opaque operational metrics into externally inspectable indicators that supervisors, auditors, and civil society can use when evaluating the behaviour of recommender systems embedded in social platforms. Crucially, transparency duties do not stop at aggregate moderation statistics. Article 27 DSA requires disclosure of "the main parameters used for recommendations," compelling platforms to explain how ranking is organised and which signals drive exposure. In parallel, Article 39 mandates an advertising repository for VLOPs that details paid content, while Article 40 defines data access procedures for Digital Services Coordinators and the European Commission. Analysis by Me</w:t>
      </w:r>
      <w:r>
        <w:t xml:space="preserve">ß</w:t>
      </w:r>
      <w:r>
        <w:t xml:space="preserve">mer and Degeling stresses that civil society actors are already calling for additional obligations so that users can act meaningfully on this published information rather than merely observe it</w:t>
      </w:r>
      <w:r>
        <w:t xml:space="preserve"> </w:t>
      </w:r>
      <w:r>
        <w:t xml:space="preserve">(Meßmer &amp; Degeling, 2023, p. 19)</w:t>
      </w:r>
      <w:r>
        <w:t xml:space="preserve">. From an Ethical AI Audit perspective, these provisions supply a minimum disclosure baseline against which internal reporting dashboards should be calibrated. Table </w:t>
      </w:r>
      <w:hyperlink w:anchor="tab:dsa_transparency_dims">
        <w:r>
          <w:rPr>
            <w:rStyle w:val="Hyperlink"/>
          </w:rPr>
          <w:t xml:space="preserve">1</w:t>
        </w:r>
      </w:hyperlink>
      <w:r>
        <w:t xml:space="preserve"> </w:t>
      </w:r>
      <w:r>
        <w:t xml:space="preserve">summarises the main transparency dimensions and their audit relevance.</w:t>
      </w:r>
    </w:p>
    <w:bookmarkStart w:id="53" w:name="tab:dsa_transparency_dims"/>
    <w:p>
      <w:pPr>
        <w:pStyle w:val="TableCaption"/>
      </w:pPr>
      <w:r>
        <w:t xml:space="preserve">Key DSA transparency reporting elements and audit implications</w:t>
      </w:r>
    </w:p>
    <w:tbl>
      <w:tblPr>
        <w:tblStyle w:val="Table"/>
        <w:tblW w:type="auto" w:w="0"/>
        <w:jc w:val="left"/>
        <w:tblLook w:firstRow="1" w:lastRow="0" w:firstColumn="0" w:lastColumn="0" w:noHBand="0" w:noVBand="0" w:val="0020"/>
        <w:tblCaption w:val="Key DSA transparency reporting elements and audit implications"/>
      </w:tblPr>
      <w:tblGrid>
        <w:gridCol w:w="2640"/>
        <w:gridCol w:w="2640"/>
        <w:gridCol w:w="2640"/>
      </w:tblGrid>
      <w:tr>
        <w:trPr>
          <w:tblHeader w:val="on"/>
        </w:trPr>
        <w:tc>
          <w:tcPr/>
          <w:p>
            <w:pPr>
              <w:pStyle w:val="Compact"/>
              <w:jc w:val="left"/>
            </w:pPr>
            <w:r>
              <w:t xml:space="preserve">Regulatory hook</w:t>
            </w:r>
          </w:p>
        </w:tc>
        <w:tc>
          <w:tcPr/>
          <w:p>
            <w:pPr>
              <w:pStyle w:val="Compact"/>
              <w:jc w:val="left"/>
            </w:pPr>
            <w:r>
              <w:t xml:space="preserve">Required disclosure</w:t>
            </w:r>
          </w:p>
        </w:tc>
        <w:tc>
          <w:tcPr/>
          <w:p>
            <w:pPr>
              <w:pStyle w:val="Compact"/>
              <w:jc w:val="left"/>
            </w:pPr>
            <w:r>
              <w:t xml:space="preserve">Relevance for Ethical AI Audit</w:t>
            </w:r>
          </w:p>
        </w:tc>
      </w:tr>
      <w:tr>
        <w:tc>
          <w:tcPr/>
          <w:p>
            <w:pPr>
              <w:pStyle w:val="Compact"/>
              <w:jc w:val="left"/>
            </w:pPr>
            <w:r>
              <w:t xml:space="preserve">Art. 24 reports</w:t>
            </w:r>
          </w:p>
        </w:tc>
        <w:tc>
          <w:tcPr/>
          <w:p>
            <w:pPr>
              <w:pStyle w:val="Compact"/>
              <w:jc w:val="left"/>
            </w:pPr>
            <w:r>
              <w:t xml:space="preserve">Disputes, suspensions</w:t>
            </w:r>
          </w:p>
        </w:tc>
        <w:tc>
          <w:tcPr/>
          <w:p>
            <w:pPr>
              <w:pStyle w:val="Compact"/>
              <w:jc w:val="left"/>
            </w:pPr>
            <w:r>
              <w:t xml:space="preserve">Indicator of downstream harms and appeal pressure linked to recommender outputs</w:t>
            </w:r>
          </w:p>
        </w:tc>
      </w:tr>
      <w:tr>
        <w:tc>
          <w:tcPr/>
          <w:p>
            <w:pPr>
              <w:pStyle w:val="Compact"/>
              <w:jc w:val="left"/>
            </w:pPr>
            <w:r>
              <w:t xml:space="preserve">Art. 27 parameters</w:t>
            </w:r>
          </w:p>
        </w:tc>
        <w:tc>
          <w:tcPr/>
          <w:p>
            <w:pPr>
              <w:pStyle w:val="Compact"/>
              <w:jc w:val="left"/>
            </w:pPr>
            <w:r>
              <w:t xml:space="preserve">Main recommendation signals</w:t>
            </w:r>
          </w:p>
        </w:tc>
        <w:tc>
          <w:tcPr/>
          <w:p>
            <w:pPr>
              <w:pStyle w:val="Compact"/>
              <w:jc w:val="left"/>
            </w:pPr>
            <w:r>
              <w:t xml:space="preserve">Entry point for interrogating engagement optimisation and profiling dependence</w:t>
            </w:r>
          </w:p>
        </w:tc>
      </w:tr>
      <w:tr>
        <w:tc>
          <w:tcPr/>
          <w:p>
            <w:pPr>
              <w:pStyle w:val="Compact"/>
              <w:jc w:val="left"/>
            </w:pPr>
            <w:r>
              <w:t xml:space="preserve">Art. 39 ad repository</w:t>
            </w:r>
          </w:p>
        </w:tc>
        <w:tc>
          <w:tcPr/>
          <w:p>
            <w:pPr>
              <w:pStyle w:val="Compact"/>
              <w:jc w:val="left"/>
            </w:pPr>
            <w:r>
              <w:t xml:space="preserve">Ad content and targeting info</w:t>
            </w:r>
          </w:p>
        </w:tc>
        <w:tc>
          <w:tcPr/>
          <w:p>
            <w:pPr>
              <w:pStyle w:val="Compact"/>
              <w:jc w:val="left"/>
            </w:pPr>
            <w:r>
              <w:t xml:space="preserve">Enables cross checking of content vs ad recommendation consistency</w:t>
            </w:r>
          </w:p>
        </w:tc>
      </w:tr>
      <w:tr>
        <w:tc>
          <w:tcPr/>
          <w:p>
            <w:pPr>
              <w:pStyle w:val="Compact"/>
              <w:jc w:val="left"/>
            </w:pPr>
            <w:r>
              <w:t xml:space="preserve">Art. 40 data access</w:t>
            </w:r>
          </w:p>
        </w:tc>
        <w:tc>
          <w:tcPr/>
          <w:p>
            <w:pPr>
              <w:pStyle w:val="Compact"/>
              <w:jc w:val="left"/>
            </w:pPr>
            <w:r>
              <w:t xml:space="preserve">Data sharing to regulators</w:t>
            </w:r>
          </w:p>
        </w:tc>
        <w:tc>
          <w:tcPr/>
          <w:p>
            <w:pPr>
              <w:pStyle w:val="Compact"/>
              <w:jc w:val="left"/>
            </w:pPr>
            <w:r>
              <w:t xml:space="preserve">Conditions for external, scenario based audits of systemic risks</w:t>
            </w:r>
          </w:p>
        </w:tc>
      </w:tr>
    </w:tbl>
    <w:bookmarkEnd w:id="53"/>
    <w:p>
      <w:pPr>
        <w:pStyle w:val="BodyText"/>
      </w:pPr>
      <w:r>
        <w:t xml:space="preserve">Recent work on auditing recommender systems interprets these clauses as the backbone of a multi actor audit regime. Me</w:t>
      </w:r>
      <w:r>
        <w:t xml:space="preserve">ß</w:t>
      </w:r>
      <w:r>
        <w:t xml:space="preserve">mer and Degeling distinguish internal platform assessments, independent audits commissioned by VLOPs, and external investigations by regulators or researchers, and propose a scenario based audit process that maps concrete risk narratives to specific transparency and data access rights in the DSA</w:t>
      </w:r>
      <w:r>
        <w:t xml:space="preserve"> </w:t>
      </w:r>
      <w:r>
        <w:t xml:space="preserve">(Meßmer &amp; Degeling, 2023, p. 6)</w:t>
      </w:r>
      <w:r>
        <w:t xml:space="preserve">. Their analysis underlines that, without detailed implementing acts and voluntary standards under Article 44, platforms could perform highly partial self assessment while still appearing formally compliant in transparency reports</w:t>
      </w:r>
      <w:r>
        <w:t xml:space="preserve"> </w:t>
      </w:r>
      <w:r>
        <w:t xml:space="preserve">(Meßmer &amp; Degeling, 2023, p. 6; 2023, p. 19)</w:t>
      </w:r>
      <w:r>
        <w:t xml:space="preserve">. Risk based AI governance trends outside the DSA point in the same direction. Sebastian anticipates that high risk domains such as credit scoring will be subject to algorithmic impact assessments that resemble environmental impact reviews, with standardised metrics and documentation structures. Institutions are expected to disclose model types, training data properties, validation methods, and performance metrics by demographic group, together with governance arrangements and complaint channels, in transparency reports that enable both regulators and the public to compare fairness performance across entities. Continuous documentation is emphasised because model drift and retraining can introduce new discrimination mechanisms; transparency is therefore framed as an ongoing monitoring practice rather than a one off filing</w:t>
      </w:r>
      <w:r>
        <w:t xml:space="preserve"> </w:t>
      </w:r>
      <w:r>
        <w:t xml:space="preserve">(Sebastian, 2025, p. 15)</w:t>
      </w:r>
      <w:r>
        <w:t xml:space="preserve">. Analogous expectations emerge in AI education and governance scholarship. HITL grading research argues that automated evaluation systems must be auditable, interpretable, and subordinate to human authority, with clear documentation that accrediting bodies can inspect</w:t>
      </w:r>
      <w:r>
        <w:t xml:space="preserve"> </w:t>
      </w:r>
      <w:r>
        <w:t xml:space="preserve">(Selvam &amp; González Vallejo, 2025, p. 15)</w:t>
      </w:r>
      <w:r>
        <w:t xml:space="preserve">. Kostenko’s AI Law Model generalises this into a broad transparency principle: mandatory disclosure of developers, data sources, algorithmic architectures, intended purposes, limitations, statistical error probabilities, and high uncertainty scenarios, combined with audit logs of decisions and mandatory internal and external audits with access to full technical dossiers. Any covert or manipulative use of AI with legal, social, economic or political implications is categorised as unacceptable and subject to liability</w:t>
      </w:r>
      <w:r>
        <w:t xml:space="preserve"> </w:t>
      </w:r>
      <w:r>
        <w:t xml:space="preserve">(Kostenko, 2025, p. 70)</w:t>
      </w:r>
      <w:r>
        <w:t xml:space="preserve">. These formulations provide a normative template for what meaningful transparency reporting should contain when platforms claim alignment with ethical AI norms. Given this convergence, a pro social audit toolkit for social recommender systems can treat DSA reporting as a floor and not a ceiling. Internally, management reports would be expected to mirror or exceed DSA fields, for instance by including: distribution of recommendation exposure by content category, incidence of repeat exposure to flagged content, explanation coverage rates for "why am I seeing this" interfaces, and the proportion of traffic attributable to non profiled recommendation options mandated for VLOPs</w:t>
      </w:r>
      <w:r>
        <w:t xml:space="preserve"> </w:t>
      </w:r>
      <w:r>
        <w:t xml:space="preserve">(Meßmer &amp; Degeling, 2023, p. 19; T et al., 2026, p. 12)</w:t>
      </w:r>
      <w:r>
        <w:t xml:space="preserve">. External facing transparency statements should then translate these metrics into accessible narratives that satisfy Kostenko’s requirements for user friendly social explanation while still enabling regulators and researchers to reconstruct how engagement objectives interact with fairness, sustainability, and digital ecology obligations</w:t>
      </w:r>
      <w:r>
        <w:t xml:space="preserve"> </w:t>
      </w:r>
      <w:r>
        <w:t xml:space="preserve">(Kostenko, 2025, p. 70; 2025, p. 119)</w:t>
      </w:r>
      <w:r>
        <w:t xml:space="preserve">.</w:t>
      </w:r>
    </w:p>
    <w:bookmarkEnd w:id="54"/>
    <w:bookmarkStart w:id="55" w:name="sec:data_access_regulators_researchers"/>
    <w:p>
      <w:pPr>
        <w:pStyle w:val="Heading3"/>
      </w:pPr>
      <w:r>
        <w:rPr>
          <w:rStyle w:val="SectionNumber"/>
        </w:rPr>
        <w:t xml:space="preserve">4.2.2</w:t>
      </w:r>
      <w:r>
        <w:tab/>
      </w:r>
      <w:r>
        <w:t xml:space="preserve">Data Access for Regulators and Independent Researchers</w:t>
      </w:r>
    </w:p>
    <w:p>
      <w:pPr>
        <w:pStyle w:val="FirstParagraph"/>
      </w:pPr>
      <w:r>
        <w:t xml:space="preserve">Access to platform data is the practical hinge on which systemic auditing of social recommender systems turns. Under the Digital Services Act, very large online platforms must grant data access to Digital Services Coordinators and the European Commission in order to enable scrutiny of systemic risks and compliance with due diligence obligations. Article 40 DSA is singled out as the clause that describes how such access is to be organised, sitting alongside Article 24 on transparency reporting and Article 27 on disclosure of "the main parameters used for recommendations"</w:t>
      </w:r>
      <w:r>
        <w:t xml:space="preserve"> </w:t>
      </w:r>
      <w:r>
        <w:t xml:space="preserve">(Meßmer &amp; Degeling, 2023, p. 19)</w:t>
      </w:r>
      <w:r>
        <w:t xml:space="preserve">. This statutory access is designed to support supervisory investigations that go beyond high level reports, for example by allowing regulators to reconstruct how a recommender behaved in a defined period or context and how internal mitigation measures affected observable outputs</w:t>
      </w:r>
      <w:r>
        <w:t xml:space="preserve"> </w:t>
      </w:r>
      <w:r>
        <w:t xml:space="preserve">(Kustura, 2025, p. 7; Meßmer &amp; Degeling, 2023, p. 19)</w:t>
      </w:r>
      <w:r>
        <w:t xml:space="preserve">. Independent research access is treated as a parallel requirement rather than an optional extra. Platforms qualifying as very large online platforms must provide "vetted researchers" with data sufficient to study systemic risks, including effects on civic discourse and electoral processes</w:t>
      </w:r>
      <w:r>
        <w:t xml:space="preserve"> </w:t>
      </w:r>
      <w:r>
        <w:t xml:space="preserve">(T et al., 2026, p. 12)</w:t>
      </w:r>
      <w:r>
        <w:t xml:space="preserve">. Governance proposals for democratic recommender systems build on this by arguing that platforms above a size threshold should be obliged to supply representative samples of content recommendation sequences, so that external researchers can empirically examine amplification asymmetries, misinformation dynamics, and diversity performance under real usage conditions</w:t>
      </w:r>
      <w:r>
        <w:t xml:space="preserve"> </w:t>
      </w:r>
      <w:r>
        <w:t xml:space="preserve">(T et al., 2026, p. 16)</w:t>
      </w:r>
      <w:r>
        <w:t xml:space="preserve">. Me</w:t>
      </w:r>
      <w:r>
        <w:t xml:space="preserve">ß</w:t>
      </w:r>
      <w:r>
        <w:t xml:space="preserve">mer and Degeling translate these legal hooks into a scenario based audit model in which specific risk narratives, such as eating disorder promotion or suicidal ideation content, are mapped to concrete data access requests grounded in Article 40 DSA</w:t>
      </w:r>
      <w:r>
        <w:t xml:space="preserve"> </w:t>
      </w:r>
      <w:r>
        <w:t xml:space="preserve">(Meßmer &amp; Degeling, 2023, p. 15)</w:t>
      </w:r>
      <w:r>
        <w:t xml:space="preserve">. In this view, data access is not generic but tightly coupled to platform specific risk hypotheses and product configurations. Kostenko’s AI Law Model generalises such access beyond EU platform regulation into a cross border accountability principle. Any AI system that causes consequences on the territory of a State or purposefully interacts with its market is said to fall under that State’s "extraterritorial digital jurisdiction". Cross border liability then entails obligations to recognise the jurisdiction of courts and regulators, to comply with mandatory norms on transparency, explainability, human oversight, secure data processing, and to ensure logging and preservation of evidence. Subjects must report incidents within legally defined deadlines, cooperate during audits, provide effective remedies and redress to local users, and implement "flowdown" clauses that transmit these duties through supply chains</w:t>
      </w:r>
      <w:r>
        <w:t xml:space="preserve"> </w:t>
      </w:r>
      <w:r>
        <w:t xml:space="preserve">(Kostenko, 2025, p. 249)</w:t>
      </w:r>
      <w:r>
        <w:t xml:space="preserve">. This model treats event logs and technical documentation as part of a legally enforceable evidentiary regime, not just an internal governance resource. Supervision and auditing duties in the same AI Law Model reinforce this orientation. A central executive body maintains a national register of high risk systems, organises scheduled and unscheduled audits, and issues mandatory instructions. For such systems, annual audits and public trust labels are required, and open API access to registry attributes is provided for public control and scientific research. In cross border digital environments described as "metaverse" or multi domain platforms, admission conditions explicitly include compatibility of unique identifiers and algorithmic passports with environment registries and the activation of logging mechanisms that ensure the evidentiary value of decisions. Dispute resolution rests on the recognised evidentiary status of logs, which must be stored for legally defined periods</w:t>
      </w:r>
      <w:r>
        <w:t xml:space="preserve"> </w:t>
      </w:r>
      <w:r>
        <w:t xml:space="preserve">(Kostenko, 2025, p. 246)</w:t>
      </w:r>
      <w:r>
        <w:t xml:space="preserve">. These provisions underscore that meaningful access for regulators and researchers presupposes structured, tamper evident logging architectures at system design time. A concise comparison between EU and AI Law Model approaches can be summarised as follows.</w:t>
      </w:r>
    </w:p>
    <w:p>
      <w:pPr>
        <w:pStyle w:val="TableCaption"/>
      </w:pPr>
      <w:r>
        <w:t xml:space="preserve">Data access regimes for AI and platform oversight</w:t>
      </w:r>
    </w:p>
    <w:tbl>
      <w:tblPr>
        <w:tblStyle w:val="Table"/>
        <w:tblW w:type="auto" w:w="0"/>
        <w:jc w:val="left"/>
        <w:tblLook w:firstRow="1" w:lastRow="0" w:firstColumn="0" w:lastColumn="0" w:noHBand="0" w:noVBand="0" w:val="0020"/>
        <w:tblCaption w:val="Data access regimes for AI and platform oversight"/>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DSA / EU platforms</w:t>
            </w:r>
          </w:p>
        </w:tc>
        <w:tc>
          <w:tcPr/>
          <w:p>
            <w:pPr>
              <w:pStyle w:val="Compact"/>
              <w:jc w:val="left"/>
            </w:pPr>
            <w:r>
              <w:t xml:space="preserve">AI Law Model (Kostenko)</w:t>
            </w:r>
          </w:p>
        </w:tc>
      </w:tr>
      <w:tr>
        <w:tc>
          <w:tcPr/>
          <w:p>
            <w:pPr>
              <w:pStyle w:val="Compact"/>
              <w:jc w:val="left"/>
            </w:pPr>
            <w:r>
              <w:t xml:space="preserve">Primary addressee</w:t>
            </w:r>
          </w:p>
        </w:tc>
        <w:tc>
          <w:tcPr/>
          <w:p>
            <w:pPr>
              <w:pStyle w:val="Compact"/>
              <w:jc w:val="left"/>
            </w:pPr>
            <w:r>
              <w:t xml:space="preserve">VLOPs with</w:t>
            </w:r>
            <w:r>
              <w:t xml:space="preserve"> </w:t>
            </w:r>
            <m:oMath>
              <m:r>
                <m:t>45</m:t>
              </m:r>
              <m:r>
                <m:rPr>
                  <m:sty m:val="p"/>
                </m:rPr>
                <m:t>+</m:t>
              </m:r>
            </m:oMath>
            <w:r>
              <w:t xml:space="preserve"> </w:t>
            </w:r>
            <w:r>
              <w:t xml:space="preserve">million users</w:t>
            </w:r>
          </w:p>
        </w:tc>
        <w:tc>
          <w:tcPr/>
          <w:p>
            <w:pPr>
              <w:pStyle w:val="Compact"/>
              <w:jc w:val="left"/>
            </w:pPr>
            <w:r>
              <w:t xml:space="preserve">All AI systems with impact on State territory</w:t>
            </w:r>
          </w:p>
        </w:tc>
      </w:tr>
      <w:tr>
        <w:tc>
          <w:tcPr/>
          <w:p>
            <w:pPr>
              <w:pStyle w:val="Compact"/>
              <w:jc w:val="left"/>
            </w:pPr>
            <w:r>
              <w:t xml:space="preserve">Legal hook</w:t>
            </w:r>
          </w:p>
        </w:tc>
        <w:tc>
          <w:tcPr/>
          <w:p>
            <w:pPr>
              <w:pStyle w:val="Compact"/>
              <w:jc w:val="left"/>
            </w:pPr>
            <w:r>
              <w:t xml:space="preserve">Art. 40 data access, vetted researchers</w:t>
            </w:r>
          </w:p>
        </w:tc>
        <w:tc>
          <w:tcPr/>
          <w:p>
            <w:pPr>
              <w:pStyle w:val="Compact"/>
              <w:jc w:val="left"/>
            </w:pPr>
            <w:r>
              <w:t xml:space="preserve">Extraterritorial digital jurisdiction, cross border liability</w:t>
            </w:r>
          </w:p>
        </w:tc>
      </w:tr>
      <w:tr>
        <w:tc>
          <w:tcPr/>
          <w:p>
            <w:pPr>
              <w:pStyle w:val="Compact"/>
              <w:jc w:val="left"/>
            </w:pPr>
            <w:r>
              <w:t xml:space="preserve">Data objects</w:t>
            </w:r>
          </w:p>
        </w:tc>
        <w:tc>
          <w:tcPr/>
          <w:p>
            <w:pPr>
              <w:pStyle w:val="Compact"/>
              <w:jc w:val="left"/>
            </w:pPr>
            <w:r>
              <w:t xml:space="preserve">Platform data for systemic risk research; ads repository (Art. 39)</w:t>
            </w:r>
          </w:p>
        </w:tc>
        <w:tc>
          <w:tcPr/>
          <w:p>
            <w:pPr>
              <w:pStyle w:val="Compact"/>
              <w:jc w:val="left"/>
            </w:pPr>
            <w:r>
              <w:t xml:space="preserve">Technical materials, logs, audit results, algorithmic passports</w:t>
            </w:r>
          </w:p>
        </w:tc>
      </w:tr>
      <w:tr>
        <w:tc>
          <w:tcPr/>
          <w:p>
            <w:pPr>
              <w:pStyle w:val="Compact"/>
              <w:jc w:val="left"/>
            </w:pPr>
            <w:r>
              <w:t xml:space="preserve">Research access</w:t>
            </w:r>
          </w:p>
        </w:tc>
        <w:tc>
          <w:tcPr/>
          <w:p>
            <w:pPr>
              <w:pStyle w:val="Compact"/>
              <w:jc w:val="left"/>
            </w:pPr>
            <w:r>
              <w:t xml:space="preserve">Vetted researchers for systemic risk studies</w:t>
            </w:r>
          </w:p>
        </w:tc>
        <w:tc>
          <w:tcPr/>
          <w:p>
            <w:pPr>
              <w:pStyle w:val="Compact"/>
              <w:jc w:val="left"/>
            </w:pPr>
            <w:r>
              <w:t xml:space="preserve">API access to registry attributes for scientific research</w:t>
            </w:r>
          </w:p>
        </w:tc>
      </w:tr>
      <w:tr>
        <w:tc>
          <w:tcPr/>
          <w:p>
            <w:pPr>
              <w:pStyle w:val="Compact"/>
              <w:jc w:val="left"/>
            </w:pPr>
            <w:r>
              <w:t xml:space="preserve">Logging requirement</w:t>
            </w:r>
          </w:p>
        </w:tc>
        <w:tc>
          <w:tcPr/>
          <w:p>
            <w:pPr>
              <w:pStyle w:val="Compact"/>
              <w:jc w:val="left"/>
            </w:pPr>
            <w:r>
              <w:t xml:space="preserve">Implied through audit and risk assessment duties</w:t>
            </w:r>
          </w:p>
        </w:tc>
        <w:tc>
          <w:tcPr/>
          <w:p>
            <w:pPr>
              <w:pStyle w:val="Compact"/>
              <w:jc w:val="left"/>
            </w:pPr>
            <w:r>
              <w:t xml:space="preserve">Explicit event logging, evidentiary preservation, log based arbitration</w:t>
            </w:r>
          </w:p>
        </w:tc>
      </w:tr>
    </w:tbl>
    <w:p>
      <w:pPr>
        <w:pStyle w:val="BodyText"/>
      </w:pPr>
      <w:r>
        <w:t xml:space="preserve">Evidence from AI governance and auditing practice suggests that even when formal access rights exist, enforcement capacity and methodological tools remain limiting factors. Scholars highlight that regulators struggle with black box models where decision processes are not readily interpretable, which complicates assessment of fairness and transparency obligations under instruments like the EU AI Act and GDPR</w:t>
      </w:r>
      <w:r>
        <w:t xml:space="preserve"> </w:t>
      </w:r>
      <w:r>
        <w:t xml:space="preserve">(Bahangulu &amp; Owusu-Berko, 2025, p. 9)</w:t>
      </w:r>
      <w:r>
        <w:t xml:space="preserve">. Me</w:t>
      </w:r>
      <w:r>
        <w:t xml:space="preserve">ß</w:t>
      </w:r>
      <w:r>
        <w:t xml:space="preserve">mer and Degeling anticipate a fragmented landscape of mandatory and voluntary audits under the DSA and propose voluntary standards and codes of conduct to systematise audit and access practices across platforms</w:t>
      </w:r>
      <w:r>
        <w:t xml:space="preserve"> </w:t>
      </w:r>
      <w:r>
        <w:t xml:space="preserve">(Meßmer &amp; Degeling, 2023, p. 19)</w:t>
      </w:r>
      <w:r>
        <w:t xml:space="preserve">. Research on AI enhanced auditing in financial and corporate contexts adds that human AI collaborative methods, where AI performs large scale analytics and human experts exercise contextual judgement and ethical scrutiny, can improve audit quality but require carefully designed interfaces and cognitive load management for auditors</w:t>
      </w:r>
      <w:r>
        <w:t xml:space="preserve"> </w:t>
      </w:r>
      <w:r>
        <w:t xml:space="preserve">(Chitturi, 2025, p. 3; 2025, p. 6)</w:t>
      </w:r>
      <w:r>
        <w:t xml:space="preserve">. These observations indicate that regulatory and research access to recommender data is a necessary but insufficient condition; specialised expertise, standardised audit protocols, and ethically informed human oversight are also required to turn raw data into credible accountability findings</w:t>
      </w:r>
      <w:r>
        <w:t xml:space="preserve"> </w:t>
      </w:r>
      <w:r>
        <w:t xml:space="preserve">(Bahangulu &amp; Owusu-Berko, 2025, p. 9; Chitturi, 2025, p. 3; Meßmer &amp; Degeling, 2023, p. 19)</w:t>
      </w:r>
      <w:r>
        <w:t xml:space="preserve">.</w:t>
      </w:r>
    </w:p>
    <w:bookmarkEnd w:id="55"/>
    <w:bookmarkStart w:id="56" w:name="sec:doc_logging_traceability"/>
    <w:p>
      <w:pPr>
        <w:pStyle w:val="Heading3"/>
      </w:pPr>
      <w:r>
        <w:rPr>
          <w:rStyle w:val="SectionNumber"/>
        </w:rPr>
        <w:t xml:space="preserve">4.2.3</w:t>
      </w:r>
      <w:r>
        <w:tab/>
      </w:r>
      <w:r>
        <w:t xml:space="preserve">Documentation, Logging and Traceability Expectations</w:t>
      </w:r>
    </w:p>
    <w:p>
      <w:pPr>
        <w:pStyle w:val="FirstParagraph"/>
      </w:pPr>
      <w:r>
        <w:t xml:space="preserve">Traceability expectations in emerging AI regulation extend far beyond general calls for transparency and require specific documentation, logging, and access architectures. Kostenko’s AI Law Model formulates this explicitly as a principle of transparency and explainability: any AI system that can affect rights, security, or well being must be identifiable, traceable, explainable, and accountable as a condition of lawful use</w:t>
      </w:r>
      <w:r>
        <w:t xml:space="preserve"> </w:t>
      </w:r>
      <w:r>
        <w:t xml:space="preserve">(Kostenko, 2025, p. 35)</w:t>
      </w:r>
      <w:r>
        <w:t xml:space="preserve">. Entities developing or operating such systems are obliged to notify users about AI use before interaction, clearly mark AI outputs in public space, and maintain technical documentation that describes system architecture and training data sources. They must also provide interfaces that allow testing of AI decisions and indicate the degree of AI participation in decision making, for example whether a decision is automatic, semi automatic, or purely consultative</w:t>
      </w:r>
      <w:r>
        <w:t xml:space="preserve"> </w:t>
      </w:r>
      <w:r>
        <w:t xml:space="preserve">(Kostenko, 2025, p. 36)</w:t>
      </w:r>
      <w:r>
        <w:t xml:space="preserve">. Explainability in this model is operationalised as a logging and documentation problem. Developers are required to create mechanisms that reproduce algorithmic logic, including decision logs, data processing pipelines, and model parameters. Results must be interpretable so that users and independent auditors can identify errors, biases, or inconsistencies, and independent access interfaces for ethical and legal auditors must be available under conditions that preserve confidentiality and security. Openness adds a public reporting duty: regular publication of impact reports, codes of conduct, and incident databases, with non compliance triggering sanctions such as suspension, fines, or revocation of certification, monitored by an authorised AI ethics and security body</w:t>
      </w:r>
      <w:r>
        <w:t xml:space="preserve"> </w:t>
      </w:r>
      <w:r>
        <w:t xml:space="preserve">(Kostenko, 2025, p. 35; 2025, p. 36)</w:t>
      </w:r>
      <w:r>
        <w:t xml:space="preserve">. Children’s digital safety provisions raise the bar further. Under the principle of digital safety of the child, any AI system that processes children’s data or influences decisions about them must be "secure by default" at all stages: architecture, algorithmic logic, data categories, training cycles, and purposes of use must be understandable, verifiable, and controllable. For regulators, this translates into an expectation of a complete technical, methodological, legal, and ethical dossier that includes architectural schemes, training protocols, threat models, risk analysis, event logs, and results of internal and external audits of child safety. Decision logs must record key events, configuration changes, model updates, and human interventions. Absence of effective mechanisms for security and accountability, or use of manipulative or obscure interfaces in child impacting contexts, is classified as a violation of good governance and the best interests of the child and can justify suspension or termination of a system by the national AI regulator</w:t>
      </w:r>
      <w:r>
        <w:t xml:space="preserve"> </w:t>
      </w:r>
      <w:r>
        <w:t xml:space="preserve">(Kostenko, 2025, p. 214)</w:t>
      </w:r>
      <w:r>
        <w:t xml:space="preserve">. Territorial sovereignty clauses in the same model transform traceability into a jurisdictional requirement. Only AI systems registered in a National Register of AI Systems and operating in full compliance with human rights, security, and non discrimination standards may function in a State’s territory. Registration establishes legal status, identifies owners, and supports tracing of supply chains and software origin. Official representation is required so that supervisory bodies can conduct audits, issue corrective orders, apply sanctions, and, where necessary, restrict or stop operation. A Digital Border Policy Mechanism is mandated to certify and audit AI systems, monitor training data sources, detect uncontrolled data flows, and impose temporary restrictions on systems that threaten national security. These measures effectively embed logging and documentation into cross border control and digital jurisdiction</w:t>
      </w:r>
      <w:r>
        <w:t xml:space="preserve"> </w:t>
      </w:r>
      <w:r>
        <w:t xml:space="preserve">(Kostenko, 2025, p. 124)</w:t>
      </w:r>
      <w:r>
        <w:t xml:space="preserve">. Practice oriented sectors show how such expectations can be implemented. In financial AI, cloud based explainability architectures stream SHAP based feature attributions to a write once immutable ledger, creating real time decision logs that satisfy strict EU AI Act style traceability, human in the loop capabilities, and logging requirements for high risk systems such as credit scoring. Institutions are advised to configure "circuit breakers" that automatically switch models to conservative human supervised modes when drift or disparate impact thresholds are crossed, and to submit models to bi annual third party audits, supported by detailed model cards and data lineage documentation</w:t>
      </w:r>
      <w:r>
        <w:t xml:space="preserve"> </w:t>
      </w:r>
      <w:r>
        <w:t xml:space="preserve">(S, 2026, p. 7)</w:t>
      </w:r>
      <w:r>
        <w:t xml:space="preserve">. HITL grading in education adopts similar patterns: systems must be auditable, interpretable, and subordinate to human authority; appeals procedures are designed around audit trails that show AI outputs and human overrides; and student communication explicitly references the availability of documentation for inspections by accrediting bodies</w:t>
      </w:r>
      <w:r>
        <w:t xml:space="preserve"> </w:t>
      </w:r>
      <w:r>
        <w:t xml:space="preserve">(Selvam &amp; González Vallejo, 2025, p. 15)</w:t>
      </w:r>
      <w:r>
        <w:t xml:space="preserve">. Within EU platform regulation, these requirements are echoed through structured transparency and access duties. The DSA obliges very large online platforms to publish transparency reports and to provide data access to Digital Services Coordinators and the Commission under Article 40 for supervision of systemic risks and due diligence obligations. Providers must also disclose the main parameters of recommender systems and maintain advertising repositories under Article 39, creating documentation baselines against which external audits and civil society scrutiny can be organised. Me</w:t>
      </w:r>
      <w:r>
        <w:t xml:space="preserve">ß</w:t>
      </w:r>
      <w:r>
        <w:t xml:space="preserve">mer and Degeling argue that, because implementing acts and audit standards are still emerging, voluntary standards and codes of conduct will be vital to systematise audit and assessment procedures; otherwise platforms may default to self serving minimal documentation that technically satisfies formal rules but undermines meaningful accountability</w:t>
      </w:r>
      <w:r>
        <w:t xml:space="preserve"> </w:t>
      </w:r>
      <w:r>
        <w:t xml:space="preserve">(Meßmer &amp; Degeling, 2023, p. 6; 2023, p. 19)</w:t>
      </w:r>
      <w:r>
        <w:t xml:space="preserve">. Ethical AI audit design for social recommender systems sitting under an anticipated Digital Fairness Act can therefore treat these strands as converging expectations: structured technical dossiers and algorithmic passports; tamper evident decision and event logs; explicit documentation of human oversight and appeal channels; and independent access interfaces for regulators, auditors, and vetted researchers. Regulatory analysis stressing challenges in auditing black box models, combined with calls for independent audits and external oversight committees, indicates that documentation and logging are not ancillary compliance paperwork but a precondition for any credible assessment of fairness, manipulation, or addiction risk in engagement optimised social platforms</w:t>
      </w:r>
      <w:r>
        <w:t xml:space="preserve"> </w:t>
      </w:r>
      <w:r>
        <w:t xml:space="preserve">(Bahangulu &amp; Owusu-Berko, 2025, p. 9; Kostenko, 2025, p. 36; T et al., 2026, p. 12)</w:t>
      </w:r>
      <w:r>
        <w:t xml:space="preserve">. Practical implementations of these architectures often resemble an intelligent audit city in which continuous ETL, an analytical core, and XAI components produce live, queryable evidence for oversight; yet this continuous mode of supervision also amplifies concerns about confidentiality and false positives that regulators must manage in practice</w:t>
      </w:r>
      <w:r>
        <w:t xml:space="preserve"> </w:t>
      </w:r>
      <w:r>
        <w:t xml:space="preserve">(Serhii, 2025, p. 2)</w:t>
      </w:r>
      <w:r>
        <w:t xml:space="preserve">(Serhii, 2025)</w:t>
      </w:r>
      <w:r>
        <w:t xml:space="preserve">. Such continuous audit environments may also be structured to preserve human authority and to learn from human feedback, with interaction records serving both as interpretability artefacts and as training material for adaptive governance layers</w:t>
      </w:r>
      <w:r>
        <w:t xml:space="preserve"> </w:t>
      </w:r>
      <w:r>
        <w:t xml:space="preserve">(Biru &amp; Pallaprolu, 2025, p. 10)</w:t>
      </w:r>
      <w:r>
        <w:t xml:space="preserve">. In other words, decision documentation can be framed not merely as a compliance ledger but as an operational dataset that supports iterative improvement of oversight practices</w:t>
      </w:r>
      <w:r>
        <w:t xml:space="preserve"> </w:t>
      </w:r>
      <w:r>
        <w:t xml:space="preserve">(Biru &amp; Pallaprolu, 2025, p. 10)</w:t>
      </w:r>
      <w:r>
        <w:t xml:space="preserve">.</w:t>
      </w:r>
    </w:p>
    <w:bookmarkEnd w:id="56"/>
    <w:bookmarkEnd w:id="57"/>
    <w:bookmarkStart w:id="62" w:name="Xd6cfdf019810fde9722bc8fe91d9e538cedea5e"/>
    <w:p>
      <w:pPr>
        <w:pStyle w:val="Heading2"/>
      </w:pPr>
      <w:r>
        <w:rPr>
          <w:rStyle w:val="SectionNumber"/>
        </w:rPr>
        <w:t xml:space="preserve">4.3</w:t>
      </w:r>
      <w:r>
        <w:tab/>
      </w:r>
      <w:r>
        <w:t xml:space="preserve">Child and Youth Protection in Algorithmic Environments</w:t>
      </w:r>
    </w:p>
    <w:bookmarkStart w:id="59" w:name="sec:age_sensitive_risk_design"/>
    <w:p>
      <w:pPr>
        <w:pStyle w:val="Heading3"/>
      </w:pPr>
      <w:r>
        <w:rPr>
          <w:rStyle w:val="SectionNumber"/>
        </w:rPr>
        <w:t xml:space="preserve">4.3.1</w:t>
      </w:r>
      <w:r>
        <w:tab/>
      </w:r>
      <w:r>
        <w:t xml:space="preserve">Age-Sensitive Risk Assessment and Design Standards</w:t>
      </w:r>
    </w:p>
    <w:p>
      <w:pPr>
        <w:pStyle w:val="FirstParagraph"/>
      </w:pPr>
      <w:r>
        <w:t xml:space="preserve">Age related protection in AI regulation is articulated most concretely in the AI Law Model’s principle of digital safety of the child. Any system that processes children’s data or influences decisions about them must be "secure by default," which is defined at the architectural level: algorithmic logic, interaction mechanics, data categories, training processes, and usage purposes must all be understandable, verifiable, and subject to control and explanation across the lifecycle. This framing treats age sensitivity not as a cosmetic overlay but as a structural design requirement. Risk assessment is explicitly multi stakeholder. Developers and operators are expected to maintain internal technical and legal documentation, data maps, model update protocols, change logs, Child Impact Assessments, Child Safety Data Sheets, and verification and audit reports. Children and their legal representatives must receive accessible interfaces and materials that explain system logic, purpose, risks, and safety settings such as parental controls, refusal of personalisation, and time limits. Regulators are entitled to a complete technical, methodological, legal and ethical dossier, including architectural schemes, threat models, risk analysis, event logs, and audit outcomes. Third parties affected by the system, such as teachers or content providers, must have access to public explanations and formal appeal procedures. A concrete disclosure baseline is specified. Systems interacting with minors must at minimum publish: data sources and categories, the legal status and contact details of the operator, intended purpose and use contexts, functional limits and reliability constraints, the degree and mode of AI participation in decisions about the child, parental control parameters, retention and deletion policies, risk levels, and results of impact assessments on children’s rights. An audit log must record key events, configuration changes, model updates, and human interventions, and internal plus external audits of child safety are mandatory. Explainability requirements are age calibrated. Systems must provide meaningful, structured, age appropriate interpretations of decision logic, including descriptions of models and calculation methods, key features, uncertainty levels, and the degree of human involvement. Explanations must be available at technical, functional, and ethical levels and supplied in plain language. Tools for children’s rights are an integral part of design: refusal of profiling, correction and deletion of data, and a right to human review are singled out as capabilities that must be implemented and surfaced to users. The same model links deficient design directly to enforcement. In public sector use, or wherever AI decisions affect a child’s rights, status, access to resources, or social reputation, the absence of effective safety and accountability mechanisms, the use of overly technical or obscure messaging, or manipulative interface solutions is classified as a violation of good governance and of the best interests of the child. Regulators are empowered to suspend or terminate systems, revoke permits or certificates, and must publish public justifications, with appeal rights preserved</w:t>
      </w:r>
      <w:r>
        <w:t xml:space="preserve"> </w:t>
      </w:r>
      <w:r>
        <w:t xml:space="preserve">(Kostenko, 2025, p. 214)</w:t>
      </w:r>
      <w:r>
        <w:t xml:space="preserve">. Age sensitive standards are further operationalised through the principle of age appropriate design. Here, interfaces, text, interaction mechanics, and the "attention economy" must be tailored to maturity and cognitive capabilities. Secure defaults are mandated: minimal data collection, geolocation, biometrics and profiling disabled, and explicit prohibition of manipulative and addictive mechanics such as endless scrolling, autoplay, streaks, forced quests, and penalties for exiting. Push notifications must be limited to a minimum and only within reasonable need. Users must receive transparent, symmetrical choices, including a visible "no personalisation" switch, "lesson" and "sleep" modes, one click "why am I seeing this" explanations, simple undo actions, and straightforward data deletion. Dark patterns in settings are explicitly banned, and basic access to educational and government services must not be degraded when personalisation is refused</w:t>
      </w:r>
      <w:r>
        <w:t xml:space="preserve"> </w:t>
      </w:r>
      <w:r>
        <w:t xml:space="preserve">(Kostenko, 2025, p. 223)</w:t>
      </w:r>
      <w:r>
        <w:t xml:space="preserve">. Table </w:t>
      </w:r>
      <w:hyperlink w:anchor="tab:child_risk_design">
        <w:r>
          <w:rPr>
            <w:rStyle w:val="Hyperlink"/>
          </w:rPr>
          <w:t xml:space="preserve">2</w:t>
        </w:r>
      </w:hyperlink>
      <w:r>
        <w:t xml:space="preserve"> </w:t>
      </w:r>
      <w:r>
        <w:t xml:space="preserve">synthesises these requirements as this report’s working audit grid for age sensitive risk in social recommender systems.</w:t>
      </w:r>
    </w:p>
    <w:bookmarkStart w:id="58" w:name="tab:child_risk_design"/>
    <w:p>
      <w:pPr>
        <w:pStyle w:val="TableCaption"/>
      </w:pPr>
      <w:r>
        <w:t xml:space="preserve">Working audit grid: age sensitive risk assessment and design standards</w:t>
      </w:r>
    </w:p>
    <w:tbl>
      <w:tblPr>
        <w:tblStyle w:val="Table"/>
        <w:tblW w:type="auto" w:w="0"/>
        <w:jc w:val="left"/>
        <w:tblLook w:firstRow="1" w:lastRow="0" w:firstColumn="0" w:lastColumn="0" w:noHBand="0" w:noVBand="0" w:val="0020"/>
        <w:tblCaption w:val="Working audit grid: age sensitive risk assessment and design standards"/>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Required evidence</w:t>
            </w:r>
          </w:p>
        </w:tc>
        <w:tc>
          <w:tcPr/>
          <w:p>
            <w:pPr>
              <w:pStyle w:val="Compact"/>
              <w:jc w:val="left"/>
            </w:pPr>
            <w:r>
              <w:t xml:space="preserve">Illustrative audit question</w:t>
            </w:r>
          </w:p>
        </w:tc>
      </w:tr>
      <w:tr>
        <w:tc>
          <w:tcPr/>
          <w:p>
            <w:pPr>
              <w:pStyle w:val="Compact"/>
              <w:jc w:val="left"/>
            </w:pPr>
            <w:r>
              <w:t xml:space="preserve">Child Impact Assessment</w:t>
            </w:r>
          </w:p>
        </w:tc>
        <w:tc>
          <w:tcPr/>
          <w:p>
            <w:pPr>
              <w:pStyle w:val="Compact"/>
              <w:jc w:val="left"/>
            </w:pPr>
            <w:r>
              <w:t xml:space="preserve">Documented risk analysis, threat models, Child Safety Data Sheet</w:t>
            </w:r>
          </w:p>
        </w:tc>
        <w:tc>
          <w:tcPr/>
          <w:p>
            <w:pPr>
              <w:pStyle w:val="Compact"/>
              <w:jc w:val="left"/>
            </w:pPr>
            <w:r>
              <w:t xml:space="preserve">Is there a current Child Impact Assessment covering profiling, attention capture, and recommendation logic</w:t>
            </w:r>
            <w:r>
              <w:t xml:space="preserve"> </w:t>
            </w:r>
            <w:r>
              <w:t xml:space="preserve">(Kostenko, 2025, p. 214)</w:t>
            </w:r>
            <w:r>
              <w:t xml:space="preserve">?</w:t>
            </w:r>
          </w:p>
        </w:tc>
      </w:tr>
      <w:tr>
        <w:tc>
          <w:tcPr/>
          <w:p>
            <w:pPr>
              <w:pStyle w:val="Compact"/>
              <w:jc w:val="left"/>
            </w:pPr>
            <w:r>
              <w:t xml:space="preserve">Secure by default</w:t>
            </w:r>
          </w:p>
        </w:tc>
        <w:tc>
          <w:tcPr/>
          <w:p>
            <w:pPr>
              <w:pStyle w:val="Compact"/>
              <w:jc w:val="left"/>
            </w:pPr>
            <w:r>
              <w:t xml:space="preserve">Architecture, data maps, disabled profiling/geolocation at default</w:t>
            </w:r>
          </w:p>
        </w:tc>
        <w:tc>
          <w:tcPr/>
          <w:p>
            <w:pPr>
              <w:pStyle w:val="Compact"/>
              <w:jc w:val="left"/>
            </w:pPr>
            <w:r>
              <w:t xml:space="preserve">Do defaults disable profiling, geolocation, biometrics, and addictive mechanics for minors</w:t>
            </w:r>
            <w:r>
              <w:t xml:space="preserve"> </w:t>
            </w:r>
            <w:r>
              <w:t xml:space="preserve">(Kostenko, 2025, p. 223)</w:t>
            </w:r>
            <w:r>
              <w:t xml:space="preserve">?</w:t>
            </w:r>
          </w:p>
        </w:tc>
      </w:tr>
      <w:tr>
        <w:tc>
          <w:tcPr/>
          <w:p>
            <w:pPr>
              <w:pStyle w:val="Compact"/>
              <w:jc w:val="left"/>
            </w:pPr>
            <w:r>
              <w:t xml:space="preserve">Explainability</w:t>
            </w:r>
          </w:p>
        </w:tc>
        <w:tc>
          <w:tcPr/>
          <w:p>
            <w:pPr>
              <w:pStyle w:val="Compact"/>
              <w:jc w:val="left"/>
            </w:pPr>
            <w:r>
              <w:t xml:space="preserve">Multi level, age appropriate explanations</w:t>
            </w:r>
          </w:p>
        </w:tc>
        <w:tc>
          <w:tcPr/>
          <w:p>
            <w:pPr>
              <w:pStyle w:val="Compact"/>
              <w:jc w:val="left"/>
            </w:pPr>
            <w:r>
              <w:t xml:space="preserve">Can a child access "brief/detailed/technical" explanations of "why am I seeing this" in simple language</w:t>
            </w:r>
            <w:r>
              <w:t xml:space="preserve"> </w:t>
            </w:r>
            <w:r>
              <w:t xml:space="preserve">(Kostenko, 2025, p. 214; 2025, p. 223)</w:t>
            </w:r>
            <w:r>
              <w:t xml:space="preserve">?</w:t>
            </w:r>
          </w:p>
        </w:tc>
      </w:tr>
      <w:tr>
        <w:tc>
          <w:tcPr/>
          <w:p>
            <w:pPr>
              <w:pStyle w:val="Compact"/>
              <w:jc w:val="left"/>
            </w:pPr>
            <w:r>
              <w:t xml:space="preserve">Controls</w:t>
            </w:r>
          </w:p>
        </w:tc>
        <w:tc>
          <w:tcPr/>
          <w:p>
            <w:pPr>
              <w:pStyle w:val="Compact"/>
              <w:jc w:val="left"/>
            </w:pPr>
            <w:r>
              <w:t xml:space="preserve">No personalisation switch, parental controls, time limits</w:t>
            </w:r>
          </w:p>
        </w:tc>
        <w:tc>
          <w:tcPr/>
          <w:p>
            <w:pPr>
              <w:pStyle w:val="Compact"/>
              <w:jc w:val="left"/>
            </w:pPr>
            <w:r>
              <w:t xml:space="preserve">Are "lesson/sleep" modes and refusal of profiling available without service degradation</w:t>
            </w:r>
            <w:r>
              <w:t xml:space="preserve"> </w:t>
            </w:r>
            <w:r>
              <w:t xml:space="preserve">(Kostenko, 2025, p. 223)</w:t>
            </w:r>
            <w:r>
              <w:t xml:space="preserve">?</w:t>
            </w:r>
          </w:p>
        </w:tc>
      </w:tr>
      <w:tr>
        <w:tc>
          <w:tcPr/>
          <w:p>
            <w:pPr>
              <w:pStyle w:val="Compact"/>
              <w:jc w:val="left"/>
            </w:pPr>
            <w:r>
              <w:t xml:space="preserve">Logging</w:t>
            </w:r>
          </w:p>
        </w:tc>
        <w:tc>
          <w:tcPr/>
          <w:p>
            <w:pPr>
              <w:pStyle w:val="Compact"/>
              <w:jc w:val="left"/>
            </w:pPr>
            <w:r>
              <w:t xml:space="preserve">Decision and event logs with minimum retention</w:t>
            </w:r>
          </w:p>
        </w:tc>
        <w:tc>
          <w:tcPr/>
          <w:p>
            <w:pPr>
              <w:pStyle w:val="Compact"/>
              <w:jc w:val="left"/>
            </w:pPr>
            <w:r>
              <w:t xml:space="preserve">Are tamper evident logs available to regulators and families in case of disputed decisions</w:t>
            </w:r>
            <w:r>
              <w:t xml:space="preserve"> </w:t>
            </w:r>
            <w:r>
              <w:t xml:space="preserve">(Kostenko, 2025, p. 214; 2025, p. 191)</w:t>
            </w:r>
            <w:r>
              <w:t xml:space="preserve">?</w:t>
            </w:r>
          </w:p>
        </w:tc>
      </w:tr>
      <w:tr>
        <w:tc>
          <w:tcPr/>
          <w:p>
            <w:pPr>
              <w:pStyle w:val="Compact"/>
              <w:jc w:val="left"/>
            </w:pPr>
            <w:r>
              <w:t xml:space="preserve">Governance</w:t>
            </w:r>
          </w:p>
        </w:tc>
        <w:tc>
          <w:tcPr/>
          <w:p>
            <w:pPr>
              <w:pStyle w:val="Compact"/>
              <w:jc w:val="left"/>
            </w:pPr>
            <w:r>
              <w:t xml:space="preserve">Internal and external child safety audits, regulator dossier</w:t>
            </w:r>
          </w:p>
        </w:tc>
        <w:tc>
          <w:tcPr/>
          <w:p>
            <w:pPr>
              <w:pStyle w:val="Compact"/>
              <w:jc w:val="left"/>
            </w:pPr>
            <w:r>
              <w:t xml:space="preserve">Has an external audit of child safety been completed and provided to authorities</w:t>
            </w:r>
            <w:r>
              <w:t xml:space="preserve"> </w:t>
            </w:r>
            <w:r>
              <w:t xml:space="preserve">(Kostenko, 2025, p. 214)</w:t>
            </w:r>
            <w:r>
              <w:t xml:space="preserve">?</w:t>
            </w:r>
          </w:p>
        </w:tc>
      </w:tr>
    </w:tbl>
    <w:bookmarkEnd w:id="58"/>
    <w:p>
      <w:pPr>
        <w:pStyle w:val="BodyText"/>
      </w:pPr>
      <w:r>
        <w:t xml:space="preserve">National guidelines on children’s digital safety and age appropriate design are envisaged to standardise such practices across models and services. Authorized bodies must periodically update these guidelines, define risk based model categories, and specify documentation requirements and implementation examples, which gives regulators and operators a shared reference for age sensitive risk assessment in AI mediated environments</w:t>
      </w:r>
      <w:r>
        <w:t xml:space="preserve"> </w:t>
      </w:r>
      <w:r>
        <w:t xml:space="preserve">(Kostenko, 2025, p. 215)</w:t>
      </w:r>
      <w:r>
        <w:t xml:space="preserve">.</w:t>
      </w:r>
    </w:p>
    <w:bookmarkEnd w:id="59"/>
    <w:bookmarkStart w:id="60" w:name="X64afd50fd74b3f416e08039934795361474c7f5"/>
    <w:p>
      <w:pPr>
        <w:pStyle w:val="Heading3"/>
      </w:pPr>
      <w:r>
        <w:rPr>
          <w:rStyle w:val="SectionNumber"/>
        </w:rPr>
        <w:t xml:space="preserve">4.3.2</w:t>
      </w:r>
      <w:r>
        <w:tab/>
      </w:r>
      <w:r>
        <w:t xml:space="preserve">Restrictions on Profiling, Targeting and Monetization</w:t>
      </w:r>
    </w:p>
    <w:p>
      <w:pPr>
        <w:pStyle w:val="FirstParagraph"/>
      </w:pPr>
      <w:r>
        <w:t xml:space="preserve">Restrictions on profiling, targeting, and monetization for minors are framed as non negotiable safeguards rather than optional product choices. Kostenko’s AI Law Model defines targeted ads for children as advertising personalised on the basis of a child’s data, including psychotype, neurobehavioral signs and predicted emotional states, or data sourced from third parties or cross platform tracking</w:t>
      </w:r>
      <w:r>
        <w:t xml:space="preserve"> </w:t>
      </w:r>
      <w:r>
        <w:t xml:space="preserve">(Kostenko, 2025, p. 20)</w:t>
      </w:r>
      <w:r>
        <w:t xml:space="preserve">. Within this definitional scope, a categorical prohibition applies: targeted advertising personalised on psychotypes, neurobehavioral profiles, vulnerabilities or predicted emotional states is banned in relation to minors. This ban directly limits monetization strategies that depend on exploiting inferred psychological traits or emotional states of children. Profiling restrictions extend beyond advertising content. The same imperative prohibitions forbid automated tracking of emotions, reactions, facial expressions, biometric or behavioural signs without informed consent of both the legal representative and the child, taking age and maturity into account. Predictive profiles of "future decisions, educational or career trajectories, risks, inclinations, or ’life paths’" are also outlawed, which eliminates business models that monetise long horizon behavioural scoring for children. Operators are required to embed "child information invisibility" modes that enable service use without profiling, with minimal short term logs that do not allow reconstruction of identity</w:t>
      </w:r>
      <w:r>
        <w:t xml:space="preserve"> </w:t>
      </w:r>
      <w:r>
        <w:t xml:space="preserve">(Kostenko, 2025, p. 224)</w:t>
      </w:r>
      <w:r>
        <w:t xml:space="preserve">. For an audit toolkit, these provisions translate into hard fail criteria whenever long term behavioural profiles, emotion tracking or predictive scoring pipelines are detected in child directed social recommender components. Monetization of children’s data is sharply constrained. AI systems for minors must adhere to data minimisation, processing only the minimum necessary data for a specific function</w:t>
      </w:r>
      <w:r>
        <w:t xml:space="preserve"> </w:t>
      </w:r>
      <w:r>
        <w:t xml:space="preserve">(Kostenko, 2025, p. 223)</w:t>
      </w:r>
      <w:r>
        <w:t xml:space="preserve">. Monetization, resale, or use of third party models for training on children’s data without separate legal permission and overriding interests of the child is prohibited</w:t>
      </w:r>
      <w:r>
        <w:t xml:space="preserve"> </w:t>
      </w:r>
      <w:r>
        <w:t xml:space="preserve">(Kostenko, 2025, p. 224)</w:t>
      </w:r>
      <w:r>
        <w:t xml:space="preserve">. In parallel, the confidentiality chapter prohibits using personal data for commercial purposes such as sale, advertising, targeted marketing or profiling aimed at influence that restricts or distorts freedom of choice, unless there is explicit, informed consent from the user</w:t>
      </w:r>
      <w:r>
        <w:t xml:space="preserve"> </w:t>
      </w:r>
      <w:r>
        <w:t xml:space="preserve">(Kostenko, 2025, p. 44)</w:t>
      </w:r>
      <w:r>
        <w:t xml:space="preserve">. When applied to minors, this effectively rules out most behaviourally targeted monetization strategies even if formal consent has been collected, because consent from children is structurally fragile and the "best interests of the child" principle requires presumption against invasive data practices</w:t>
      </w:r>
      <w:r>
        <w:t xml:space="preserve"> </w:t>
      </w:r>
      <w:r>
        <w:t xml:space="preserve">(Kostenko, 2025, p. 223)</w:t>
      </w:r>
      <w:r>
        <w:t xml:space="preserve">. European platform regulation complements these AI specific provisions. Under the Digital Services Act, Recital 71 in conjunction with Article 28 establishes special rules for targeted behavioural advertising directed at children and adolescents, including a prohibition on advertising targeting based on profiles for minors. Platforms must reasonably ascertain that a recipient is a child and, where this is the case, avoid personal data based targeting for behavioural advertising, with YouTube Kids cited as an example that abstains from personal data collection for advertising purposes. The same instrument obliges platforms to provide alternatives to profile based recommendation settings and to guarantee access to ad repositories containing details about targeting and presentation criteria, which enables supervisory scrutiny of whether de facto child profiling is occurring despite formal prohibitions</w:t>
      </w:r>
      <w:r>
        <w:t xml:space="preserve"> </w:t>
      </w:r>
      <w:r>
        <w:t xml:space="preserve">(Quinelato, 2024, p. 19)</w:t>
      </w:r>
      <w:r>
        <w:t xml:space="preserve">. Specific product categories trigger additional restrictions. AI powered "electronic medicine for teenagers" is qualified as high risk and allowed only if personalisation, advertising, and cross platform tracking are prohibited, emotional tracking and "profiles of the future" are banned, and children’s data are excluded from training except under differential privacy or federated learning with separate consent. Telemedicine services must reject third party SDKs and telemetry, log all accesses, and forbid diagnostic applications without medical device certification, reinforcing that health related monetization and tracking for minors are incompatible with acceptable practice</w:t>
      </w:r>
      <w:r>
        <w:t xml:space="preserve"> </w:t>
      </w:r>
      <w:r>
        <w:t xml:space="preserve">(Kostenko, 2025, p. 223)</w:t>
      </w:r>
      <w:r>
        <w:t xml:space="preserve">. Monetization of simulacra adds another specialised restriction. Any economic benefit derived from a simulated identity or "digital twin" requires explicit, specific, revocable consent specifying goals, duration, territory, distribution channels and recall mechanisms, with detailed audit trails for each commercial use. For minors and vulnerable persons, double consent from the individual and legal representative is required, and political, commercial and advertising monetization of simulacra is prohibited. Microtargeting and profiling on behavioural or biometric grounds are likewise banned, and an enhanced privacy mode with disabled trackers, cross domain stitching restrictions, shortened storage periods and immediate withdrawal rights is mandated</w:t>
      </w:r>
      <w:r>
        <w:t xml:space="preserve"> </w:t>
      </w:r>
      <w:r>
        <w:t xml:space="preserve">(Kostenko, 2025, p. 140)</w:t>
      </w:r>
      <w:r>
        <w:t xml:space="preserve">. These clauses effectively bar the use of child like avatars in monetized recommendation or advertising contexts. From an enforcement angle, breach of these restrictions is not treated as a minor compliance issue. Non observance of "safety first" and best interests obligations in minor related AI deployment can lead to prohibition of system operation and liability for operators, suppliers or manufacturers under applicable state and international law</w:t>
      </w:r>
      <w:r>
        <w:t xml:space="preserve"> </w:t>
      </w:r>
      <w:r>
        <w:t xml:space="preserve">(Kostenko, 2025, p. 223)</w:t>
      </w:r>
      <w:r>
        <w:t xml:space="preserve">. Supervisory authorities are empowered to conduct inspections, audits, and impose administrative or financial sanctions, including complete bans on systems that process personal data for commercial purposes without lawful basis or that employ profiling in ways that restrict freedom of choice</w:t>
      </w:r>
      <w:r>
        <w:t xml:space="preserve"> </w:t>
      </w:r>
      <w:r>
        <w:t xml:space="preserve">(Kostenko, 2025, p. 44)</w:t>
      </w:r>
      <w:r>
        <w:t xml:space="preserve">. For social recommender audits under a Digital Fairness trajectory, these provisions imply that any child facing module combining profiling, targeting and monetization should be presumptively classified in this report’s working taxonomy as "prohibited or critical risk" unless operators can demonstrate child information invisibility modes, non personalised monetization models, and strict separation of minor data from behavioural advertising and recommendation pipelines</w:t>
      </w:r>
      <w:r>
        <w:t xml:space="preserve"> </w:t>
      </w:r>
      <w:r>
        <w:t xml:space="preserve">(Kostenko, 2025, p. 223; 2025, p. 224; Quinelato, 2024, p. 19)</w:t>
      </w:r>
      <w:r>
        <w:t xml:space="preserve">.</w:t>
      </w:r>
    </w:p>
    <w:bookmarkEnd w:id="60"/>
    <w:bookmarkStart w:id="61" w:name="sec:safeguards_youth_focused_platforms"/>
    <w:p>
      <w:pPr>
        <w:pStyle w:val="Heading3"/>
      </w:pPr>
      <w:r>
        <w:rPr>
          <w:rStyle w:val="SectionNumber"/>
        </w:rPr>
        <w:t xml:space="preserve">4.3.3</w:t>
      </w:r>
      <w:r>
        <w:tab/>
      </w:r>
      <w:r>
        <w:t xml:space="preserve">Safeguards for Youth-Focused Platforms</w:t>
      </w:r>
    </w:p>
    <w:p>
      <w:pPr>
        <w:pStyle w:val="FirstParagraph"/>
      </w:pPr>
      <w:r>
        <w:t xml:space="preserve">Youth focused platforms face a qualitatively different duty of care because design and data practices can shape developmental trajectories rather than only short term engagement. Kostenko’s principle of digital safety of the child reframes this duty as a structural requirement: system architecture, algorithmic logic, interaction mechanics, data categories, training processes, and purposes of use must be "secure by default," understandable, verifiable, and controllable at each life cycle stage for any AI that processes children’s data or influences decisions about them. Governance expectations span four stakeholder groups. Developers and operators must maintain internal technical and legal documentation, data maps, training and update protocols, change logs, Child Impact Assessments, Child Safety Data Sheets, and verification and audit reports. Children and their legal representatives are entitled to accessible interfaces that explain system logic, purpose, risks, and security settings such as parental controls, refusal of personalisation, and time limits, adapted to age, digital literacy, and socio cultural context. Regulators require a full technical, methodological, legal and ethical dossier, including risk models and event logs, while teachers, doctors or guardians must have access to public explanations, appeal procedures, and independent monitoring channels</w:t>
      </w:r>
      <w:r>
        <w:t xml:space="preserve"> </w:t>
      </w:r>
      <w:r>
        <w:t xml:space="preserve">(Kostenko, 2025, p. 214)</w:t>
      </w:r>
      <w:r>
        <w:t xml:space="preserve">. Age segmented standards operationalise what "safe by default" means for concrete platform types. For early childhood (</w:t>
      </w:r>
      <m:oMath>
        <m:r>
          <m:t>0</m:t>
        </m:r>
      </m:oMath>
      <w:r>
        <w:t xml:space="preserve">–</w:t>
      </w:r>
      <m:oMath>
        <m:r>
          <m:t>6</m:t>
        </m:r>
      </m:oMath>
      <w:r>
        <w:t xml:space="preserve"> </w:t>
      </w:r>
      <w:r>
        <w:t xml:space="preserve">years), screen time must be minimal, networking functions and micropayments disabled, data collection set to zero by default, and any personalisation, profiling or advertising prohibited. Cameras and microphones are only activated through a single adult action with visible hardware indicators, and processing remains local without transfer to third parties. For junior schoolchildren (</w:t>
      </w:r>
      <m:oMath>
        <m:r>
          <m:t>7</m:t>
        </m:r>
      </m:oMath>
      <w:r>
        <w:t xml:space="preserve">–</w:t>
      </w:r>
      <m:oMath>
        <m:r>
          <m:t>12</m:t>
        </m:r>
      </m:oMath>
      <w:r>
        <w:t xml:space="preserve"> </w:t>
      </w:r>
      <w:r>
        <w:t xml:space="preserve">years), game monetisation mechanics such as loot boxes and pseudo random rewards are banned, together with manipulative retention patterns including endless scrolling, streaks and forced quests. Psychotypic targeting and personalised advertising are prohibited, data minimisation and absence of cross platform tracking are required, and push notifications are limited, with personalisation only allowed if it can be switched off easily. AI decisions must be explained in "children’s language"</w:t>
      </w:r>
      <w:r>
        <w:t xml:space="preserve"> </w:t>
      </w:r>
      <w:r>
        <w:t xml:space="preserve">(Kostenko, 2025, p. 217)</w:t>
      </w:r>
      <w:r>
        <w:t xml:space="preserve">. Teenage social networks receive particularly detailed normative illustrations that are directly relevant to social recommender audits. For ages</w:t>
      </w:r>
      <w:r>
        <w:t xml:space="preserve"> </w:t>
      </w:r>
      <m:oMath>
        <m:r>
          <m:t>13</m:t>
        </m:r>
      </m:oMath>
      <w:r>
        <w:t xml:space="preserve">–</w:t>
      </w:r>
      <m:oMath>
        <m:r>
          <m:t>15</m:t>
        </m:r>
      </m:oMath>
      <w:r>
        <w:t xml:space="preserve">, feeds must operate in "detox mode" by default, explicitly without endless scrolling, autoplayed video and aggressive return triggers, and must include a visible "why am I seeing this" explanation and a "no personalisation" toggle. Psychotypical targeting, behavioural and emotional profiling, personalised advertising and look alike audience formation are prohibited. Push notifications are capped at one per day and must be strictly service or security related. Profiles are closed by default, geotags and location disabled, search indexing limited, and contact from adults without joint connections blocked. All decisions are recorded in a tamper evident log, storage periods do not exceed</w:t>
      </w:r>
      <w:r>
        <w:t xml:space="preserve"> </w:t>
      </w:r>
      <m:oMath>
        <m:r>
          <m:t>90</m:t>
        </m:r>
      </m:oMath>
      <w:r>
        <w:t xml:space="preserve"> </w:t>
      </w:r>
      <w:r>
        <w:t xml:space="preserve">days, external SDKs and cross platform tracking are banned, and a public "Child Safety Data Sheet" must be published. A kill switch and quarterly Child Impact Assessments plus annual independent audits are mandated</w:t>
      </w:r>
      <w:r>
        <w:t xml:space="preserve"> </w:t>
      </w:r>
      <w:r>
        <w:t xml:space="preserve">(Kostenko, 2025, p. 221)</w:t>
      </w:r>
      <w:r>
        <w:t xml:space="preserve">. For older teens (</w:t>
      </w:r>
      <m:oMath>
        <m:r>
          <m:t>16</m:t>
        </m:r>
      </m:oMath>
      <w:r>
        <w:t xml:space="preserve">–</w:t>
      </w:r>
      <m:oMath>
        <m:r>
          <m:t>17</m:t>
        </m:r>
      </m:oMath>
      <w:r>
        <w:t xml:space="preserve"> </w:t>
      </w:r>
      <w:r>
        <w:t xml:space="preserve">years), rights to self determination are expanded, yet predictive profiles of "future trajectories," psychotype targeting, emotional tracking and data monetisation remain prohibited, and explicit rights to refuse profiling and advertising, access decision logs, and appeal AI supported decisions are guaranteed. Additional vulnerabilities introduce a further safeguard layer. Children with disabilities, chronic illness, displacement, economic hardship or minority status are granted "minimal data by default," prohibitions on profiling, personalised advertising, geolocation tracking and emotional analytics, adapted interfaces meeting accessibility standards, offline equivalence, accelerated incident escalation, short retention periods, end to end encryption, and bans on cross platform tracking and third party data transfer</w:t>
      </w:r>
      <w:r>
        <w:t xml:space="preserve"> </w:t>
      </w:r>
      <w:r>
        <w:t xml:space="preserve">(Kostenko, 2025, p. 219)</w:t>
      </w:r>
      <w:r>
        <w:t xml:space="preserve">. These conditions directly inform this report’s working taxonomy of youth platform safeguards, which treats any combination of profiling, behavioural advertising, cross platform tracking, and addictive mechanics such as endless scroll as a "high or unacceptable risk" configuration for child centric services, even if engagement metrics are favourable. Accountability structures complement these technical and UX safeguards. A nationwide Register of Responsible Subjects of Artificial Intelligence Systems is proposed as a prerequisite for deploying high risk AI in sectors with significant public impact, including education. The register records developers, operators, audit completions, internal responsibility structures, and incidents or sanctions over the past three years. Inclusion is a condition for permission to operate high risk systems, and failure to meet accountability principles can trigger civil, administrative, disciplinary or criminal liability, as well as temporary or indefinite bans on system operation and placement in a Register of Violators</w:t>
      </w:r>
      <w:r>
        <w:t xml:space="preserve"> </w:t>
      </w:r>
      <w:r>
        <w:t xml:space="preserve">(Kostenko, 2025, p. 82)</w:t>
      </w:r>
      <w:r>
        <w:t xml:space="preserve">. For youth focused platforms, these provisions imply that visible safety features such as "ask for help" buttons, time and notification self monitoring tools, and simple reporting plus moderation service level agreements are necessary but not sufficient; they must sit on top of documented logs, impact assessments, and independent audits that regulators can verify</w:t>
      </w:r>
      <w:r>
        <w:t xml:space="preserve"> </w:t>
      </w:r>
      <w:r>
        <w:t xml:space="preserve">(Kostenko, 2025, p. 218)</w:t>
      </w:r>
      <w:r>
        <w:t xml:space="preserve">. Research on AI governance stresses that such auditability is difficult when models are opaque, yet also argues that independent audits and external oversight committees are essential responses to black box risk, particularly under strict regimes like the EU AI Act and DSA</w:t>
      </w:r>
      <w:r>
        <w:t xml:space="preserve"> </w:t>
      </w:r>
      <w:r>
        <w:t xml:space="preserve">(Bahangulu &amp; Owusu-Berko, 2025, p. 9; T et al., 2026, p. 12)</w:t>
      </w:r>
      <w:r>
        <w:t xml:space="preserve">. In this thesis, these constraints are treated as methodological limits: assessments of youth focused platforms can rely only on published safeguards, observable interface behaviour and available regulatory dossiers rather than on internal recommender logic, which reinforces the centrality of traceability and documentation standards articulated in the AI Law Model</w:t>
      </w:r>
      <w:r>
        <w:t xml:space="preserve"> </w:t>
      </w:r>
      <w:r>
        <w:t xml:space="preserve">(Kostenko, 2025, p. 214; 2025, p. 82)</w:t>
      </w:r>
      <w:r>
        <w:t xml:space="preserve">. Evidence from applied studies suggests that common engagement mechanics such as streaks, badges and gamified reminders can meaningfully increase repeated use but may also edge into coercive nudging when aimed at vulnerable groups; design choices that look benign for adults can be problematic for children and adolescents</w:t>
      </w:r>
      <w:r>
        <w:t xml:space="preserve"> </w:t>
      </w:r>
      <w:r>
        <w:t xml:space="preserve">(Maisarah et al., 2025, p. 5)</w:t>
      </w:r>
      <w:r>
        <w:t xml:space="preserve">. At the same time, clear anonymity options and explicit privacy controls appear to increase willingness to disclose sensitive information, which implies that privacy promises must be backed by concrete, verifiable safeguards rather than vague policy text</w:t>
      </w:r>
      <w:r>
        <w:t xml:space="preserve"> </w:t>
      </w:r>
      <w:r>
        <w:t xml:space="preserve">(Maisarah et al., 2025, p. 5)</w:t>
      </w:r>
      <w:r>
        <w:t xml:space="preserve">.</w:t>
      </w:r>
    </w:p>
    <w:bookmarkEnd w:id="61"/>
    <w:bookmarkEnd w:id="62"/>
    <w:bookmarkEnd w:id="63"/>
    <w:bookmarkStart w:id="75" w:name="Xbe22fe0307078f3f4709c7ccf7bd0e1bfd907ae"/>
    <w:p>
      <w:pPr>
        <w:pStyle w:val="Heading1"/>
      </w:pPr>
      <w:r>
        <w:rPr>
          <w:rStyle w:val="SectionNumber"/>
        </w:rPr>
        <w:t xml:space="preserve">5</w:t>
      </w:r>
      <w:r>
        <w:tab/>
      </w:r>
      <w:r>
        <w:t xml:space="preserve">Ethical Principles for Fair and Pro-Social Recommender Systems</w:t>
      </w:r>
    </w:p>
    <w:bookmarkStart w:id="66" w:name="X7a36c5528e3823f14663bdb5a1cdecedf6cfe32"/>
    <w:p>
      <w:pPr>
        <w:pStyle w:val="Heading2"/>
      </w:pPr>
      <w:r>
        <w:rPr>
          <w:rStyle w:val="SectionNumber"/>
        </w:rPr>
        <w:t xml:space="preserve">5.1</w:t>
      </w:r>
      <w:r>
        <w:tab/>
      </w:r>
      <w:r>
        <w:t xml:space="preserve">Human-Centered Design and Autonomy Preservation</w:t>
      </w:r>
    </w:p>
    <w:bookmarkStart w:id="64" w:name="sec:respect_agency_choice"/>
    <w:p>
      <w:pPr>
        <w:pStyle w:val="Heading3"/>
      </w:pPr>
      <w:r>
        <w:rPr>
          <w:rStyle w:val="SectionNumber"/>
        </w:rPr>
        <w:t xml:space="preserve">5.1.1</w:t>
      </w:r>
      <w:r>
        <w:tab/>
      </w:r>
      <w:r>
        <w:t xml:space="preserve">Respect for Agency and Meaningful Choice</w:t>
      </w:r>
    </w:p>
    <w:p>
      <w:pPr>
        <w:pStyle w:val="FirstParagraph"/>
      </w:pPr>
      <w:r>
        <w:t xml:space="preserve">Agency in social recommender environments depends on whether people can understand, contest, and redirect algorithmic influence, not only on whether formal options exist. Kostenko’s principle of ethical responsibility demands "ethical design focused on maintaining the autonomy of the user, his psycho emotional comfort, [and] the right to an informed decision," and explicitly prohibits AI systems that manipulate behaviour, cause digital addiction, emotional exhaustion, loss of trust, or suppress autonomy</w:t>
      </w:r>
      <w:r>
        <w:t xml:space="preserve"> </w:t>
      </w:r>
      <w:r>
        <w:t xml:space="preserve">(Kostenko, 2025, pp. 61–62)</w:t>
      </w:r>
      <w:r>
        <w:t xml:space="preserve">. A complementary digital ecology chapter frames an inalienable right to a "fair, transparent, humane and environmentally friendly digital environment" that is free from intrusive content and excessive information flows creating chronic anxiety or distraction without explicit consent. Individuals are entitled to "digital hygiene" tools to monitor their own activity, depersonalize data, and restore autonomy</w:t>
      </w:r>
      <w:r>
        <w:t xml:space="preserve"> </w:t>
      </w:r>
      <w:r>
        <w:t xml:space="preserve">(Kostenko, 2025, p. 119)</w:t>
      </w:r>
      <w:r>
        <w:t xml:space="preserve">. Agency and meaningful choice are therefore treated as enforceable rights that constrain how engagement optimisation may be implemented. Distinguishing legitimate persuasion from manipulation is central to this constraint. Liu and Keshavarz define online choice architecture as the broader digital environment in which rankings, defaults, and recommendations shape decisions and argue that dark commercial patterns form a narrower subset of designs that "steer, deceive, pressure, or obstruct consumers in ways that impair informed and autonomous choice"</w:t>
      </w:r>
      <w:r>
        <w:t xml:space="preserve"> </w:t>
      </w:r>
      <w:r>
        <w:t xml:space="preserve">(Liu &amp; Keshavarz, 2026, p. 3)</w:t>
      </w:r>
      <w:r>
        <w:t xml:space="preserve">. Their marketing oriented framework evaluates interfaces along two dimensions: whether they advance firm objectives and whether they preserve the consumer’s ability to make "informed, preference consistent choice." Ethical design aims to persuade while preserving that second condition; dark commercial patterns violate it by securing compliance through weakened comprehension, asymmetric effort, or hidden information</w:t>
      </w:r>
      <w:r>
        <w:t xml:space="preserve"> </w:t>
      </w:r>
      <w:r>
        <w:t xml:space="preserve">(Liu &amp; Keshavarz, 2026, p. 3; 2026, p. 39)</w:t>
      </w:r>
      <w:r>
        <w:t xml:space="preserve">. These criteria provide a functional test for "meaningful choice" in this report’s working taxonomy of agency risks. Regulatory developments in Europe translate this normative line into platform duties. The Digital Services Act requires very large online platforms to provide at least one non profiled recommendation option and prohibits interfaces that mislead users or "substantially impair" their ability to make free and informed decisions, which directly targets manipulative rankings and choice screens in social feeds</w:t>
      </w:r>
      <w:r>
        <w:t xml:space="preserve"> </w:t>
      </w:r>
      <w:r>
        <w:t xml:space="preserve">(Kustura, 2025, p. 7; Quinelato, 2024, p. 18)</w:t>
      </w:r>
      <w:r>
        <w:t xml:space="preserve">. Sanikidze’s analysis of the planned Digital Fairness Act describes a trajectory toward regulating addictive product designs and unfair personalisation, closing gaps between the DSA and general consumer law and treating fairness and intelligible choice as primary policy goals rather than side effects of data protection</w:t>
      </w:r>
      <w:r>
        <w:t xml:space="preserve"> </w:t>
      </w:r>
      <w:r>
        <w:t xml:space="preserve">(Sanikidze, 2026, p. 390)</w:t>
      </w:r>
      <w:r>
        <w:t xml:space="preserve">. International initiatives such as the OECD’s "Dark Commercial Patterns" report and ICPEN sweeps reinforce this orientation by defining manipulative design as a systemic threat to autonomy and calling for clearer legal definitions and enforcement tools</w:t>
      </w:r>
      <w:r>
        <w:t xml:space="preserve"> </w:t>
      </w:r>
      <w:r>
        <w:t xml:space="preserve">(Sanikidze, 2026, p. 391)</w:t>
      </w:r>
      <w:r>
        <w:t xml:space="preserve">. Respect for agency also depends on the ability to recognise and resist hidden steering. Survey data on digital literacy and awareness of GDPR, the DSA and the AI Act show high self assessed competence for everyday digital tasks but much lower scores for recognising hidden manipulations (mean</w:t>
      </w:r>
      <w:r>
        <w:t xml:space="preserve"> </w:t>
      </w:r>
      <m:oMath>
        <m:r>
          <m:t>2.31</m:t>
        </m:r>
      </m:oMath>
      <w:r>
        <w:t xml:space="preserve"> </w:t>
      </w:r>
      <w:r>
        <w:t xml:space="preserve">on a Likert scale) and avoiding fraud (mean</w:t>
      </w:r>
      <w:r>
        <w:t xml:space="preserve"> </w:t>
      </w:r>
      <m:oMath>
        <m:r>
          <m:t>2.13</m:t>
        </m:r>
      </m:oMath>
      <w:r>
        <w:t xml:space="preserve">). Participants express moderate trust in EU regulation but scepticism about its practical effectiveness and call for expanded educational programmes that integrate knowledge of EU policies and algorithmic influence</w:t>
      </w:r>
      <w:r>
        <w:t xml:space="preserve"> </w:t>
      </w:r>
      <w:r>
        <w:t xml:space="preserve">(Chukhray &amp; Koval, 2026, p. 31)</w:t>
      </w:r>
      <w:r>
        <w:t xml:space="preserve">. These findings indicate a "second level divide" in competence, where formal options may exist but users lack the psychological and regulatory literacy to exercise them effectively. Agency respecting recommender governance cannot rely on disclosure alone; it must assume that many users will not detect subtle dark patterns or understand the implications of defaults. Management oriented scholarship on dark commercial patterns highlights the same tension in organisational terms. Liu and Keshavarz propose a "conversion trust" framework in which patterns that increase immediate behavioural compliance often erode perceived fairness, autonomy, and trust, leading to higher complaints, cancellations, and reputational risk over time. Their audit principles translate meaningful choice into actionable checks: information clarity (material terms visible before commitment), choice symmetry (declining and accepting requiring comparable effort), reversibility proportional to risk, and "data respect" in consent flows. Violations of symmetry or reversibility are interpreted as signals that agency is being traded for conversion gains</w:t>
      </w:r>
      <w:r>
        <w:t xml:space="preserve"> </w:t>
      </w:r>
      <w:r>
        <w:t xml:space="preserve">(Liu &amp; Keshavarz, 2026, p. 39)</w:t>
      </w:r>
      <w:r>
        <w:t xml:space="preserve">. For social recommender systems, similar criteria can be applied to settings for personalisation, notification controls, and feed configuration. Kostenko’s AI Law Model extends these organisational responsibilities into mandatory governance structures. Developers and operators of AI systems must conduct independent ethical reviews of new functionality, maintain internal ethical audit mechanisms, and publish annual AI Ethics Impact Reports that assess effects on autonomy, psycho emotional health, social equality, and trust</w:t>
      </w:r>
      <w:r>
        <w:t xml:space="preserve"> </w:t>
      </w:r>
      <w:r>
        <w:t xml:space="preserve">(Kostenko, 2025, pp. 61–62)</w:t>
      </w:r>
      <w:r>
        <w:t xml:space="preserve">. Digital ecology provisions prohibit algorithms that "form addiction or create self replicating digital environments that lead to the loss of a person’s ability to think critically and autonomously," and they recognise a right to tools for monitoring activity and controlling digital identity</w:t>
      </w:r>
      <w:r>
        <w:t xml:space="preserve"> </w:t>
      </w:r>
      <w:r>
        <w:t xml:space="preserve">(Kostenko, 2025, p. 119)</w:t>
      </w:r>
      <w:r>
        <w:t xml:space="preserve">. Systems that cannot be independently audited or where national actors lack control over critical components may be banned outright and placed in a register of prohibited AI systems</w:t>
      </w:r>
      <w:r>
        <w:t xml:space="preserve"> </w:t>
      </w:r>
      <w:r>
        <w:t xml:space="preserve">(Kostenko, 2025, p. 108)</w:t>
      </w:r>
      <w:r>
        <w:t xml:space="preserve">. These measures show that respect for agency is enforced not only through interface rules but also through structural traceability and auditability. Research on behavioural advertising and dark patterns in the EU underscores how easily these safeguards can be undermined. Quinelato reports that a European Commission study of</w:t>
      </w:r>
      <w:r>
        <w:t xml:space="preserve"> </w:t>
      </w:r>
      <m:oMath>
        <m:r>
          <m:t>45</m:t>
        </m:r>
      </m:oMath>
      <w:r>
        <w:t xml:space="preserve"> </w:t>
      </w:r>
      <w:r>
        <w:t xml:space="preserve">websites and</w:t>
      </w:r>
      <w:r>
        <w:t xml:space="preserve"> </w:t>
      </w:r>
      <m:oMath>
        <m:r>
          <m:t>30</m:t>
        </m:r>
      </m:oMath>
      <w:r>
        <w:t xml:space="preserve"> </w:t>
      </w:r>
      <w:r>
        <w:t xml:space="preserve">apps found</w:t>
      </w:r>
      <w:r>
        <w:t xml:space="preserve"> </w:t>
      </w:r>
      <m:oMath>
        <m:r>
          <m:t>97</m:t>
        </m:r>
        <m:r>
          <m:rPr>
            <m:sty m:val="p"/>
          </m:rPr>
          <m:t>%</m:t>
        </m:r>
      </m:oMath>
      <w:r>
        <w:t xml:space="preserve"> </w:t>
      </w:r>
      <w:r>
        <w:t xml:space="preserve">using deceptive practices such as false hierarchies of options and concealment of crucial information through colour and font manipulation, with social media services explicitly mentioned among high incidence sectors</w:t>
      </w:r>
      <w:r>
        <w:t xml:space="preserve"> </w:t>
      </w:r>
      <w:r>
        <w:t xml:space="preserve">(Quinelato, 2024, p. 13)</w:t>
      </w:r>
      <w:r>
        <w:t xml:space="preserve">. Liu and Keshavarz document large scale crawls finding thousands of dark pattern instances, including cookie banners where accepting tracking is significantly easier than refusing, which undermines the meaningfulness of consent and related choices about personalisation</w:t>
      </w:r>
      <w:r>
        <w:t xml:space="preserve"> </w:t>
      </w:r>
      <w:r>
        <w:t xml:space="preserve">(Liu &amp; Keshavarz, 2026, p. 33)</w:t>
      </w:r>
      <w:r>
        <w:t xml:space="preserve">. Sanikidze’s review of enforcement against Temu and platform X underlines that design choices that make cancellation harder than sign up or obscure verification processes are now treated by regulators as deceptive and potentially addictive, not as acceptable growth tactics</w:t>
      </w:r>
      <w:r>
        <w:t xml:space="preserve"> </w:t>
      </w:r>
      <w:r>
        <w:t xml:space="preserve">(Sanikidze, 2026, p. 390)</w:t>
      </w:r>
      <w:r>
        <w:t xml:space="preserve">. Within this thesis, these strands motivate an audit stance in which agency and meaningful choice are operationalised through externally verifiable conditions. Social recommender systems respect agency where: non profiled feeds are genuinely accessible; consent and configuration flows meet choice symmetry and reversibility criteria; activity monitoring and "digital hygiene" tools are available; and documented ethical audits address risks of addiction and manipulation. Where dark commercial patterns, opaque personalisation, or self replicating engagement loops are combined with limited user capacity to recognise or contest them, systems fall into higher risk categories of this report’s working taxonomy and conflict with the ethical responsibility and digital ecology principles articulated by Kostenko and with EU digital fairness objectives</w:t>
      </w:r>
      <w:r>
        <w:t xml:space="preserve"> </w:t>
      </w:r>
      <w:r>
        <w:t xml:space="preserve">(Kostenko, 2025, pp. 61–62; 2025, p. 119; Liu &amp; Keshavarz, 2026, p. 33; Sanikidze, 2026, p. 390)</w:t>
      </w:r>
      <w:r>
        <w:t xml:space="preserve">.</w:t>
      </w:r>
    </w:p>
    <w:bookmarkEnd w:id="64"/>
    <w:bookmarkStart w:id="65" w:name="sec:explainability_lay_users"/>
    <w:p>
      <w:pPr>
        <w:pStyle w:val="Heading3"/>
      </w:pPr>
      <w:r>
        <w:rPr>
          <w:rStyle w:val="SectionNumber"/>
        </w:rPr>
        <w:t xml:space="preserve">5.1.2</w:t>
      </w:r>
      <w:r>
        <w:tab/>
      </w:r>
      <w:r>
        <w:t xml:space="preserve">Explainability and Comprehensibility for Lay Users</w:t>
      </w:r>
    </w:p>
    <w:p>
      <w:pPr>
        <w:pStyle w:val="FirstParagraph"/>
      </w:pPr>
      <w:r>
        <w:t xml:space="preserve">Explainability in social recommender systems becomes ethically meaningful only when ordinary users can understand how algorithms affect them, not just when technical documentation exists. Kostenko’s principle of transparency, openness and explainability requires that system architecture, data sources, learning processes, functional limits, and potential implications are "understood, accessible, verifiable, and explanatory" throughout the lifecycle</w:t>
      </w:r>
      <w:r>
        <w:t xml:space="preserve"> </w:t>
      </w:r>
      <w:r>
        <w:t xml:space="preserve">(Kostenko, 2025, p. 67)</w:t>
      </w:r>
      <w:r>
        <w:t xml:space="preserve">. People must be informed before any algorithmic interaction, including clarity on the degree of autonomy of the system, the level of human control, and available appeal mechanisms. Covert or non transparent AI use in socially significant contexts is explicitly prohibited, which directly challenges engagement engines that personalise feeds without intelligible disclosure. Transparency in this model is stakeholder specific. Developers are expected to keep internal documentation, change logs and verification reports. Users require accessible interfaces that explain the logic of the system, adapted to digital literacy and socio cultural context. Regulators must receive a complete technical, legal and ethical dossier in machine readable form, while third parties affected by AI decisions need mechanisms for public information, explanations and independent monitoring</w:t>
      </w:r>
      <w:r>
        <w:t xml:space="preserve"> </w:t>
      </w:r>
      <w:r>
        <w:t xml:space="preserve">(Kostenko, 2025, p. 68)</w:t>
      </w:r>
      <w:r>
        <w:t xml:space="preserve">. For lay users, the key implication is that explanations cannot be purely technical artefacts; they must be communicated in language and formats that match cognitive abilities and emotional states, including for adolescents and vulnerable groups. Digital safety of the child makes these requirements even more concrete. Systems that interact with minors must provide "meaningful, structured and age appropriate" interpretations of decision logic, explicitly covering models, calculation methods, key features, uncertainty, human participation and available alternatives. Explanations must be free of technocratic jargon and delivered at multiple levels: technical, functional and ethical. The same chapter requires a decision log with key events and interventions, plus internal and external audits of child safety, giving regulators and families the evidentiary basis to contest algorithmic outcomes</w:t>
      </w:r>
      <w:r>
        <w:t xml:space="preserve"> </w:t>
      </w:r>
      <w:r>
        <w:t xml:space="preserve">(Kostenko, 2025, p. 214)</w:t>
      </w:r>
      <w:r>
        <w:t xml:space="preserve">. Age appropriate design provisions add interface level requirements such as visible "why am I seeing this" explanations and simple refusal of personalisation, which are directly relevant to engagement optimised feeds</w:t>
      </w:r>
      <w:r>
        <w:t xml:space="preserve"> </w:t>
      </w:r>
      <w:r>
        <w:t xml:space="preserve">(Kostenko, 2025, p. 223)</w:t>
      </w:r>
      <w:r>
        <w:t xml:space="preserve">. Human in the loop grading research offers a practical template for combining explainability with professional oversight. In a four layer HITL framework for essay grading, SHAP explanations highlighted textual features that contributed to model scores, and instructors reviewed AI outputs with the option to confirm, modify or override them</w:t>
      </w:r>
      <w:r>
        <w:t xml:space="preserve"> </w:t>
      </w:r>
      <w:r>
        <w:t xml:space="preserve">(Selvam &amp; González Vallejo, 2025, p. 16)</w:t>
      </w:r>
      <w:r>
        <w:t xml:space="preserve">. Faculty were trained on interpretation of SHAP visualisations and institutional policies for ethical use, and override actions were dual logged to create an audit trail. Case study results reported increased consistency, reduced grading time, and improved student trust, with communication making explicit that humans retained final authority</w:t>
      </w:r>
      <w:r>
        <w:t xml:space="preserve"> </w:t>
      </w:r>
      <w:r>
        <w:t xml:space="preserve">(Selvam &amp; González Vallejo, 2025, p. 21)</w:t>
      </w:r>
      <w:r>
        <w:t xml:space="preserve">. This design illustrates how local explanations can be embedded in workflows in ways that both experts and affected laypersons can understand. Explainable AI toolkits in other domains reinforce these requirements. Business analytics work summarises LIME for local surrogate explanations, SHAP for feature attribution, and counterfactual analysis for "what if" scenarios, arguing that such tools improve fairness, accountability and regulatory compliance when combined with human oversight</w:t>
      </w:r>
      <w:r>
        <w:t xml:space="preserve"> </w:t>
      </w:r>
      <w:r>
        <w:t xml:space="preserve">(Bahangulu &amp; Owusu-Berko, 2025, p. 11)</w:t>
      </w:r>
      <w:r>
        <w:t xml:space="preserve">. Financial fairness research extends this into institutional practice: SHAP values and global interpretability tools are used to produce adverse action notices that detail which factors such as debt to income ratio or payment history drove a decision, while governance frameworks introduce fairness audits, bias detection pipelines and human supervision</w:t>
      </w:r>
      <w:r>
        <w:t xml:space="preserve"> </w:t>
      </w:r>
      <w:r>
        <w:t xml:space="preserve">(Sebastian, 2025, p. 6)</w:t>
      </w:r>
      <w:r>
        <w:t xml:space="preserve">. Sebastian projects that transparency reports will need to describe model types, training data, performance by demographic group, and governance arrangements, and that algorithmic impact assessments will test fairness, robustness and privacy before deployment and on an ongoing basis</w:t>
      </w:r>
      <w:r>
        <w:t xml:space="preserve"> </w:t>
      </w:r>
      <w:r>
        <w:t xml:space="preserve">(Sebastian, 2025, p. 15)</w:t>
      </w:r>
      <w:r>
        <w:t xml:space="preserve">. Social recommender governance raises additional challenges. Gerr argues that platforms like Facebook, YouTube and TikTok amplify sensationalist and polarising content despite formal transparency about ranking criteria, and proposes XAI models that provide clear explanations of why specific items appear in feeds</w:t>
      </w:r>
      <w:r>
        <w:t xml:space="preserve"> </w:t>
      </w:r>
      <w:r>
        <w:t xml:space="preserve">(Mariia, 2025, p. 8)</w:t>
      </w:r>
      <w:r>
        <w:t xml:space="preserve">. For users, such explanations would support critical evaluation of content and help avoid manipulation. For regulators, XAI outputs can support distributional fairness assessments, for example by checking ideological balance in political content. Analysis from the same study stresses that technical XAI is insufficient without regulatory frameworks that mandate its implementation and link explanations to auditing processes and user rights</w:t>
      </w:r>
      <w:r>
        <w:t xml:space="preserve"> </w:t>
      </w:r>
      <w:r>
        <w:t xml:space="preserve">(Mariia, 2025, p. 30)</w:t>
      </w:r>
      <w:r>
        <w:t xml:space="preserve">. Qualitative evidence on trust and ethical decision making among students highlights why explanation quality matters. In financial and ethical consumption contexts, clear AI explanations increase acceptance of algorithmic advice, whereas opaque or ambiguous logic triggers confusion and disengagement</w:t>
      </w:r>
      <w:r>
        <w:t xml:space="preserve"> </w:t>
      </w:r>
      <w:r>
        <w:t xml:space="preserve">(Raaj S. et al., 2026, p. 8)</w:t>
      </w:r>
      <w:r>
        <w:t xml:space="preserve">. Emotional responses such as guilt or anger arise when users perceive AI outcomes as misaligned with values or as errors, and repeated exposure to unclear decisions can produce "ethical disengagement" where users stop attending to both ethical cues and algorithmic warnings</w:t>
      </w:r>
      <w:r>
        <w:t xml:space="preserve"> </w:t>
      </w:r>
      <w:r>
        <w:t xml:space="preserve">(Raaj S. et al., 2026, p. 8; 2026, p. 191)</w:t>
      </w:r>
      <w:r>
        <w:t xml:space="preserve">. For social recommenders, this suggests that poorly comprehensible explanations may not only fail to protect autonomy but can also erode willingness to use explanation tools at all. From an audit design perspective, these strands converge on several concrete expectations for explainability and comprehensibility:</w:t>
      </w:r>
    </w:p>
    <w:p>
      <w:pPr>
        <w:numPr>
          <w:ilvl w:val="0"/>
          <w:numId w:val="1001"/>
        </w:numPr>
      </w:pPr>
      <w:r>
        <w:t xml:space="preserve">Stakeholder differentiated explanation layers, with plain language summaries and appeal instructions for lay users and detailed dossiers for regulators</w:t>
      </w:r>
      <w:r>
        <w:t xml:space="preserve"> </w:t>
      </w:r>
      <w:r>
        <w:t xml:space="preserve">(Kostenko, 2025, p. 68; 2025, p. 214)</w:t>
      </w:r>
      <w:r>
        <w:t xml:space="preserve">.</w:t>
      </w:r>
    </w:p>
    <w:p>
      <w:pPr>
        <w:numPr>
          <w:ilvl w:val="0"/>
          <w:numId w:val="1001"/>
        </w:numPr>
      </w:pPr>
      <w:r>
        <w:t xml:space="preserve">Multi level explanations that combine local reasons ("why this post now") with global descriptions of ranking objectives and constraints</w:t>
      </w:r>
      <w:r>
        <w:t xml:space="preserve"> </w:t>
      </w:r>
      <w:r>
        <w:t xml:space="preserve">(Kostenko, 2025, p. 68; Mariia, 2025, p. 8)</w:t>
      </w:r>
      <w:r>
        <w:t xml:space="preserve">.</w:t>
      </w:r>
    </w:p>
    <w:p>
      <w:pPr>
        <w:numPr>
          <w:ilvl w:val="0"/>
          <w:numId w:val="1001"/>
        </w:numPr>
      </w:pPr>
      <w:r>
        <w:t xml:space="preserve">Logging architectures that preserve decision trails in tamper evident form, enabling reconstruction and contestation of problematic recommendation episodes</w:t>
      </w:r>
      <w:r>
        <w:t xml:space="preserve"> </w:t>
      </w:r>
      <w:r>
        <w:t xml:space="preserve">(Kostenko, 2025, p. 214; 2025, p. 241)</w:t>
      </w:r>
      <w:r>
        <w:t xml:space="preserve">.</w:t>
      </w:r>
    </w:p>
    <w:p>
      <w:pPr>
        <w:numPr>
          <w:ilvl w:val="0"/>
          <w:numId w:val="1001"/>
        </w:numPr>
      </w:pPr>
      <w:r>
        <w:t xml:space="preserve">Human in the loop mechanisms where explanations are intelligible both to professional reviewers and to affected users, as illustrated in HITL grading</w:t>
      </w:r>
      <w:r>
        <w:t xml:space="preserve"> </w:t>
      </w:r>
      <w:r>
        <w:t xml:space="preserve">(Selvam &amp; González Vallejo, 2025, p. 16; 2025, p. 21)</w:t>
      </w:r>
      <w:r>
        <w:t xml:space="preserve">.</w:t>
      </w:r>
    </w:p>
    <w:p>
      <w:pPr>
        <w:pStyle w:val="FirstParagraph"/>
      </w:pPr>
      <w:r>
        <w:t xml:space="preserve">Research on digital fairness and AI journalism ethics adds an important normative overlay. Content governance models require platforms and media organisations to provide verifiable labelling of AI generated material, fact checking tools, and independently verifiable audit logs, combined with public reports and accessible appeal procedures [7076960][4]</w:t>
      </w:r>
      <w:r>
        <w:t xml:space="preserve">7076960</w:t>
      </w:r>
      <w:r>
        <w:t xml:space="preserve">. In this configuration, explainability is not only a technical property but part of an institutional duty to maintain truthfulness and public confidence when AI mediates information flows</w:t>
      </w:r>
      <w:r>
        <w:t xml:space="preserve"> </w:t>
      </w:r>
      <w:r>
        <w:t xml:space="preserve">(Kostenko, 2025, p. 94; Selvam &amp; González Vallejo, 2025, p. 7076960)</w:t>
      </w:r>
      <w:r>
        <w:t xml:space="preserve">. All changes made by educators are dual logged together with the AI’s initial assessment, creating an audit trail that ties each final grade to identifiable human decisions. Faculty in the pilot emphasised that this layer preserved their role as moral and intellectual guides and allowed them to intervene whenever contextual judgment or empathy was required</w:t>
      </w:r>
      <w:r>
        <w:t xml:space="preserve"> </w:t>
      </w:r>
      <w:r>
        <w:t xml:space="preserve">(Selvam &amp; González Vallejo, 2025, p. 8; 2025, p. 21)</w:t>
      </w:r>
      <w:r>
        <w:t xml:space="preserve">. Oversight that matters is therefore tightly coupled to logging and contestability. In the same HITL system, both AI and human actions are recorded in a dual logging architecture, enabling students to see which comments originate from the model and which from instructors. This visibility strengthened trust:</w:t>
      </w:r>
      <w:r>
        <w:t xml:space="preserve"> </w:t>
      </w:r>
      <m:oMath>
        <m:r>
          <m:t>61</m:t>
        </m:r>
        <m:r>
          <m:rPr>
            <m:sty m:val="p"/>
          </m:rPr>
          <m:t>%</m:t>
        </m:r>
      </m:oMath>
      <w:r>
        <w:t xml:space="preserve"> </w:t>
      </w:r>
      <w:r>
        <w:t xml:space="preserve">of surveyed students reported higher confidence in grading due to human validation, and comments labelled "Instructor Reviewed" were perceived as more legitimate. Students could understand and challenge grades because the decision path was transparent, aligning with ethical principles of explainability and contestability</w:t>
      </w:r>
      <w:r>
        <w:t xml:space="preserve"> </w:t>
      </w:r>
      <w:r>
        <w:t xml:space="preserve">(Selvam &amp; González Vallejo, 2025, p. 8; 2025, p. 20)</w:t>
      </w:r>
      <w:r>
        <w:t xml:space="preserve">. Ethical responsibility provisions in the AI Law Model generalise this requirement beyond education. Kostenko demands that all actors in the AI lifecycle implement internal ethical audit mechanisms, human rights impact monitoring, and preventive and compensatory measures. Ethical design must maintain autonomy, psycho emotional comfort, and the right to an informed decision, and explicitly prohibits AI systems that manipulate behaviour, cause digital addiction, emotional exhaustion, loss of trust, or suppress autonomy. High risk systems must satisfy this principle as a certification criterion, and regulators are empowered to suspend operation, remove unethical functionality, and apply penalties where ethical responsibility is breached. Annual AI Ethics Impact Reports are mandated to document impacts on human rights, psycho emotional health, social equality and trust</w:t>
      </w:r>
      <w:r>
        <w:t xml:space="preserve"> </w:t>
      </w:r>
      <w:r>
        <w:t xml:space="preserve">(Kostenko, 2025, pp. 61–62)</w:t>
      </w:r>
      <w:r>
        <w:t xml:space="preserve">. On this basis, meaningful oversight means that identifiable humans and institutions can be held accountable and can intervene to halt or modify harmful configurations. Business analytics research points to similar conclusions. Bahangulu and Owusu Berko argue that human involvement is essential where AI systems make consequential decisions, since algorithms lack contextual understanding and ethical reasoning. They recommend human in the loop, human on the loop, and human over the loop arrangements, with humans reviewing AI generated decisions before implementation, monitoring decisions with authority to intervene, and conducting ex post audits and appeals. These oversight forms are presented as safeguards against discriminatory lending, unfair pricing, or biased recruitment, and as prerequisites for meeting obligations under instruments such as the EU AI Act and GDPR</w:t>
      </w:r>
      <w:r>
        <w:t xml:space="preserve"> </w:t>
      </w:r>
      <w:r>
        <w:t xml:space="preserve">(Bahangulu &amp; Owusu-Berko, 2025, p. 7; 2025, p. 9)</w:t>
      </w:r>
      <w:r>
        <w:t xml:space="preserve">. Mohammed’s technical governance framework echoes this structure by requiring structured HITL workflows and explicit role descriptions for human in the loop, on the loop, and over the loop, combined with model cards, impact assessments, and bias monitoring</w:t>
      </w:r>
      <w:r>
        <w:t xml:space="preserve"> </w:t>
      </w:r>
      <w:r>
        <w:t xml:space="preserve">(Mohammed, 2025, p. 5)</w:t>
      </w:r>
      <w:r>
        <w:t xml:space="preserve">. Hybrid governance models in public sector decision support systems show how oversight can be institutionalised. Case studies in healthcare triage, civil service HR, and municipal services report that systems combining internal ethics boards, external regulators, and statutory duties achieve better balances between performance and ethical assurance. Quantitative indicators such as reductions in bias complaints, faster appeal resolution times, and improved citizen satisfaction are associated with transparency reports, appeal mechanisms, and third party audits. Comparative analysis concludes that hybrid governance, rather than pure self regulation, is most effective for ensuring fairness, transparency, accountability, and privacy in AI enabled decision support</w:t>
      </w:r>
      <w:r>
        <w:t xml:space="preserve"> </w:t>
      </w:r>
      <w:r>
        <w:t xml:space="preserve">(Alrwili &amp; Kantharia, 2025, p. 2)</w:t>
      </w:r>
      <w:r>
        <w:t xml:space="preserve">. These arrangements make human oversight continuous and multi layered, not episodic. A concise comparison helps translate these insights into audit criteria for social recommender systems:</w:t>
      </w:r>
    </w:p>
    <w:p>
      <w:pPr>
        <w:pStyle w:val="TableCaption"/>
      </w:pPr>
      <w:r>
        <w:t xml:space="preserve">Illustrative oversight patterns and audit questions</w:t>
      </w:r>
    </w:p>
    <w:tbl>
      <w:tblPr>
        <w:tblStyle w:val="Table"/>
        <w:tblW w:type="auto" w:w="0"/>
        <w:jc w:val="left"/>
        <w:tblLook w:firstRow="1" w:lastRow="0" w:firstColumn="0" w:lastColumn="0" w:noHBand="0" w:noVBand="0" w:val="0020"/>
        <w:tblCaption w:val="Illustrative oversight patterns and audit questions"/>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Key features</w:t>
            </w:r>
          </w:p>
        </w:tc>
        <w:tc>
          <w:tcPr/>
          <w:p>
            <w:pPr>
              <w:pStyle w:val="Compact"/>
              <w:jc w:val="left"/>
            </w:pPr>
            <w:r>
              <w:t xml:space="preserve">Audit question</w:t>
            </w:r>
          </w:p>
        </w:tc>
      </w:tr>
      <w:tr>
        <w:tc>
          <w:tcPr/>
          <w:p>
            <w:pPr>
              <w:pStyle w:val="Compact"/>
              <w:jc w:val="left"/>
            </w:pPr>
            <w:r>
              <w:t xml:space="preserve">HITL grading</w:t>
            </w:r>
            <w:r>
              <w:t xml:space="preserve"> </w:t>
            </w:r>
            <w:r>
              <w:t xml:space="preserve">(Selvam &amp; González Vallejo, 2025, p. 16)</w:t>
            </w:r>
          </w:p>
        </w:tc>
        <w:tc>
          <w:tcPr/>
          <w:p>
            <w:pPr>
              <w:pStyle w:val="Compact"/>
              <w:jc w:val="left"/>
            </w:pPr>
            <w:r>
              <w:t xml:space="preserve">Human validation layer, dual logging, SHAP explanations</w:t>
            </w:r>
          </w:p>
        </w:tc>
        <w:tc>
          <w:tcPr/>
          <w:p>
            <w:pPr>
              <w:pStyle w:val="Compact"/>
              <w:jc w:val="left"/>
            </w:pPr>
            <w:r>
              <w:t xml:space="preserve">Are recommendation overrides and rationales logged and attributable to responsible staff?</w:t>
            </w:r>
          </w:p>
        </w:tc>
      </w:tr>
      <w:tr>
        <w:tc>
          <w:tcPr/>
          <w:p>
            <w:pPr>
              <w:pStyle w:val="Compact"/>
              <w:jc w:val="left"/>
            </w:pPr>
            <w:r>
              <w:t xml:space="preserve">Hybrid DSS governance</w:t>
            </w:r>
            <w:r>
              <w:t xml:space="preserve"> </w:t>
            </w:r>
            <w:r>
              <w:t xml:space="preserve">(Alrwili &amp; Kantharia, 2025, p. 2)</w:t>
            </w:r>
          </w:p>
        </w:tc>
        <w:tc>
          <w:tcPr/>
          <w:p>
            <w:pPr>
              <w:pStyle w:val="Compact"/>
              <w:jc w:val="left"/>
            </w:pPr>
            <w:r>
              <w:t xml:space="preserve">Internal ethics board, external regulator, appeal portal</w:t>
            </w:r>
          </w:p>
        </w:tc>
        <w:tc>
          <w:tcPr/>
          <w:p>
            <w:pPr>
              <w:pStyle w:val="Compact"/>
              <w:jc w:val="left"/>
            </w:pPr>
            <w:r>
              <w:t xml:space="preserve">Does the platform support user appeals and independent audits of algorithmic outcomes?</w:t>
            </w:r>
          </w:p>
        </w:tc>
      </w:tr>
      <w:tr>
        <w:tc>
          <w:tcPr/>
          <w:p>
            <w:pPr>
              <w:pStyle w:val="Compact"/>
              <w:jc w:val="left"/>
            </w:pPr>
            <w:r>
              <w:t xml:space="preserve">AI Law ethical responsibility</w:t>
            </w:r>
            <w:r>
              <w:t xml:space="preserve"> </w:t>
            </w:r>
            <w:r>
              <w:t xml:space="preserve">(Kostenko, 2025, pp. 61–62)</w:t>
            </w:r>
          </w:p>
        </w:tc>
        <w:tc>
          <w:tcPr/>
          <w:p>
            <w:pPr>
              <w:pStyle w:val="Compact"/>
              <w:jc w:val="left"/>
            </w:pPr>
            <w:r>
              <w:t xml:space="preserve">Ban on manipulative and addictive systems, ethics impact reports</w:t>
            </w:r>
          </w:p>
        </w:tc>
        <w:tc>
          <w:tcPr/>
          <w:p>
            <w:pPr>
              <w:pStyle w:val="Compact"/>
              <w:jc w:val="left"/>
            </w:pPr>
            <w:r>
              <w:t xml:space="preserve">Are engagement optimising features assessed for digital addiction and reported in ethics disclosures?</w:t>
            </w:r>
          </w:p>
        </w:tc>
      </w:tr>
      <w:tr>
        <w:tc>
          <w:tcPr/>
          <w:p>
            <w:pPr>
              <w:pStyle w:val="Compact"/>
              <w:jc w:val="left"/>
            </w:pPr>
            <w:r>
              <w:t xml:space="preserve">HITL roles in high risk AI</w:t>
            </w:r>
            <w:r>
              <w:t xml:space="preserve"> </w:t>
            </w:r>
            <w:r>
              <w:t xml:space="preserve">(Bahangulu &amp; Owusu-Berko, 2025, p. 7; Mohammed, 2025, p. 5)</w:t>
            </w:r>
          </w:p>
        </w:tc>
        <w:tc>
          <w:tcPr/>
          <w:p>
            <w:pPr>
              <w:pStyle w:val="Compact"/>
              <w:jc w:val="left"/>
            </w:pPr>
            <w:r>
              <w:t xml:space="preserve">Defined human in/on/over the loop responsibilities</w:t>
            </w:r>
          </w:p>
        </w:tc>
        <w:tc>
          <w:tcPr/>
          <w:p>
            <w:pPr>
              <w:pStyle w:val="Compact"/>
              <w:jc w:val="left"/>
            </w:pPr>
            <w:r>
              <w:t xml:space="preserve">Are human oversight roles for recommender decisions explicitly documented and resourced?</w:t>
            </w:r>
          </w:p>
        </w:tc>
      </w:tr>
    </w:tbl>
    <w:p>
      <w:pPr>
        <w:pStyle w:val="BodyText"/>
      </w:pPr>
      <w:r>
        <w:t xml:space="preserve">Research shows that explainability is central to effective oversight. In HITL grading, SHAP based feature attributions made model behaviour interpretable for instructors, enabling targeted overrides where satire, abstract reasoning, or interdisciplinary arguments confused the model. Students also valued clear distinction between AI and human feedback. The authors caution that AI alone cannot evaluate fairness or respond compassionately, which reinforces the case for embedding explainable AI tools into workflows where humans remain final decision makers</w:t>
      </w:r>
      <w:r>
        <w:t xml:space="preserve"> </w:t>
      </w:r>
      <w:r>
        <w:t xml:space="preserve">(Selvam &amp; González Vallejo, 2025, p. 16; 2025, p. 21)</w:t>
      </w:r>
      <w:r>
        <w:t xml:space="preserve">. Syari et al. reach a similar conclusion in hoax detection: low explainability undermines trust and legal usability of classification results, which motivates integration of explainable AI and critical thinking features so that outputs are both technically accurate and logically defensible to the public and law enforcement</w:t>
      </w:r>
      <w:r>
        <w:t xml:space="preserve"> </w:t>
      </w:r>
      <w:r>
        <w:t xml:space="preserve">(Syari et al., 2025, p. 3)</w:t>
      </w:r>
      <w:r>
        <w:t xml:space="preserve">. Finally, regulatory analysis underscores the enforcement challenge. Bahangulu and Owusu Berko note that regulators struggle with black box models and call for improved auditing techniques and collaboration between regulators and industry. They argue that independent AI audits and external oversight committees are necessary to handle opaque systems, and that businesses that adopt these approaches will be better positioned to ensure compliance and ethical accountability</w:t>
      </w:r>
      <w:r>
        <w:t xml:space="preserve"> </w:t>
      </w:r>
      <w:r>
        <w:t xml:space="preserve">(Bahangulu &amp; Owusu-Berko, 2025, p. 9)</w:t>
      </w:r>
      <w:r>
        <w:t xml:space="preserve">. In this thesis, these constraints motivate a methodological stance: social recommender oversight is assessed via observable workflows, logging practices, explanation interfaces and governance structures reported in secondary sources, not via direct inspection of proprietary ranking algorithms. Meaningful human oversight in that context means verifiable human authority, documented decision trails, and institutional arrangements that can correct or shut down engagement strategies that conflict with ethical responsibility norms</w:t>
      </w:r>
      <w:r>
        <w:t xml:space="preserve"> </w:t>
      </w:r>
      <w:r>
        <w:t xml:space="preserve">(Alrwili &amp; Kantharia, 2025, p. 2; Bahangulu &amp; Owusu-Berko, 2025, p. 9; Kostenko, 2025, pp. 61–62; Selvam &amp; González Vallejo, 2025, p. 16)</w:t>
      </w:r>
      <w:r>
        <w:t xml:space="preserve">.</w:t>
      </w:r>
    </w:p>
    <w:bookmarkEnd w:id="65"/>
    <w:bookmarkEnd w:id="66"/>
    <w:bookmarkStart w:id="70" w:name="justice-non-discrimination-and-inclusion"/>
    <w:p>
      <w:pPr>
        <w:pStyle w:val="Heading2"/>
      </w:pPr>
      <w:r>
        <w:rPr>
          <w:rStyle w:val="SectionNumber"/>
        </w:rPr>
        <w:t xml:space="preserve">5.2</w:t>
      </w:r>
      <w:r>
        <w:tab/>
      </w:r>
      <w:r>
        <w:t xml:space="preserve">Justice, Non-Discrimination and Inclusion</w:t>
      </w:r>
    </w:p>
    <w:bookmarkStart w:id="67" w:name="Xa118b0227d073b18b3003c1eed78a5777bee02f"/>
    <w:p>
      <w:pPr>
        <w:pStyle w:val="Heading3"/>
      </w:pPr>
      <w:r>
        <w:rPr>
          <w:rStyle w:val="SectionNumber"/>
        </w:rPr>
        <w:t xml:space="preserve">5.2.1</w:t>
      </w:r>
      <w:r>
        <w:tab/>
      </w:r>
      <w:r>
        <w:t xml:space="preserve">Bias, Profiling and Indirect Discrimination Risks</w:t>
      </w:r>
    </w:p>
    <w:p>
      <w:pPr>
        <w:pStyle w:val="FirstParagraph"/>
      </w:pPr>
      <w:r>
        <w:t xml:space="preserve">Indirect discrimination in algorithmic environments often begins long before model deployment, at the level of data and profiling assumptions. In adaptive education, case evidence from MathPath AI shows how under represented minority and non English speaking students were disproportionately flagged for remedial instruction because their response patterns were weakly represented in training data. This imbalance produced a higher rate of "low ability" classifications, despite similar underlying capabilities, illustrating how sparse or skewed datasets translate into structural disadvantage once embedded in adaptive recommendation logic. Students in rural areas with poor connectivity also experienced degraded functionality, creating a further axis of exclusion that is infrastructural rather than purely algorithmic</w:t>
      </w:r>
      <w:r>
        <w:t xml:space="preserve"> </w:t>
      </w:r>
      <w:r>
        <w:t xml:space="preserve">(Chakraborty et al., 2025, p. 5)</w:t>
      </w:r>
      <w:r>
        <w:t xml:space="preserve">. Comparable dynamics are anticipated at scale in algorithmic credit and educational systems. An AI Now Institute analysis, summarised in Chakraborty et al., reports that</w:t>
      </w:r>
      <w:r>
        <w:t xml:space="preserve"> </w:t>
      </w:r>
      <m:oMath>
        <m:r>
          <m:t>65</m:t>
        </m:r>
        <m:r>
          <m:rPr>
            <m:sty m:val="p"/>
          </m:rPr>
          <m:t>%</m:t>
        </m:r>
      </m:oMath>
      <w:r>
        <w:t xml:space="preserve"> </w:t>
      </w:r>
      <w:r>
        <w:t xml:space="preserve">of examined educational AI studies displayed bias against marginalised groups, which signals that discriminatory effects are pervasive rather than exceptional</w:t>
      </w:r>
      <w:r>
        <w:t xml:space="preserve"> </w:t>
      </w:r>
      <w:r>
        <w:t xml:space="preserve">(Chakraborty et al., 2025, p. 7)</w:t>
      </w:r>
      <w:r>
        <w:t xml:space="preserve">. Sebastian forecasts that credit institutions will be required to run standardized fairness tests such as demographic parity, equalized odds, calibration equity, and counterfactual fairness, and to document disparate impacts across protected classes with associated mitigation plans. His sociotechnical critique warns that single metric optimisation can conceal intersectional discrimination or encode prejudices into similarity definitions, meaning that apparently "balanced" models may still harm subgroups defined by multiple attributes</w:t>
      </w:r>
      <w:r>
        <w:t xml:space="preserve"> </w:t>
      </w:r>
      <w:r>
        <w:t xml:space="preserve">(Sebastian, 2025, p. 14)</w:t>
      </w:r>
      <w:r>
        <w:t xml:space="preserve">. For social recommender audits, this implies that narrow parity checks on aggregate engagement or exposure are insufficient; intersectional patterns in who receives addictive or harmful content must be interrogated</w:t>
      </w:r>
      <w:r>
        <w:t xml:space="preserve"> </w:t>
      </w:r>
      <w:r>
        <w:t xml:space="preserve">(Chakraborty et al., 2025, p. 7; Sebastian, 2025, p. 14)</w:t>
      </w:r>
      <w:r>
        <w:t xml:space="preserve">. Normative guardrails are articulated in detail by Kostenko. The principle of fairness, non discrimination and inclusiveness prohibits AI systems that create or exacerbate unfair practices on any protected ground and bans models built on distorted or non representative data, algorithms with disproportionate negative impact on vulnerable groups, and systems that have not been audited for bias or lack mechanisms for its correction</w:t>
      </w:r>
      <w:r>
        <w:t xml:space="preserve"> </w:t>
      </w:r>
      <w:r>
        <w:t xml:space="preserve">(Kostenko, 2025, p. 73)</w:t>
      </w:r>
      <w:r>
        <w:t xml:space="preserve">. A complementary fairness chapter defines discrimination as any restriction or advantage in treatment, access or rights based on attributes such as race, gender, age, disability or economic status, and forbids machine learning models that lead to segregation, exclusion, digital blacklists or biased risk ratings harming people socially, legally, or economically</w:t>
      </w:r>
      <w:r>
        <w:t xml:space="preserve"> </w:t>
      </w:r>
      <w:r>
        <w:t xml:space="preserve">(Kostenko, 2025, p. 41)</w:t>
      </w:r>
      <w:r>
        <w:t xml:space="preserve">. These provisions require "equity by default," diversity in social experiences, and the participation of vulnerable groups in development, together with public documentation of equity metrics, bias audits and ethical constraints integrated into model logic</w:t>
      </w:r>
      <w:r>
        <w:t xml:space="preserve"> </w:t>
      </w:r>
      <w:r>
        <w:t xml:space="preserve">(Kostenko, 2025, p. 73; 2025, p. 41)</w:t>
      </w:r>
      <w:r>
        <w:t xml:space="preserve">. Obligations are distributed across the lifecycle. Developers, vendors and users must perform preliminary audits of training data to identify structural or contextual biases from historical, geographic or gendered sources, apply rebalancing techniques, use fairness aware models, and create mechanisms for automated detection and signalling of discriminatory decisions. Users must have rights to review, explanation and appeal, and all bias mitigating changes must be documented and audited for impact on both quality and fairness</w:t>
      </w:r>
      <w:r>
        <w:t xml:space="preserve"> </w:t>
      </w:r>
      <w:r>
        <w:t xml:space="preserve">(Kostenko, 2025, p. 41)</w:t>
      </w:r>
      <w:r>
        <w:t xml:space="preserve">. An Authorized Body for Ethics of AI is tasked with maintaining a public register of discrimination complaints, analysing algorithmic impacts on demographic groups, initiating inspections and suspending suspect systems, and coordinating remedies such as compensation and restoration of rights</w:t>
      </w:r>
      <w:r>
        <w:t xml:space="preserve"> </w:t>
      </w:r>
      <w:r>
        <w:t xml:space="preserve">(Kostenko, 2025, p. 42)</w:t>
      </w:r>
      <w:r>
        <w:t xml:space="preserve">. Within an Ethical AI Audit Toolkit, these duties can be translated into concrete checks on whether social recommender operators maintain bias registers, support appeals, and disclose model changes affecting ranking or profiling. Platforms that operate as moral environments are not exempt. Qualitative work on ethical consumption among students describes e commerce platforms as configuring sustainability salience through interface design and ranking, with engagement oriented algorithms often deprioritising ethical attributes</w:t>
      </w:r>
      <w:r>
        <w:t xml:space="preserve"> </w:t>
      </w:r>
      <w:r>
        <w:t xml:space="preserve">(Raaj S. et al., 2026, p. 4)</w:t>
      </w:r>
      <w:r>
        <w:t xml:space="preserve">. When such systems are combined with unverifiable green claims, students experience confusion and distrust, which undermines ethical intentions and widens the intention behaviour gap. These findings demonstrate how profiling and optimisation for convenience or popularity can indirectly discriminate against consumers who prioritise ethics, particularly when emotional mechanisms like guilt and confusion are triggered by greenwashing</w:t>
      </w:r>
      <w:r>
        <w:t xml:space="preserve"> </w:t>
      </w:r>
      <w:r>
        <w:t xml:space="preserve">(Raaj S. et al., 2026, p. 4; 2026, p. 10)</w:t>
      </w:r>
      <w:r>
        <w:t xml:space="preserve">. Regulatory trajectories in the EU sharpen the compliance imperative. The AI Act’s unacceptable risk tier includes systems that exploit psychological vulnerabilities, and its high risk tier imposes conformity assessment and human oversight duties in domains such as education and essential services</w:t>
      </w:r>
      <w:r>
        <w:t xml:space="preserve"> </w:t>
      </w:r>
      <w:r>
        <w:t xml:space="preserve">(T et al., 2026, p. 12)</w:t>
      </w:r>
      <w:r>
        <w:t xml:space="preserve">. Complementary AI law proposals envision algorithmic impact assessments, fairness audit standardisation, and transparency reports detailing performance by demographic factors, governance arrangements and complaint channels</w:t>
      </w:r>
      <w:r>
        <w:t xml:space="preserve"> </w:t>
      </w:r>
      <w:r>
        <w:t xml:space="preserve">(Sebastian, 2025, p. 14; 2025, p. 15)</w:t>
      </w:r>
      <w:r>
        <w:t xml:space="preserve">. ISO/IEC JTC 1/SC 42 standards on risk management and ethical considerations add reference points for bias mitigation and trustworthiness, even if enforcement depends on binding instruments</w:t>
      </w:r>
      <w:r>
        <w:t xml:space="preserve"> </w:t>
      </w:r>
      <w:r>
        <w:t xml:space="preserve">(Sankaran, 2025, p. 3)</w:t>
      </w:r>
      <w:r>
        <w:t xml:space="preserve">. An Ethical AI Audit aligned with a Digital Fairness trajectory must therefore treat bias, profiling and indirect discrimination not as reputational issues but as regulated risk categories requiring documented metrics, lifecycle controls and external oversight</w:t>
      </w:r>
      <w:r>
        <w:t xml:space="preserve"> </w:t>
      </w:r>
      <w:r>
        <w:t xml:space="preserve">(Kostenko, 2025, p. 73; 2025, p. 41; Sebastian, 2025, p. 14; T et al., 2026, p. 12)</w:t>
      </w:r>
      <w:r>
        <w:t xml:space="preserve">.</w:t>
      </w:r>
    </w:p>
    <w:bookmarkEnd w:id="67"/>
    <w:bookmarkStart w:id="68" w:name="X5cfe3ee26eda350d81eca82c5b8f774e6590337"/>
    <w:p>
      <w:pPr>
        <w:pStyle w:val="Heading3"/>
      </w:pPr>
      <w:r>
        <w:rPr>
          <w:rStyle w:val="SectionNumber"/>
        </w:rPr>
        <w:t xml:space="preserve">5.2.2</w:t>
      </w:r>
      <w:r>
        <w:tab/>
      </w:r>
      <w:r>
        <w:t xml:space="preserve">Protection against Social Rating and Total Scoring</w:t>
      </w:r>
    </w:p>
    <w:p>
      <w:pPr>
        <w:pStyle w:val="FirstParagraph"/>
      </w:pPr>
      <w:r>
        <w:t xml:space="preserve">Social recommender systems can easily drift toward quasi universal scores of user "value" if engagement, trust, or influence metrics are aggregated and reused across contexts. Kostenko explicitly prohibits this move. Under the principle of non simulacrity of the person, any attempt to reduce a human being to an algorithmic profile, scoring index, or psychometric model is rejected: digital twins and shadow profiles are treated as auxiliary analytical constructs that must not replace a person’s will, autonomy, or right to self determination</w:t>
      </w:r>
      <w:r>
        <w:t xml:space="preserve"> </w:t>
      </w:r>
      <w:r>
        <w:t xml:space="preserve">(Kostenko, 2025, p. 128)</w:t>
      </w:r>
      <w:r>
        <w:t xml:space="preserve">. This prohibition is operationalised through a categorical ban on "total scoring" and social ratings that form integral indices of "value," "trust," or "social reliability," especially where such indices influence access to labour, credit, insurance, education, housing, public and medical services, justice or e governance. Kostenko details how total scoring practices materialise. They include aggregation of heterogeneous data from multiple domains such as social networks, consumer habits, geolocation, finance, search history and biometrics in order to derive a single composite evaluation; cross platform identifier stitching via data brokers or shadow profiles; function creep where conclusions from one context are applied to others, creating persistent "risk" or "trust" labels; and use of proxy variables that reproduce discrimination on protected or socioeconomic grounds. Blacklists or whitelists that sort individuals or groups by behavioural or social traits without individual verification are singled out as emblematic of prohibited design. These mechanisms map closely onto engagement centric recommender ecosystems where cross app telemetry and behavioural segments might otherwise be repurposed for creditworthiness, job screening, or reputation filtering. Only narrowly targeted scoring remains permissible, and even then under strict cumulative conditions. Scores must serve a specific, lawful purpose confined to a clearly delimited domain, such as credit risk assessment exclusively for a particular product. Results cannot be transferred to other goals or sectors, protected features and their proxies must be excluded, scoring methodologies must be transparent enough to allow regulatory audit and clear personal explanation, and a non algorithmic review channel with real possibilities for human adjustment is mandatory</w:t>
      </w:r>
      <w:r>
        <w:t xml:space="preserve"> </w:t>
      </w:r>
      <w:r>
        <w:t xml:space="preserve">(Kostenko, 2025, p. 130)</w:t>
      </w:r>
      <w:r>
        <w:t xml:space="preserve">. These safeguards echo fairness oriented credit scoring frameworks that argue for domain specific models, explicit anti discrimination constraints and robust human oversight in financial AI</w:t>
      </w:r>
      <w:r>
        <w:t xml:space="preserve"> </w:t>
      </w:r>
      <w:r>
        <w:t xml:space="preserve">(Sebastian, 2025, p. 3)</w:t>
      </w:r>
      <w:r>
        <w:t xml:space="preserve">. In the context of social recommenders, this translates into a clear boundary: engagement or trust scores generated inside a platform cannot legitimately migrate into gatekeeping functions for unrelated rights or services. Meaningful human oversight is treated as a structural antidote to total scoring. Kostenko bans internal policies or technical configurations that neutralise human supervision, limit non algorithmic review, or replace contextual justification with uniform templates. In sensitive domains such as justice, health, education, labour and finance, increased standards apply: mandatory human participation, double checks for critical decisions, prohibition of predictive policing as a self sufficient intervention basis and external audits, with automatic denial of basic services explicitly disallowed</w:t>
      </w:r>
      <w:r>
        <w:t xml:space="preserve"> </w:t>
      </w:r>
      <w:r>
        <w:t xml:space="preserve">(Kostenko, 2025, p. 127)</w:t>
      </w:r>
      <w:r>
        <w:t xml:space="preserve">. Complementary chapters require event logs that capture model versions, decision grounds, and appeals, together with supervising quality metrics such as cancellation rates and appeal rates, so that "rubberstamping" of automated conclusions can be detected and sanctioned</w:t>
      </w:r>
      <w:r>
        <w:t xml:space="preserve"> </w:t>
      </w:r>
      <w:r>
        <w:t xml:space="preserve">(Kostenko, 2025, p. 129)</w:t>
      </w:r>
      <w:r>
        <w:t xml:space="preserve">. These conditions imply that any recommender based scoring which affects entitlements must be traceable, reviewable and corrigible by humans rather than treated as authoritative. Cross border provisions extend protection against social rating beyond national platforms. Extraterritorial digital jurisdiction is triggered where AI decisions significantly affect human rights, public security, economies or electoral and communication processes in a State, or where training and validation used data from that State without proper basis. When triggered, providers, infrastructure operators, integrators and data brokers are jointly liable and must meet market access conditions that include transparency, compliance with human rights and data protection standards, and due diligence on counterparties through "flow down" clauses</w:t>
      </w:r>
      <w:r>
        <w:t xml:space="preserve"> </w:t>
      </w:r>
      <w:r>
        <w:t xml:space="preserve">(Kostenko, 2025, p. 250)</w:t>
      </w:r>
      <w:r>
        <w:t xml:space="preserve">. This framing anticipates social recommender companies that export engagement scores or influence indices into foreign credit, security or employment systems. An Ethical AI Audit Toolkit aligned with these norms can therefore treat certain configurations as categorically non compliant within this report’s working taxonomy. Code Category C: "Prohibited Total Scoring" would include any practice that: aggregates multi domain data to produce a universal trust or social value index; uses cross platform ID stitching or data broker profiles to extend engagement or reputation scores into credit, hiring or access to services; maintains blacklists or whitelists derived from recommender traces without individual review; or denies opportunities solely on the basis of behavioural scores generated in social feeds</w:t>
      </w:r>
      <w:r>
        <w:t xml:space="preserve"> </w:t>
      </w:r>
      <w:r>
        <w:t xml:space="preserve">(Kostenko, 2025, p. 128; 2025, p. 130)</w:t>
      </w:r>
      <w:r>
        <w:t xml:space="preserve">. Systems that remain within domain specific scoring, exclude proxy discrimination, provide transparent methodologies and guarantee human review could be classified as "Targeted Scoring under Oversight," yet would still require documented fairness audits and external supervisory access, similar to emerging expectations in AI credit decisioning and recruitment auditing</w:t>
      </w:r>
      <w:r>
        <w:t xml:space="preserve"> </w:t>
      </w:r>
      <w:r>
        <w:t xml:space="preserve">(Bahangulu &amp; Owusu-Berko, 2025, p. 6; Bayona, 2025, p. 6; Sebastian, 2025, p. 3)</w:t>
      </w:r>
      <w:r>
        <w:t xml:space="preserve">.</w:t>
      </w:r>
    </w:p>
    <w:bookmarkEnd w:id="68"/>
    <w:bookmarkStart w:id="69" w:name="X5fbfc14aa60e640ee814a689813ebee3597474d"/>
    <w:p>
      <w:pPr>
        <w:pStyle w:val="Heading3"/>
      </w:pPr>
      <w:r>
        <w:rPr>
          <w:rStyle w:val="SectionNumber"/>
        </w:rPr>
        <w:t xml:space="preserve">5.2.3</w:t>
      </w:r>
      <w:r>
        <w:tab/>
      </w:r>
      <w:r>
        <w:t xml:space="preserve">Cultural and Linguistic Diversity in Content Curation</w:t>
      </w:r>
    </w:p>
    <w:p>
      <w:pPr>
        <w:pStyle w:val="FirstParagraph"/>
      </w:pPr>
      <w:r>
        <w:t xml:space="preserve">Cultural and linguistic identity becomes a justice question once content curation systems start imposing dominant narratives or marginalising minority voices. Kostenko formulates a dedicated legal principle that prohibits using algorithms in ways that impose cultural stereotypes, behavioural patterns, consumer habits, or ideological guidelines that contradict a person’s right to preserve national, ethnic, linguistic or religious identity. This principle requires AI providers to avoid algorithmic configurations that normalise a single cultural viewpoint or ridicule minority accents and idioms. For generative and curatorial systems, operators must implement cultural sensitivity mechanisms, bias testing procedures, warning labels for potentially humiliating or stereotyping outputs, and complaint channels that allow rapid correction or deletion of harmful content. Language support is treated as a structural component of non discrimination. All AI and digital information systems operating in the State are obliged to support the state language across interfaces, messages, help materials and feedback channels, and to extend support to languages of national minorities "within the limits of technical feasibility." In education, media and administrative services, a multilingual environment must be created so that translation quality, reference material availability, and response speed do not degrade based on the user’s language. Accessible alternatives are required for users of minority languages, sign language and other communication forms</w:t>
      </w:r>
      <w:r>
        <w:t xml:space="preserve"> </w:t>
      </w:r>
      <w:r>
        <w:t xml:space="preserve">(Kostenko, 2025, p. 182)</w:t>
      </w:r>
      <w:r>
        <w:t xml:space="preserve">. These clauses directly apply to social recommender systems that rank news, entertainment or educational content: multilingual parity is not discretionary but embedded in the notion of equal access. Broader fairness provisions in the same AI Law Model connect cultural and linguistic diversity to discrimination risk. The principle of fairness, non discrimination and inclusiveness forbids models built on distorted or non representative data, algorithms that disproportionately harm vulnerable groups, and systems that ignore cultural specifics or lack bias audits and correction mechanisms</w:t>
      </w:r>
      <w:r>
        <w:t xml:space="preserve"> </w:t>
      </w:r>
      <w:r>
        <w:t xml:space="preserve">(Kostenko, 2025, p. 73)</w:t>
      </w:r>
      <w:r>
        <w:t xml:space="preserve">. Expanded guidance clarifies that prohibited systems include those that distort cultural, linguistic, religious or regional characteristics in ways that misrepresent or exclude group interests, or that are trained on data with systematic biases without proper detection, correction and multidimensional fairness testing. These obligations translate directly into content curation practice: training corpora and engagement logs that underrepresent minority languages or encode stereotyped portrayals cannot be treated as neutral input. Fairness implementation is framed as an ongoing, audited process rather than a one time configuration. Vendors and operators must apply fairness metrics that reflect demographic, social, regional and cultural characteristics of target audiences, for example multi group accuracy, false positive and false negative rate parity and equivalent impact indices, and they must conduct regular audits of datasets, model architectures and decision processes to detect hidden bias. Importantly, they are required to ensure the participation of diverse social, gender, ethnic, age and vulnerable groups in testing, public discussion and ethical review, and to follow a "fairness by design" approach where ethical and social safeguards are built into algorithmic cores from the outset</w:t>
      </w:r>
      <w:r>
        <w:t xml:space="preserve"> </w:t>
      </w:r>
      <w:r>
        <w:t xml:space="preserve">(Kostenko, 2025, p. 75)</w:t>
      </w:r>
      <w:r>
        <w:t xml:space="preserve">. In a social recommender setting, this implies that curation pipelines must be evaluated not only on engagement metrics but also on whether exposure, recommendation quality and correction pathways function equitably across cultural and linguistic communities. Empirical work on AI supported mental health in Nigeria illustrates how linguistic bias in training data can translate into materially different experiences for users. An audit of seven pilots showed that training corpora contained less than</w:t>
      </w:r>
      <w:r>
        <w:t xml:space="preserve"> </w:t>
      </w:r>
      <m:oMath>
        <m:r>
          <m:t>3</m:t>
        </m:r>
        <m:r>
          <m:rPr>
            <m:sty m:val="p"/>
          </m:rPr>
          <m:t>%</m:t>
        </m:r>
      </m:oMath>
      <w:r>
        <w:t xml:space="preserve"> </w:t>
      </w:r>
      <w:r>
        <w:t xml:space="preserve">of Fulfulde, Tiv and Eggon content and that none of the projects published bias audits or model cards. In one SMS chatbot, Fulfulde proverbs were flagged as "hostile"; in another voice stress system, female weeping in Hausa was misclassified as "anger," with clinical consequences such as under detection of PTSD and misallocation of resources. The authors’ randomised trial found that algorithmic sensitivity was higher among urban, literate users and lower in rural, low literacy groups, and that federated retraining plus human mediated interpretation by Community Health Extension Workers (CHEWs) partially mitigated these disparities</w:t>
      </w:r>
      <w:r>
        <w:t xml:space="preserve"> </w:t>
      </w:r>
      <w:r>
        <w:t xml:space="preserve">(Grace Malachi et al., 2025, p. 10)</w:t>
      </w:r>
      <w:r>
        <w:t xml:space="preserve">. These findings demonstrate how culturally unbalanced corpora and monolingual optimisation can systematically disadvantage certain linguistic groups even when overall performance appears acceptable. Process evaluation in the same study highlights how culturally grounded pedagogy and "algorithmic interpreter" roles can realign AI outputs with local epistemologies. CHEWs translated model outputs into culturally meaningful narratives, negotiated consent with nomadic authorities, and identified when recommendations conflicted with communal norms. Mixed audit circles and Pastoral Data Trust governance structures supported shared deliberation over AI outputs and reduced intergroup prejudice</w:t>
      </w:r>
      <w:r>
        <w:t xml:space="preserve"> </w:t>
      </w:r>
      <w:r>
        <w:t xml:space="preserve">(Grace Malachi et al., 2025, p. 11; 2025, p. 2)</w:t>
      </w:r>
      <w:r>
        <w:t xml:space="preserve">. For social recommender systems, this suggests that participatory, linguistically sensitive governance is a practical mechanism for aligning content curation with diversity and inclusion principles, especially where minority languages and oral traditions dominate. Work on AI enabled career counselling reaches similar conclusions about the centrality of multilingual, culturally adapted systems. Malik argues that sustaining equity requires AI to be multilingual and culturally adapted because large language models are primarily trained on English language, high resource corpora that embed cultural assumptions unsuitable for other settings. Responsible implementation therefore demands localisation, cultural adaptation, and testing across diverse groups and populations, with an explicit commitment to avoid harm to non dominant communities</w:t>
      </w:r>
      <w:r>
        <w:t xml:space="preserve"> </w:t>
      </w:r>
      <w:r>
        <w:t xml:space="preserve">(Malik, 2024, p. 9762591)</w:t>
      </w:r>
      <w:r>
        <w:t xml:space="preserve">. This argument directly generalises to recommendation environments where English centric training and globalised engagement metrics can crowd out local languages and culturally specific content. Algorithmic education is identified as a complementary pillar of diversity oriented governance. Kostenko’s accessibility to algorithmic education principle grants everyone a right to knowledge about AI functioning, ethical aspects and risks, and obliges states to integrate AI literacy into curricula across all levels. Public educational platforms must provide AI related materials in multiple languages, adapted to age, profession and social group, and include people with disabilities through assistive technologies. All initiatives must avoid political, religious or commercial bias and support critical evaluation of algorithmic outputs</w:t>
      </w:r>
      <w:r>
        <w:t xml:space="preserve"> </w:t>
      </w:r>
      <w:r>
        <w:t xml:space="preserve">(Kostenko, 2025, p. 98)</w:t>
      </w:r>
      <w:r>
        <w:t xml:space="preserve">. For social recommender audits, this implies that user facing explanations and controls around content curation should be intelligible in the user’s language and framed in ways that support critical reflection on cultural and linguistic skew. Research on AI driven content curation and media diversity in Europe rounds out this picture. Gerr’s mixed methods study applies distributional fairness and diversity indices such as Shannon entropy and Simpson’s diversity index to Facebook, YouTube and TikTok feeds to quantify representation of different perspectives</w:t>
      </w:r>
      <w:r>
        <w:t xml:space="preserve"> </w:t>
      </w:r>
      <w:r>
        <w:t xml:space="preserve">(Mariia, 2025, p. 3)</w:t>
      </w:r>
      <w:r>
        <w:t xml:space="preserve">. The analysis finds that engagement optimised algorithms create echo chambers and reduce exposure to diverse viewpoints, which harms democratic dialogue. Although this work focuses on ideological diversity, it provides a measurement template that can be extended in this report’s working coding matrix to cultural and linguistic diversity: media diversity audits can examine whether minority language content and culturally distinct narratives achieve fair exposure under ranking algorithms</w:t>
      </w:r>
      <w:r>
        <w:t xml:space="preserve"> </w:t>
      </w:r>
      <w:r>
        <w:t xml:space="preserve">(Mariia, 2025, p. 5; 2025, p. 8)</w:t>
      </w:r>
      <w:r>
        <w:t xml:space="preserve">. Finally, HITL grading research demonstrates that interpretability and human agency can correct systematic misreadings of culturally embedded language. In a pilot with 800 essays,</w:t>
      </w:r>
      <w:r>
        <w:t xml:space="preserve"> </w:t>
      </w:r>
      <m:oMath>
        <m:r>
          <m:t>13</m:t>
        </m:r>
        <m:r>
          <m:rPr>
            <m:sty m:val="p"/>
          </m:rPr>
          <m:t>%</m:t>
        </m:r>
      </m:oMath>
      <w:r>
        <w:t xml:space="preserve"> </w:t>
      </w:r>
      <w:r>
        <w:t xml:space="preserve">of AI scores were fully overridden by instructors because the model misinterpreted creative writing, non linear argumentation and culturally embedded language, often from second language writers. SHAP based interpretability allowed educators to detect patterns such as penalising repetition used for rhetorical emphasis and to adjust both scores and model configurations accordingly</w:t>
      </w:r>
      <w:r>
        <w:t xml:space="preserve"> </w:t>
      </w:r>
      <w:r>
        <w:t xml:space="preserve">(Selvam &amp; González Vallejo, 2025, p. 19)</w:t>
      </w:r>
      <w:r>
        <w:t xml:space="preserve">. This case reinforces the need for explainable, human supervised curation processes when algorithms operate across cultures and languages that were under represented or stereotyped in training data.</w:t>
      </w:r>
    </w:p>
    <w:bookmarkEnd w:id="69"/>
    <w:bookmarkEnd w:id="70"/>
    <w:bookmarkStart w:id="74" w:name="wellbeing-safety-and-prevention-of-harm"/>
    <w:p>
      <w:pPr>
        <w:pStyle w:val="Heading2"/>
      </w:pPr>
      <w:r>
        <w:rPr>
          <w:rStyle w:val="SectionNumber"/>
        </w:rPr>
        <w:t xml:space="preserve">5.3</w:t>
      </w:r>
      <w:r>
        <w:tab/>
      </w:r>
      <w:r>
        <w:t xml:space="preserve">Wellbeing, Safety and Prevention of Harm</w:t>
      </w:r>
    </w:p>
    <w:bookmarkStart w:id="71" w:name="sec:psych_social_harm_addictive_design"/>
    <w:p>
      <w:pPr>
        <w:pStyle w:val="Heading3"/>
      </w:pPr>
      <w:r>
        <w:rPr>
          <w:rStyle w:val="SectionNumber"/>
        </w:rPr>
        <w:t xml:space="preserve">5.3.1</w:t>
      </w:r>
      <w:r>
        <w:tab/>
      </w:r>
      <w:r>
        <w:t xml:space="preserve">Psychological and Social Harm from Addictive Design</w:t>
      </w:r>
    </w:p>
    <w:p>
      <w:pPr>
        <w:pStyle w:val="FirstParagraph"/>
      </w:pPr>
      <w:r>
        <w:t xml:space="preserve">Engagement optimisation in social recommender systems generates measurable psychological harms when it is implemented through addictive design patterns. Short video platforms built around neural network based recommendation systems, micro duration clips, infinite scrolling, auto play, and push notifications have been described as deploying an algorithmic "addiction loop" that propels users into an "auto pilot mode" of persistent scrolling. These mechanics are not only associated with increased screen time: among Chinese netizens,</w:t>
      </w:r>
      <w:r>
        <w:t xml:space="preserve"> </w:t>
      </w:r>
      <m:oMath>
        <m:r>
          <m:t>1.074</m:t>
        </m:r>
      </m:oMath>
      <w:r>
        <w:t xml:space="preserve"> </w:t>
      </w:r>
      <w:r>
        <w:t xml:space="preserve">billion short video users represent</w:t>
      </w:r>
      <w:r>
        <w:t xml:space="preserve"> </w:t>
      </w:r>
      <m:oMath>
        <m:r>
          <m:t>95.4</m:t>
        </m:r>
        <m:r>
          <m:rPr>
            <m:sty m:val="p"/>
          </m:rPr>
          <m:t>%</m:t>
        </m:r>
      </m:oMath>
      <w:r>
        <w:t xml:space="preserve"> </w:t>
      </w:r>
      <w:r>
        <w:t xml:space="preserve">of all users, and college students as a core audience show diminished academic concentration, weakened social skills, heightened anxiety and depression, and eventual behavioural addiction when usage becomes excessive</w:t>
      </w:r>
      <w:r>
        <w:t xml:space="preserve"> </w:t>
      </w:r>
      <w:r>
        <w:t xml:space="preserve">(Li, 2026, p. 2)</w:t>
      </w:r>
      <w:r>
        <w:t xml:space="preserve">. Hu’s synthesis of "algorithm driven engagement worship" links infinite scroll and variable reward schedules on platforms such as TikTok to "dopamine driven feedback loops," with empirical validations that users of algorithmically curated feeds exhibit</w:t>
      </w:r>
      <w:r>
        <w:t xml:space="preserve"> </w:t>
      </w:r>
      <m:oMath>
        <m:r>
          <m:t>22</m:t>
        </m:r>
        <m:r>
          <m:rPr>
            <m:sty m:val="p"/>
          </m:rPr>
          <m:t>%</m:t>
        </m:r>
      </m:oMath>
      <w:r>
        <w:t xml:space="preserve"> </w:t>
      </w:r>
      <w:r>
        <w:t xml:space="preserve">higher rates of compulsive checking than users of non algorithmic interfaces</w:t>
      </w:r>
      <w:r>
        <w:t xml:space="preserve"> </w:t>
      </w:r>
      <w:r>
        <w:t xml:space="preserve">(Hu, 2025, p. 2)</w:t>
      </w:r>
      <w:r>
        <w:t xml:space="preserve">. Neurocognitive findings sharpen this risk picture. Prolonged social media use under personalised feeds correlates with reduced gray matter density and reduced prefrontal cortex activity in regions governing impulse control, suggesting structural changes comparable to substance dependence</w:t>
      </w:r>
      <w:r>
        <w:t xml:space="preserve"> </w:t>
      </w:r>
      <w:r>
        <w:t xml:space="preserve">(Hu, 2025, p. 20)</w:t>
      </w:r>
      <w:r>
        <w:t xml:space="preserve">. Short video architectures exacerbate this through variable reward schedules where dopamine surges are tied to the expectancy of the next clip, creating repeated "pursuit</w:t>
      </w:r>
      <w:r>
        <w:t xml:space="preserve"> </w:t>
      </w:r>
      <m:oMath>
        <m:r>
          <m:rPr>
            <m:sty m:val="p"/>
          </m:rPr>
          <m:t>→</m:t>
        </m:r>
      </m:oMath>
      <w:r>
        <w:t xml:space="preserve"> </w:t>
      </w:r>
      <w:r>
        <w:t xml:space="preserve">transient satisfaction</w:t>
      </w:r>
      <w:r>
        <w:t xml:space="preserve"> </w:t>
      </w:r>
      <m:oMath>
        <m:r>
          <m:rPr>
            <m:sty m:val="p"/>
          </m:rPr>
          <m:t>→</m:t>
        </m:r>
      </m:oMath>
      <w:r>
        <w:t xml:space="preserve"> </w:t>
      </w:r>
      <w:r>
        <w:t xml:space="preserve">further pursuit" cycles that elevate reward thresholds and reduce the hedonic value of longer term activities</w:t>
      </w:r>
      <w:r>
        <w:t xml:space="preserve"> </w:t>
      </w:r>
      <w:r>
        <w:t xml:space="preserve">(Li, 2026, p. 3; 2026, p. 4)</w:t>
      </w:r>
      <w:r>
        <w:t xml:space="preserve">. Longitudinal evidence from the Social Media and Wellbeing Study documents that users exposed to hyper personalised feeds exhibit a</w:t>
      </w:r>
      <w:r>
        <w:t xml:space="preserve"> </w:t>
      </w:r>
      <m:oMath>
        <m:r>
          <m:t>23</m:t>
        </m:r>
        <m:r>
          <m:rPr>
            <m:sty m:val="p"/>
          </m:rPr>
          <m:t>%</m:t>
        </m:r>
      </m:oMath>
      <w:r>
        <w:t xml:space="preserve"> </w:t>
      </w:r>
      <w:r>
        <w:t xml:space="preserve">higher incidence of depressive symptoms than controls using chronological content, particularly among adolescents and individuals predisposed to social comparison</w:t>
      </w:r>
      <w:r>
        <w:t xml:space="preserve"> </w:t>
      </w:r>
      <w:r>
        <w:t xml:space="preserve">(Hu, 2025, p. 20)</w:t>
      </w:r>
      <w:r>
        <w:t xml:space="preserve">. These converging findings indicate that addictive design harms mental health through combined behavioural and neurobiological pathways. Addictive design also has social consequences that extend beyond individual symptomatology. Engagement driven prioritisation in algorithmic curation amplifies misinformation and reinforces ideological polarization while users remain largely unaware of the underlying mechanisms</w:t>
      </w:r>
      <w:r>
        <w:t xml:space="preserve"> </w:t>
      </w:r>
      <w:r>
        <w:t xml:space="preserve">(Hu, 2025, p. 19)</w:t>
      </w:r>
      <w:r>
        <w:t xml:space="preserve">. Analysis of content diversity in European platforms shows that AI driven personalisation exposes users to material aligned with pre existing beliefs and systematically diminishes heterogeneous viewpoints, which constrains critical thinking, civic engagement, and informed democratic participation</w:t>
      </w:r>
      <w:r>
        <w:t xml:space="preserve"> </w:t>
      </w:r>
      <w:r>
        <w:t xml:space="preserve">(Mariia, 2025, p. 29)</w:t>
      </w:r>
      <w:r>
        <w:t xml:space="preserve">. Case studies of trending topics demonstrate that algorithmically curated "Explore" and "trending" surfaces intensify political and social polarisation, especially when watch time remains the dominant optimisation metric that favours sensationalist over balanced content</w:t>
      </w:r>
      <w:r>
        <w:t xml:space="preserve"> </w:t>
      </w:r>
      <w:r>
        <w:t xml:space="preserve">(Hu, 2025, p. 3; Mariia, 2025, p. 29)</w:t>
      </w:r>
      <w:r>
        <w:t xml:space="preserve">. From a justice perspective, algorithmic prioritisation of Eurocentric beauty standards on Instagram has been linked to increased body dissatisfaction among adolescent women of color, illustrating how engagement optimisation can entrench cultural harms in specific groups</w:t>
      </w:r>
      <w:r>
        <w:t xml:space="preserve"> </w:t>
      </w:r>
      <w:r>
        <w:t xml:space="preserve">(Hu, 2025, p. 3)</w:t>
      </w:r>
      <w:r>
        <w:t xml:space="preserve">. Regulatory analysis underlines that these harms are now treated as legal concerns rather than incidental side effects. The Digital Services Act investigation into TikTok singles out infinite scrolling, auto play, and push notifications as potential systematic manipulative design that impairs users’ capacity to make free and informed decisions</w:t>
      </w:r>
      <w:r>
        <w:t xml:space="preserve"> </w:t>
      </w:r>
      <w:r>
        <w:t xml:space="preserve">(Li, 2026, p. 2)</w:t>
      </w:r>
      <w:r>
        <w:t xml:space="preserve">. In parallel, the EU AI Act prohibits AI systems that exploit psychological vulnerabilities and bans subliminal or harmful manipulative effects that can significantly harm behaviour, placing such systems in an unacceptable risk tier</w:t>
      </w:r>
      <w:r>
        <w:t xml:space="preserve"> </w:t>
      </w:r>
      <w:r>
        <w:t xml:space="preserve">(T et al., 2026, p. 2248)</w:t>
      </w:r>
      <w:r>
        <w:t xml:space="preserve">. Emerging policy work on a Digital Fairness Act positions "addictive product designs and unfair personalisation" as priority regulatory targets, with enforcement practice already sanctioning deceptive verification flows and potentially addictive platform designs in e commerce</w:t>
      </w:r>
      <w:r>
        <w:t xml:space="preserve"> </w:t>
      </w:r>
      <w:r>
        <w:t xml:space="preserve">(Sanikidze, 2026, p. 390)</w:t>
      </w:r>
      <w:r>
        <w:t xml:space="preserve">. These developments frame addictive interface mechanics as violations of legally recognised rights to free and informed choice, not merely as aggressive marketing. Ethical AI models extend this framing by tying addictive design directly to forbidden conduct. Kostenko’s principle of ethical responsibility prohibits AI systems that manipulate behaviour, cause digital addiction, emotional exhaustion, loss of trust, or suppress autonomy, and requires that system operators maintain users’ psycho emotional comfort and right to an informed decision</w:t>
      </w:r>
      <w:r>
        <w:t xml:space="preserve"> </w:t>
      </w:r>
      <w:r>
        <w:t xml:space="preserve">(Kostenko, 2025, pp. 61–62)</w:t>
      </w:r>
      <w:r>
        <w:t xml:space="preserve">. Confidentiality provisions simultaneously forbid using personal data for advertising, targeted marketing or profiling aimed at influence that restricts or distorts freedom of choice without explicit, informed consent</w:t>
      </w:r>
      <w:r>
        <w:t xml:space="preserve"> </w:t>
      </w:r>
      <w:r>
        <w:t xml:space="preserve">(Kostenko, 2025, p. 45)</w:t>
      </w:r>
      <w:r>
        <w:t xml:space="preserve">. Within this normative architecture, an engagement engine that combines intensive profiling with infinite scroll and variable rewards is not a neutral recommender but a prohibited manipulative system when it yields the depressive, anxiety, compulsion and polarisation patterns described above. Management oriented research on dark commercial patterns in Indian e commerce reveals that manipulation is often encoded in interface structures rather than content alone. A typology of patterns including interface interference, obstruction, nagging and subscription traps demonstrates how platforms exploit System 1 biases such as default bias, scarcity effects and social pressure to secure consent and continuation while loading protective actions with friction. Survey data show high prevalence of surprise charges, coerced consent and difficulty cancelling services, which leads to financial harm, frustration and erosion of trust</w:t>
      </w:r>
      <w:r>
        <w:t xml:space="preserve"> </w:t>
      </w:r>
      <w:r>
        <w:t xml:space="preserve">(Khare et al., 2026, p. 8)</w:t>
      </w:r>
      <w:r>
        <w:t xml:space="preserve">. Although this work focuses on commerce rather than social feeds, the same cognitive mechanisms are engaged when addictive design nudges users toward extended engagement and repeated re entry via notifications, while obscuring exit options or non personalised feed alternatives</w:t>
      </w:r>
      <w:r>
        <w:t xml:space="preserve"> </w:t>
      </w:r>
      <w:r>
        <w:t xml:space="preserve">(Khare et al., 2026, p. 7; Sanikidze, 2026, p. 390)</w:t>
      </w:r>
      <w:r>
        <w:t xml:space="preserve">. Human centred algorithm research proposes that these harms can be translated into operational risk indicators. Hu introduces an Algorithmic Impact Assessment Scale (AIAS 5) that quantifies mental health risk across emotional volatility, sleep disruption, social cohesion, self esteem variance and compulsive usage patterns, and notes that policymakers are beginning to require "digital nutrition labels" that disclose predicted psychological impact scores for feeds</w:t>
      </w:r>
      <w:r>
        <w:t xml:space="preserve"> </w:t>
      </w:r>
      <w:r>
        <w:t xml:space="preserve">(Hu, 2025, p. 20)</w:t>
      </w:r>
      <w:r>
        <w:t xml:space="preserve">. Auditing and public documentation play a comparable role in corporate governance: independent assessments, proactive reporting and audit trails are used to surface ethical liabilities and to show regulators and users that steps have been taken to identify and fix harms</w:t>
      </w:r>
      <w:r>
        <w:t xml:space="preserve"> </w:t>
      </w:r>
      <w:r>
        <w:t xml:space="preserve">(VERMA, 2025, p. 12)</w:t>
      </w:r>
      <w:r>
        <w:t xml:space="preserve">. In parallel, Hu’s study proposes a regulatory toolkit that includes a dynamic transparency index and early warning system for addictive interactions linking neurocognitive metrics to algorithmic feature vectors such as infinite scroll and negative affect dominance</w:t>
      </w:r>
      <w:r>
        <w:t xml:space="preserve"> </w:t>
      </w:r>
      <w:r>
        <w:t xml:space="preserve">(Hu, 2025, p. 19)</w:t>
      </w:r>
      <w:r>
        <w:t xml:space="preserve">. Within this thesis, such instruments will inform this report’s working taxonomy of harm: engagement strategies that materially elevate AIAS style dimensions and produce depressive or compulsive profiles fall into high risk or prohibited zones under a Digital Fairness trajectory, especially when combined with opaque profiling and absence of meaningful exit or non profiled options</w:t>
      </w:r>
      <w:r>
        <w:t xml:space="preserve"> </w:t>
      </w:r>
      <w:r>
        <w:t xml:space="preserve">(Hu, 2025, p. 20; Sanikidze, 2026, p. 390; T et al., 2026, p. 2248)</w:t>
      </w:r>
      <w:r>
        <w:t xml:space="preserve">. Educational HITL systems highlight that AI mediated environments do not inevitably produce harm if designed differently. Human in the loop grading frameworks that maintain educator authority, dual logging, and transparent explanations report reduced processing time, increased grading consistency and improved student trust rather than addiction or disengagement. Students responded positively to transparent, dual sourced feedback, and faculty oversight prevented mechanical or depersonalised appraisal</w:t>
      </w:r>
      <w:r>
        <w:t xml:space="preserve"> </w:t>
      </w:r>
      <w:r>
        <w:t xml:space="preserve">(Selvam &amp; González Vallejo, 2025, p. 21)</w:t>
      </w:r>
      <w:r>
        <w:t xml:space="preserve">. This contrast suggests that design choices, governance structures and human oversight are decisive in determining whether algorithmic systems degrade or support psychological wellbeing, an insight that anchors the pro social pivot strategy developed later in this report</w:t>
      </w:r>
      <w:r>
        <w:t xml:space="preserve"> </w:t>
      </w:r>
      <w:r>
        <w:t xml:space="preserve">(Hu, 2025, p. 19; Kostenko, 2025, pp. 61–62; Selvam &amp; González Vallejo, 2025, p. 21)</w:t>
      </w:r>
      <w:r>
        <w:t xml:space="preserve">.</w:t>
      </w:r>
    </w:p>
    <w:bookmarkEnd w:id="71"/>
    <w:bookmarkStart w:id="72" w:name="X281c3188150d74266c9db312198e02511a0610b"/>
    <w:p>
      <w:pPr>
        <w:pStyle w:val="Heading3"/>
      </w:pPr>
      <w:r>
        <w:rPr>
          <w:rStyle w:val="SectionNumber"/>
        </w:rPr>
        <w:t xml:space="preserve">5.3.2</w:t>
      </w:r>
      <w:r>
        <w:tab/>
      </w:r>
      <w:r>
        <w:t xml:space="preserve">Risk Thresholds and Unacceptable Practices</w:t>
      </w:r>
    </w:p>
    <w:p>
      <w:pPr>
        <w:pStyle w:val="FirstParagraph"/>
      </w:pPr>
      <w:r>
        <w:t xml:space="preserve">Risk boundaries for social recommender systems can be anchored in existing AI risk tiering and explicit prohibitions on manipulative and discriminatory design. The EU AI Act classifies as "unacceptable risk" those AI applications that pose clear threats to fundamental rights, explicitly naming systems that exploit psychological vulnerabilities alongside social scoring and real time biometric surveillance</w:t>
      </w:r>
      <w:r>
        <w:t xml:space="preserve"> </w:t>
      </w:r>
      <w:r>
        <w:t xml:space="preserve">(T et al., 2026, p. 2248)</w:t>
      </w:r>
      <w:r>
        <w:t xml:space="preserve">. Kostenko’s AI Law Model converges on this ceiling by prohibiting AI that manipulates behaviour, causes digital addiction, emotional exhaustion, loss of trust, suppresses autonomy, or promotes discrimination, and by treating ethical responsibility as a mandatory certification criterion for high risk systems</w:t>
      </w:r>
      <w:r>
        <w:t xml:space="preserve"> </w:t>
      </w:r>
      <w:r>
        <w:t xml:space="preserve">(Kostenko, 2025, pp. 61–62)</w:t>
      </w:r>
      <w:r>
        <w:t xml:space="preserve">. These two sources jointly define a hard upper threshold for engagement optimisation: once behaviour shaping crosses into exploitation of psychological vulnerabilities or addiction, systems fall into a prohibited zone. Within this report’s working taxonomy, a Code Category C: "Unacceptable Manipulative Practices" can therefore be defined for audit purposes. This category includes: designs that intentionally exploit psychological vulnerabilities to drive engagement; interface patterns that induce digital addiction through infinite scroll, variable reward schedules and push based re entry without meaningful exit options; and architectures that suppress user autonomy by blocking non profiled recommendations that the DSA treats as mandatory options for very large platforms</w:t>
      </w:r>
      <w:r>
        <w:t xml:space="preserve"> </w:t>
      </w:r>
      <w:r>
        <w:t xml:space="preserve">(Kostenko, 2025, pp. 61–62; T et al., 2026, p. 2248)</w:t>
      </w:r>
      <w:r>
        <w:t xml:space="preserve">. While the Digital Fairness Act remains a trajectory rather than codified law, its stated ambition to regulate "addictive product designs and unfair personalisation" implies that these practices will not merely be discouraged but structurally constrained</w:t>
      </w:r>
      <w:r>
        <w:t xml:space="preserve"> </w:t>
      </w:r>
      <w:r>
        <w:t xml:space="preserve">(Sanikidze, 2026, p. 390)</w:t>
      </w:r>
      <w:r>
        <w:t xml:space="preserve">. A second ceiling arises around discrimination and social rating. Sebastian anticipates that regulators will "legalise" fairness audits in credit systems, mandating pre deployment verification, disparate impact tests across protected classes, ongoing monitoring and mitigation, and he warns that single metric fixes can mask intersectional harms</w:t>
      </w:r>
      <w:r>
        <w:t xml:space="preserve"> </w:t>
      </w:r>
      <w:r>
        <w:t xml:space="preserve">(Sebastian, 2025, p. 14)</w:t>
      </w:r>
      <w:r>
        <w:t xml:space="preserve">. Kostenko’s fairness principle directly prohibits models built on distorted or non representative data, algorithms with disproportionate negative impact on vulnerable groups, and systems lacking bias audits and correction mechanisms, while banning social scoring style "integral assessments" where they influence access to services or rights</w:t>
      </w:r>
      <w:r>
        <w:t xml:space="preserve"> </w:t>
      </w:r>
      <w:r>
        <w:t xml:space="preserve">(Kostenko, 2025, p. 41)</w:t>
      </w:r>
      <w:r>
        <w:t xml:space="preserve">. For social recommender audits, this justifies a Code Category C: "Unacceptable Scoring and Discrimination" that covers any cross domain "trust" or "reliability" index derived from engagement traces and reused for access decisions in education, credit, or employment, as well as unmitigated disparate exposure to harmful or addictive content across demographic groups</w:t>
      </w:r>
      <w:r>
        <w:t xml:space="preserve"> </w:t>
      </w:r>
      <w:r>
        <w:t xml:space="preserve">(Kostenko, 2025, p. 41; Sebastian, 2025, p. 14)</w:t>
      </w:r>
      <w:r>
        <w:t xml:space="preserve">. Between legally prohibited and apparently compliant practice, AIN and related governance frameworks suggest how to set operational thresholds. The Algorithmic Impact Navigator demonstrates in lending that a 30% reduction in processing time is compatible with fairness when denial gaps across protected groups are statistically insignificant, and that routine fairness audits, continuous monitoring and documented bias mitigation prevent small discrepancies from scaling into systemic harm</w:t>
      </w:r>
      <w:r>
        <w:t xml:space="preserve"> </w:t>
      </w:r>
      <w:r>
        <w:t xml:space="preserve">(Leon, 2026, p. 2742041)</w:t>
      </w:r>
      <w:r>
        <w:t xml:space="preserve">. Sebastian similarly describes hybrid human AI governance where human review of borderline cases, compulsory human authorisation for sensitive decisions, and expert panels reviewing systemic patterns are built into workflows, not added as ex post checks</w:t>
      </w:r>
      <w:r>
        <w:t xml:space="preserve"> </w:t>
      </w:r>
      <w:r>
        <w:t xml:space="preserve">(Sebastian, 2025, p. 14)</w:t>
      </w:r>
      <w:r>
        <w:t xml:space="preserve">. Translating these ideas, this report defines a Code Category B: "High Risk but Potentially Mitigable Practices" for recommender configurations that currently rely on engagement maximisation or extensive profiling yet can demonstrate: documented fairness audits; human oversight layers with authority to modify ranking policies; and continuous monitoring tied to pre agreed harm triggers. Unacceptable practice is also a function of governance failure, not only of algorithmic design. Malachi’s trial in the Nigerian Middle Belt illustrates how AI enabled mental health support can improve PTSD remission and social cohesion when embedded in Pastoral Data Trust governance, mixed audit circles, and human intermediaries trained in algorithmic interpretation. Yet the same study documents serious adverse events, including a false positive suicide alert that triggered a violent vigilante patrol and a privacy breach caused by a community health worker bypassing controls, which required model recalibration, device decommissioning and personnel removal</w:t>
      </w:r>
      <w:r>
        <w:t xml:space="preserve"> </w:t>
      </w:r>
      <w:r>
        <w:t xml:space="preserve">(Grace Malachi et al., 2025, p. 5419804)</w:t>
      </w:r>
      <w:r>
        <w:t xml:space="preserve">. These incidents demonstrate that conservative thresholds, strict protocol adherence and enforceable sanctions for misuse are non negotiable guardrails. In this thesis, audit findings that combine high engagement optimisation, weak governance, absence of independent ethical oversight and lack of community accountability mechanisms will be classified in Code Category C regardless of nominal compliance with technical metrics</w:t>
      </w:r>
      <w:r>
        <w:t xml:space="preserve"> </w:t>
      </w:r>
      <w:r>
        <w:t xml:space="preserve">(Grace Malachi et al., 2025, p. 5419804; Kostenko, 2025, pp. 61–62)</w:t>
      </w:r>
      <w:r>
        <w:t xml:space="preserve">. ISO/IEC JTC 1/SC 42 standards and risk based regulations extend these expectations into global practice. Standards such as ISO/IEC 23894 and 24368 operationalise risk management and ethical considerations, while emerging regulations across multiple regions emphasise trustworthiness, transparency and governance for high impact AI</w:t>
      </w:r>
      <w:r>
        <w:t xml:space="preserve"> </w:t>
      </w:r>
      <w:r>
        <w:t xml:space="preserve">(Sankaran, 2025, p. 8589961)</w:t>
      </w:r>
      <w:r>
        <w:t xml:space="preserve">. Research on AI business analytics confirms that failing to incorporate human oversight, bias assessments and compliance with frameworks like the EU AI Act and GDPR exposes organisations to penalties, reputational damage and loss of consumer trust</w:t>
      </w:r>
      <w:r>
        <w:t xml:space="preserve"> </w:t>
      </w:r>
      <w:r>
        <w:t xml:space="preserve">(Bahangulu &amp; Owusu-Berko, 2025, p. 7461574)</w:t>
      </w:r>
      <w:r>
        <w:t xml:space="preserve">. Against this backdrop, any social recommender deployment that neither meets these baseline controls nor respects the unacceptable practice boundaries defined above falls outside the ethically defensible space for engagement optimisation under a Digital Fairness trajectory</w:t>
      </w:r>
      <w:r>
        <w:t xml:space="preserve"> </w:t>
      </w:r>
      <w:r>
        <w:t xml:space="preserve">(Bahangulu &amp; Owusu-Berko, 2025, p. 7461574; Kostenko, 2025, pp. 61–62; Sanikidze, 2026, p. 390; T et al., 2026, p. 2248)</w:t>
      </w:r>
      <w:r>
        <w:t xml:space="preserve">.</w:t>
      </w:r>
    </w:p>
    <w:bookmarkEnd w:id="72"/>
    <w:bookmarkStart w:id="73" w:name="sec:duty_of_care_vulnerable_minors"/>
    <w:p>
      <w:pPr>
        <w:pStyle w:val="Heading3"/>
      </w:pPr>
      <w:r>
        <w:rPr>
          <w:rStyle w:val="SectionNumber"/>
        </w:rPr>
        <w:t xml:space="preserve">5.3.3</w:t>
      </w:r>
      <w:r>
        <w:tab/>
      </w:r>
      <w:r>
        <w:t xml:space="preserve">Duty of Care for Vulnerable and Minor Users</w:t>
      </w:r>
    </w:p>
    <w:p>
      <w:pPr>
        <w:pStyle w:val="FirstParagraph"/>
      </w:pPr>
      <w:r>
        <w:t xml:space="preserve">Duty of care in algorithmic environments acquires its sharpest form where recommender systems interact with minors and other vulnerable users. Kostenko’s principle of digital safety of the child requires that any AI system processing children’s data or influencing decisions about them be "secure by default" along its entire lifecycle: architecture, algorithmic logic, interaction mechanics, data categories, training cycles, purposes of use, and risk profiles must all be understandable, verifiable, and subject to control and explanation. This duty is relational. Developers and operators must maintain internal documentation, data maps, training and update protocols, change logs, Child Impact Assessments and Child Safety Data Sheets, while regulators are entitled to a full technical, legal and ethical dossier including event logs and audit results. Children and their legal representatives must receive accessible interfaces explaining system logic, risks and safety settings such as parental controls, refusal of personalisation and time limits, tailored to age and socio cultural context. Explainability standards are explicitly age sensitive. Systems must deliver meaningful, structured, plain language interpretations of decision logic, including model descriptions, key features, uncertainty levels, human involvement and available alternatives, and must provide tools for children’s rights such as refusal of profiling, data correction and human review. When AI decisions affect a child’s rights, status, access to resources or social reputation, the absence of effective safety mechanisms or the use of manipulative or obscure interfaces is classified as a violation of good governance and of the best interests of the child, authorising regulators to suspend operation, revoke certificates and publish public justifications</w:t>
      </w:r>
      <w:r>
        <w:t xml:space="preserve"> </w:t>
      </w:r>
      <w:r>
        <w:t xml:space="preserve">(Kostenko, 2025, p. 214)</w:t>
      </w:r>
      <w:r>
        <w:t xml:space="preserve">. Age appropriate design provisions sharpen this duty into concrete interface constraints. For minors, defaults must minimise data collection and disable geolocation, biometrics and profiling, while manipulative and addictive mechanics such as endless scrolling, autoplay, streaks, forced quests and penalties for exiting are prohibited. Push notifications must be kept to a minimum and limited to neutral information. Children must see visible "no personalisation" switches, have access to "lesson" or "sleep" modes, simple "why am I seeing this" explanations, and easy undo and deletion controls, and basic access to educational or public services must not be degraded when personalisation is refused</w:t>
      </w:r>
      <w:r>
        <w:t xml:space="preserve"> </w:t>
      </w:r>
      <w:r>
        <w:t xml:space="preserve">(Kostenko, 2025, p. 223)</w:t>
      </w:r>
      <w:r>
        <w:t xml:space="preserve">. These conditions map directly onto short video and social feeds that rely on algorithmic infinite scroll and auto play, which research has tied to dopamine driven feedback loops, compulsive checking and elevated depressive symptoms, particularly among adolescents with immature self control</w:t>
      </w:r>
      <w:r>
        <w:t xml:space="preserve"> </w:t>
      </w:r>
      <w:r>
        <w:t xml:space="preserve">(Hu, 2025, p. 2; Li, 2026, p. 2)</w:t>
      </w:r>
      <w:r>
        <w:t xml:space="preserve">. Protection extends to profiling and monetisation practices. Targeted advertising personalised on children’s psychotypes, neurobehavioral signs or predicted emotional states is banned; automated tracking of emotions, expressions and biometric signs without informed double consent is forbidden, and predictive "life path" profiles for minors are outlawed</w:t>
      </w:r>
      <w:r>
        <w:t xml:space="preserve"> </w:t>
      </w:r>
      <w:r>
        <w:t xml:space="preserve">(Kostenko, 2025, p. 20; 2025, p. 224)</w:t>
      </w:r>
      <w:r>
        <w:t xml:space="preserve">. Monetisation or resale of children’s data, or use for third party model training, is prohibited absent a separate legal basis aligned with the child’s best interests, and "child information invisibility" modes must allow use of services without reconstructable identity</w:t>
      </w:r>
      <w:r>
        <w:t xml:space="preserve"> </w:t>
      </w:r>
      <w:r>
        <w:t xml:space="preserve">(Kostenko, 2025, p. 223; 2025, p. 224)</w:t>
      </w:r>
      <w:r>
        <w:t xml:space="preserve">. In parallel, confidentiality rules bar using personal data for advertising or profiling that restricts or distorts freedom of choice without explicit consent</w:t>
      </w:r>
      <w:r>
        <w:t xml:space="preserve"> </w:t>
      </w:r>
      <w:r>
        <w:t xml:space="preserve">(Kostenko, 2025, p. 44)</w:t>
      </w:r>
      <w:r>
        <w:t xml:space="preserve">. These prohibitions define a duty of care that goes beyond content labelling: business models premised on behavioural advertising targeting minors conflict with the model’s normative baseline. European platform regulation reinforces this orientation. The Digital Services Act introduces a duty of care style "systemic risk" framework for very large online platforms, including obligations to assess and mitigate risks to civic discourse and to provide at least one non profiled recommendation option, with stricter requirements for content harmful to children under the UK Online Safety Act’s parallel duty of care regime</w:t>
      </w:r>
      <w:r>
        <w:t xml:space="preserve"> </w:t>
      </w:r>
      <w:r>
        <w:t xml:space="preserve">(T et al., 2026, p. 2248; 2026, p. 2249)</w:t>
      </w:r>
      <w:r>
        <w:t xml:space="preserve">. UNESCO’s Recommendation on AI Ethics adds a global reference point, calling for transparency, explainability, human oversight and prohibition of AI systems that undermine human rights, together with support for algorithmic diversity to ensure pluralism in information access</w:t>
      </w:r>
      <w:r>
        <w:t xml:space="preserve"> </w:t>
      </w:r>
      <w:r>
        <w:t xml:space="preserve">(T et al., 2026, p. 2249)</w:t>
      </w:r>
      <w:r>
        <w:t xml:space="preserve">. These instruments situate the treatment of minors and vulnerable users within a broader expectation that platforms act as custodians of democratic and psychological welfare, not only as neutral conduits. Operationalising this duty of care requires governance architectures, not only UX changes. Kostenko’s ethical responsibility principle mandates internal ethical audit mechanisms, independent ethics commissions with authority to suspend projects, and annual AI Ethics Impact Reports covering psycho emotional health, social equality and trust</w:t>
      </w:r>
      <w:r>
        <w:t xml:space="preserve"> </w:t>
      </w:r>
      <w:r>
        <w:t xml:space="preserve">(Kostenko, 2025, pp. 61–62)</w:t>
      </w:r>
      <w:r>
        <w:t xml:space="preserve">. Human in the loop grading research demonstrates how such structures can function in practice: model outputs are always subject to educator confirmation, dual logging creates traceable audit trails, and student facing transparency delineates AI versus human feedback, resulting in higher reported trust and alignment with UNESCO and EU oversight expectations</w:t>
      </w:r>
      <w:r>
        <w:t xml:space="preserve"> </w:t>
      </w:r>
      <w:r>
        <w:t xml:space="preserve">(Selvam &amp; González Vallejo, 2025, p. 20)</w:t>
      </w:r>
      <w:r>
        <w:t xml:space="preserve">. Human AI collaborative audit frameworks in corporate settings reach similar conclusions, arguing that clearly defined roles, cognitive load aware interfaces and shared accountability between human experts and AI systems improve detection power without sacrificing professional judgment or ethical standards</w:t>
      </w:r>
      <w:r>
        <w:t xml:space="preserve"> </w:t>
      </w:r>
      <w:r>
        <w:t xml:space="preserve">(Chitturi, 2025, p. 2; 2025, p. 3)</w:t>
      </w:r>
      <w:r>
        <w:t xml:space="preserve">. For this report’s working taxonomy, platforms serving minors or other vulnerable populations that combine intensive profiling, addictive mechanics and lack of documented child safety dossiers fall into a "Code Category C: Prohibited or Critical Risk" zone under a Digital Fairness trajectory. By contrast, services that implement secure defaults, age appropriate explainability, non personalised modes and human overseen audits aligned with CSR style governance structures exemplify a "duty of care compliant" configuration that management teams can aim for when adapting social recommender systems to EU level expectations</w:t>
      </w:r>
      <w:r>
        <w:t xml:space="preserve"> </w:t>
      </w:r>
      <w:r>
        <w:t xml:space="preserve">(Asante &amp; Adeoba, 2026, p. 16; Kostenko, 2025, p. 214; 2025, p. 223)</w:t>
      </w:r>
      <w:r>
        <w:t xml:space="preserve">. Empirical work on recommender systems has shown they often rest on extensive behavioural and biometric inference, meaning that seemingly innocuous signals can be recombined to reveal sensitive traits; in practice this suggests regulators should be alert to how facial, interactional and auxiliary data can be repurposed for psychometric targeting</w:t>
      </w:r>
      <w:r>
        <w:t xml:space="preserve"> </w:t>
      </w:r>
      <w:r>
        <w:t xml:space="preserve">(Bojić et al., 2021, p. 4)</w:t>
      </w:r>
      <w:r>
        <w:t xml:space="preserve">. Such findings may suggest tighter limits on the range of allowable features and stricter transparency about what is inferred from a child’s activity</w:t>
      </w:r>
      <w:r>
        <w:t xml:space="preserve"> </w:t>
      </w:r>
      <w:r>
        <w:t xml:space="preserve">(Bojić et al., 2021, p. 4)</w:t>
      </w:r>
      <w:r>
        <w:t xml:space="preserve">.</w:t>
      </w:r>
    </w:p>
    <w:bookmarkEnd w:id="73"/>
    <w:bookmarkEnd w:id="74"/>
    <w:bookmarkEnd w:id="75"/>
    <w:bookmarkStart w:id="91" w:name="X873d1defaa98cf9476d226568139b1530080f87"/>
    <w:p>
      <w:pPr>
        <w:pStyle w:val="Heading1"/>
      </w:pPr>
      <w:r>
        <w:rPr>
          <w:rStyle w:val="SectionNumber"/>
        </w:rPr>
        <w:t xml:space="preserve">6</w:t>
      </w:r>
      <w:r>
        <w:tab/>
      </w:r>
      <w:r>
        <w:t xml:space="preserve">Qualitative Methodology and Thematic Coding Framework</w:t>
      </w:r>
    </w:p>
    <w:bookmarkStart w:id="78" w:name="overall-qualitative-research-design"/>
    <w:p>
      <w:pPr>
        <w:pStyle w:val="Heading2"/>
      </w:pPr>
      <w:r>
        <w:rPr>
          <w:rStyle w:val="SectionNumber"/>
        </w:rPr>
        <w:t xml:space="preserve">6.1</w:t>
      </w:r>
      <w:r>
        <w:tab/>
      </w:r>
      <w:r>
        <w:t xml:space="preserve">Overall Qualitative Research Design</w:t>
      </w:r>
    </w:p>
    <w:bookmarkStart w:id="76" w:name="sec:choice_secondary_synthesis"/>
    <w:p>
      <w:pPr>
        <w:pStyle w:val="Heading3"/>
      </w:pPr>
      <w:r>
        <w:rPr>
          <w:rStyle w:val="SectionNumber"/>
        </w:rPr>
        <w:t xml:space="preserve">6.1.1</w:t>
      </w:r>
      <w:r>
        <w:tab/>
      </w:r>
      <w:r>
        <w:t xml:space="preserve">Choice of Secondary Qualitative Synthesis</w:t>
      </w:r>
    </w:p>
    <w:p>
      <w:pPr>
        <w:pStyle w:val="FirstParagraph"/>
      </w:pPr>
      <w:r>
        <w:t xml:space="preserve">Secondary qualitative synthesis is adopted here because direct access to proprietary recommender logs, training data, or internal audits is structurally constrained, while rich documentary and empirical material is publicly available across regulatory, managerial and ethical domains. Studies on dark patterns in Indian e commerce explicitly justify a qualitative, descriptive and analytical design that relies exclusively on secondary data to analyse complex digital market practices at the intersection of law, behavioural science and platform governance when primary experimentation or internal platform access is limited</w:t>
      </w:r>
      <w:r>
        <w:t xml:space="preserve"> </w:t>
      </w:r>
      <w:r>
        <w:t xml:space="preserve">(Khare et al., 2026, p. 6)</w:t>
      </w:r>
      <w:r>
        <w:t xml:space="preserve">. This project follows a comparable logic for social recommender systems under EU digital governance. Methodological precedents support this choice. Asante and Adeoba structure their investigation of Communities of Practice, CSR and ethical AI marketing around a literature based qualitative inquiry that uses secondary qualitative research to synthesise dispersed evidence from marketing, information systems, organisational learning and CSR, aiming to build conceptual understanding rather than test predefined hypotheses</w:t>
      </w:r>
      <w:r>
        <w:t xml:space="preserve"> </w:t>
      </w:r>
      <w:r>
        <w:t xml:space="preserve">(Asante &amp; Adeoba, 2026, p. 8)</w:t>
      </w:r>
      <w:r>
        <w:t xml:space="preserve">. They ground this approach in constructivism and inductive reasoning, arguing that secondary qualitative analysis is suited to theory building when empirical access is fragmented and nascent</w:t>
      </w:r>
      <w:r>
        <w:t xml:space="preserve"> </w:t>
      </w:r>
      <w:r>
        <w:t xml:space="preserve">(Asante &amp; Adeoba, 2026, p. 8; 2026, p. 10)</w:t>
      </w:r>
      <w:r>
        <w:t xml:space="preserve">. Malik’s review on AI enabled career counselling adopts a similar conceptual synthesis method, combining theoretical, empirical, policy and practice sources through thematic synthesis to develop a framework aligned with OECD AI Principles and UNESCO recommendations</w:t>
      </w:r>
      <w:r>
        <w:t xml:space="preserve"> </w:t>
      </w:r>
      <w:r>
        <w:t xml:space="preserve">(Malik, 2024, p. 9762591)</w:t>
      </w:r>
      <w:r>
        <w:t xml:space="preserve">. These designs collectively validate an interpretive secondary synthesis for the present thesis. Specific analytic techniques are also directly relevant. Reflexive Thematic Analysis, as operationalised by Asante and Adeoba, structures the movement from familiarisation through coding, theme development and review to interpretive reporting, and is explicitly used to generate conceptual insights from secondary texts</w:t>
      </w:r>
      <w:r>
        <w:t xml:space="preserve"> </w:t>
      </w:r>
      <w:r>
        <w:t xml:space="preserve">(Asante &amp; Adeoba, 2026, p. 10)</w:t>
      </w:r>
      <w:r>
        <w:t xml:space="preserve">. In clinical ethics, verbatim quote based thematic synthesis proceeds through line by line coding, development of descriptive themes and construction of analytical themes that "go beyond" primary study conclusions, using multiple coders and CASP based quality appraisal to minimise bias and increase rigour</w:t>
      </w:r>
      <w:r>
        <w:t xml:space="preserve"> </w:t>
      </w:r>
      <w:r>
        <w:t xml:space="preserve">(Unknown, p. 7)</w:t>
      </w:r>
      <w:r>
        <w:t xml:space="preserve">. Malik’s thematic synthesis likewise relies on iterative coding of multi disciplinary sources to derive thematic clusters and integrate them into a responsible AI framework</w:t>
      </w:r>
      <w:r>
        <w:t xml:space="preserve"> </w:t>
      </w:r>
      <w:r>
        <w:t xml:space="preserve">(Malik, 2024, p. 9762591)</w:t>
      </w:r>
      <w:r>
        <w:t xml:space="preserve">. This thesis adopts these procedures as its analytic backbone: systematic coding of secondary materials, generation of analytical themes around algorithmic addiction, manipulative design and auditability, and explicit documentation of coding and synthesis decisions. The decision to privilege secondary synthesis is also shaped by the type of questions addressed. Bansal’s urgency marketing study shows how semi structured executive interviews, interpreted alongside behavioural economics and digital interface research, can map the organisational logic of tactics such as scarcity cues and psychological targeting without claiming population level measurement</w:t>
      </w:r>
      <w:r>
        <w:t xml:space="preserve"> </w:t>
      </w:r>
      <w:r>
        <w:t xml:space="preserve">(Bansal, 2026, p. 136)</w:t>
      </w:r>
      <w:r>
        <w:t xml:space="preserve">. Khare et al. explicitly argue that where manipulative practices intersect with institutional capacity constraints and proprietary secrecy, doctrinal empirical hybrid designs relying on regulatory and institutional documents and consumer survey evidence are appropriate for evaluating regulatory adequacy</w:t>
      </w:r>
      <w:r>
        <w:t xml:space="preserve"> </w:t>
      </w:r>
      <w:r>
        <w:t xml:space="preserve">(Khare et al., 2026, p. 6)</w:t>
      </w:r>
      <w:r>
        <w:t xml:space="preserve">. In a similar way, this thesis aims to understand how regulatory texts such as the AI Law Model and DSA style regimes articulate duties around risk management, precaution and ethical responsibility, and how these can be translated into an Ethical AI Audit Toolkit, rather than to estimate prevalence of specific addictive patterns</w:t>
      </w:r>
      <w:r>
        <w:t xml:space="preserve"> </w:t>
      </w:r>
      <w:r>
        <w:t xml:space="preserve">(Kostenko, 2025, p. 12; 2025, p. 54)</w:t>
      </w:r>
      <w:r>
        <w:t xml:space="preserve">. Quality and integrity safeguards follow established models. Asante and Adeoba emphasise trustworthiness criteria derived from Lincoln and Guba, including detailed methodological description, systematic documentation of selection and analysis processes, and audit trails to enhance dependability and confirmability</w:t>
      </w:r>
      <w:r>
        <w:t xml:space="preserve"> </w:t>
      </w:r>
      <w:r>
        <w:t xml:space="preserve">(Asante &amp; Adeoba, 2026, p. 10)</w:t>
      </w:r>
      <w:r>
        <w:t xml:space="preserve">. The moral distress review uses NVivo based coding, multi reviewer iteration and CASP scoring to assess study quality and provide a structured basis for synthesis, categorising studies as excellent, good or fair before integration</w:t>
      </w:r>
      <w:r>
        <w:t xml:space="preserve"> </w:t>
      </w:r>
      <w:r>
        <w:t xml:space="preserve">(Unknown, p. 7)</w:t>
      </w:r>
      <w:r>
        <w:t xml:space="preserve">. Malik similarly documents search strategies, inclusion criteria and iterative coding, explicitly noting that the review is not a formal systematic review but a conceptual synthesis tailored to an interdisciplinary question</w:t>
      </w:r>
      <w:r>
        <w:t xml:space="preserve"> </w:t>
      </w:r>
      <w:r>
        <w:t xml:space="preserve">(Malik, 2024, p. 9762591)</w:t>
      </w:r>
      <w:r>
        <w:t xml:space="preserve">. Drawing on these examples, the present study foregrounds transparent documentation of source selection, coding protocols, theme refinement and critical appraisal of each included document’s scope and limitations. Ethical considerations also favour secondary synthesis in this context. Asante and Adeoba highlight that secondary qualitative research avoids direct engagement with human subjects and instead emphasises accurate representation of findings and academic integrity</w:t>
      </w:r>
      <w:r>
        <w:t xml:space="preserve"> </w:t>
      </w:r>
      <w:r>
        <w:t xml:space="preserve">(Asante &amp; Adeoba, 2026, p. 10)</w:t>
      </w:r>
      <w:r>
        <w:t xml:space="preserve">. Khare et al. demonstrate that extensive use of regulatory and institutional reports, judicial decisions such as the BookMyShow case, and national complaint statistics can illuminate consumer protection issues without collecting sensitive behavioural data</w:t>
      </w:r>
      <w:r>
        <w:t xml:space="preserve"> </w:t>
      </w:r>
      <w:r>
        <w:t xml:space="preserve">(Khare et al., 2026, p. 6)</w:t>
      </w:r>
      <w:r>
        <w:t xml:space="preserve">. For a thesis that critiques manipulative social recommender designs while operating under strict non access to proprietary telemetry, this combination of publicly available regulatory texts, institutional reports, academic analyses and survey studies offers a defensible evidentiary base. Finally, the secondary qualitative synthesis aligns with the AI Law Model’s own emphasis on documentary governance. Kostenko calls for Human Rights Impact Assessments, incident logs, and risk management frameworks grounded in internationally recognised standards such as ISO/IEC 23894 and the NIST AI RMF, with governments obliged to maintain methodologies, registers and external peer review for high risk AI</w:t>
      </w:r>
      <w:r>
        <w:t xml:space="preserve"> </w:t>
      </w:r>
      <w:r>
        <w:t xml:space="preserve">(Kostenko, 2025, p. 54)</w:t>
      </w:r>
      <w:r>
        <w:t xml:space="preserve">. Analysing these textual artefacts across jurisdictions through thematic synthesis is therefore not only a methodological necessity but also thematically consistent with the document centric governance models that future Ethical AI Audits must reference</w:t>
      </w:r>
      <w:r>
        <w:t xml:space="preserve"> </w:t>
      </w:r>
      <w:r>
        <w:t xml:space="preserve">(Kostenko, 2025, p. 12; 2025, p. 54)</w:t>
      </w:r>
      <w:r>
        <w:t xml:space="preserve">. Practical guidance on how such audits are constituted, including the roles of external experts, legal advisors and independent contractors in platform audits, appears in recent audit literature and may inform operational decisions about stakeholder involvement and evidence triangulation</w:t>
      </w:r>
      <w:r>
        <w:t xml:space="preserve"> </w:t>
      </w:r>
      <w:r>
        <w:t xml:space="preserve">(Anindita et al., 2025, p. 27)</w:t>
      </w:r>
      <w:r>
        <w:t xml:space="preserve">. This suggests that while secondary synthesis cannot replicate internal telemetry, it can map institutional arrangements and procedural requirements that an Ethical AI Audit Toolkit will need to address</w:t>
      </w:r>
      <w:r>
        <w:t xml:space="preserve"> </w:t>
      </w:r>
      <w:r>
        <w:t xml:space="preserve">(Anindita et al., 2025, p. 27)</w:t>
      </w:r>
      <w:r>
        <w:t xml:space="preserve">. The AI Law Model itself emphasises that transparency should include decision logs, explainability artifacts and clear chains of responsibility for operators and developers, which suggests concrete documentary targets for a secondary synthesis to inspect</w:t>
      </w:r>
      <w:r>
        <w:t xml:space="preserve"> </w:t>
      </w:r>
      <w:r>
        <w:t xml:space="preserve">(Nesterov, 2024, p. 23)</w:t>
      </w:r>
      <w:r>
        <w:t xml:space="preserve">. Such prescriptions, while normative, may also help prioritise which public documents and registries are scrutinised when internal access is impossible</w:t>
      </w:r>
      <w:r>
        <w:t xml:space="preserve"> </w:t>
      </w:r>
      <w:r>
        <w:t xml:space="preserve">(Nesterov, 2024, p. 23)</w:t>
      </w:r>
      <w:r>
        <w:t xml:space="preserve">.</w:t>
      </w:r>
    </w:p>
    <w:bookmarkEnd w:id="76"/>
    <w:bookmarkStart w:id="77" w:name="sec:alignment_rq_methods"/>
    <w:p>
      <w:pPr>
        <w:pStyle w:val="Heading3"/>
      </w:pPr>
      <w:r>
        <w:rPr>
          <w:rStyle w:val="SectionNumber"/>
        </w:rPr>
        <w:t xml:space="preserve">6.1.2</w:t>
      </w:r>
      <w:r>
        <w:tab/>
      </w:r>
      <w:r>
        <w:t xml:space="preserve">Alignment between Research Questions and Methods</w:t>
      </w:r>
    </w:p>
    <w:p>
      <w:pPr>
        <w:pStyle w:val="FirstParagraph"/>
      </w:pPr>
      <w:r>
        <w:t xml:space="preserve">Research questions in this project focus on three issues: how engagement optimised recommenders instantiate manipulative design and algorithmic addiction, how EU style regulation frames duties and prohibitions, and how an Ethical AI Audit Toolkit can be constructed using CSR based organisational governance. A qualitative secondary synthesis is well suited to these questions because they target conceptual relationships between design practices, regulatory texts, and managerial structures rather than statistical effect sizes or internal model performance. Khare et al. explicitly justify a qualitative, descriptive, analytical design relying exclusively on secondary data to analyse dark patterns where primary experimentation or access to proprietary platform data is limited, aiming to "map patterns, interpret behavioural mechanisms, and evaluate regulatory adequacy" instead of estimating causal effects</w:t>
      </w:r>
      <w:r>
        <w:t xml:space="preserve"> </w:t>
      </w:r>
      <w:r>
        <w:t xml:space="preserve">(Khare et al., 2026, p. 6)</w:t>
      </w:r>
      <w:r>
        <w:t xml:space="preserve">. Asante and Adeoba frame a comparable ambition for ethical AI marketing: secondary qualitative research and reflexive thematic analysis are used to integrate fragmented evidence from marketing, information systems, organisational learning and CSR in order to build conceptual understanding of how internal mechanisms support responsible AI implementation</w:t>
      </w:r>
      <w:r>
        <w:t xml:space="preserve"> </w:t>
      </w:r>
      <w:r>
        <w:t xml:space="preserve">(Asante &amp; Adeoba, 2026, p. 8; 2026, p. 10)</w:t>
      </w:r>
      <w:r>
        <w:t xml:space="preserve">. Questions about the adequacy of regulatory responses to manipulative interfaces and addictive design align closely with doctrinal empirical hybrid designs. Khare et al. combine qualitative content analysis of guidelines, enforcement records and judicial decisions with consumer survey synthesis to evaluate how design level regulations and institutional capacity interact in India’s e commerce ecosystem</w:t>
      </w:r>
      <w:r>
        <w:t xml:space="preserve"> </w:t>
      </w:r>
      <w:r>
        <w:t xml:space="preserve">(Khare et al., 2026, p. 6)</w:t>
      </w:r>
      <w:r>
        <w:t xml:space="preserve">. Gerr uses a convergent parallel mixed method: content analysis of policy instruments such as the DSA and EU AI Act is paired with quantitative bias and diversity metrics to assess whether regulatory frameworks meaningfully constrain algorithmic curation on Facebook, YouTube and TikTok</w:t>
      </w:r>
      <w:r>
        <w:t xml:space="preserve"> </w:t>
      </w:r>
      <w:r>
        <w:t xml:space="preserve">(Mariia, 2025, p. 3)</w:t>
      </w:r>
      <w:r>
        <w:t xml:space="preserve">. While this thesis does not reproduce Gerr’s quantitative component, the reliance on policy document analysis and thematic coding of transparency, accountability and diversity provisions is methodologically aligned with a research question that asks how the DSA and a projected Digital Fairness Act together define constraints on social recommender design</w:t>
      </w:r>
      <w:r>
        <w:t xml:space="preserve"> </w:t>
      </w:r>
      <w:r>
        <w:t xml:space="preserve">(Khare et al., 2026, p. 6; Mariia, 2025, p. 3)</w:t>
      </w:r>
      <w:r>
        <w:t xml:space="preserve">. Designing an Ethical AI Audit Toolkit and a pro social pivot strategy requires methods that surface organisational mechanisms and governance levers rather than user level psychometrics. Asante and Adeoba select a constructivist, inductive, secondary qualitative design precisely because ethical AI marketing literature is fragmented and because their objective is to theorise how Communities of Practice and CSR mediate ethical AI implementation</w:t>
      </w:r>
      <w:r>
        <w:t xml:space="preserve"> </w:t>
      </w:r>
      <w:r>
        <w:t xml:space="preserve">(Asante &amp; Adeoba, 2026, p. 8)</w:t>
      </w:r>
      <w:r>
        <w:t xml:space="preserve">. They use Reflexive Thematic Analysis (RTA) to move from familiarisation with sources, through coding and theme development, to an interpretive model linking CoP, CSR and ethical AI strategy</w:t>
      </w:r>
      <w:r>
        <w:t xml:space="preserve"> </w:t>
      </w:r>
      <w:r>
        <w:t xml:space="preserve">(Asante &amp; Adeoba, 2026, p. 10)</w:t>
      </w:r>
      <w:r>
        <w:t xml:space="preserve">. This procedure matches the present thesis aim of developing a coding matrix and thematic structure that connect regulatory obligations, documented dark pattern typologies, and CSR style governance devices into an audit framework. Methodological guidance from mixed methods and qualitative standards further supports alignment. The MMR R HS checklist specifies that rigorous reports clearly describe sampling of documents, analysis procedures for qualitative components, integration logic, and strategies to establish qualitative credibility, dependability and confirmability</w:t>
      </w:r>
      <w:r>
        <w:t xml:space="preserve"> </w:t>
      </w:r>
      <w:r>
        <w:t xml:space="preserve">(Tovin &amp; Wormley, 2023, p. 2)</w:t>
      </w:r>
      <w:r>
        <w:t xml:space="preserve">. Asante and Adeoba operationalise Lincoln and Guba’s trustworthiness criteria through detailed methodological description, audit trails and reflexive interpretation, demonstrating how secondary qualitative projects can still satisfy expectations of rigour</w:t>
      </w:r>
      <w:r>
        <w:t xml:space="preserve"> </w:t>
      </w:r>
      <w:r>
        <w:t xml:space="preserve">(Asante &amp; Adeoba, 2026, p. 10)</w:t>
      </w:r>
      <w:r>
        <w:t xml:space="preserve">. Grounded theory work on ethical consumption and AI enabled finance by Kishore et al. also illustrates how semi structured interviews, iterative coding, constant comparison and analyst triangulation are matched to research questions about identity processes and human AI interaction, while an AI enabled qualitative extension uses thematic analysis to integrate a second dataset on algorithmic decision support</w:t>
      </w:r>
      <w:r>
        <w:t xml:space="preserve"> </w:t>
      </w:r>
      <w:r>
        <w:t xml:space="preserve">(Raaj S. et al., 2026, p. 6)</w:t>
      </w:r>
      <w:r>
        <w:t xml:space="preserve">. In this thesis, the absence of new interviews is an explicit limitation; nevertheless, the same coding logics are applied to documentary material to preserve analytic transparency. A critical constraint for all research questions in this project is the black box nature of proprietary recommendation systems. Asante and Adeoba acknowledge that secondary qualitative designs do not access operational systems but instead work with published accounts and policy texts, and they explicitly identify empirical validation as a future task</w:t>
      </w:r>
      <w:r>
        <w:t xml:space="preserve"> </w:t>
      </w:r>
      <w:r>
        <w:t xml:space="preserve">(Asante &amp; Adeoba, 2026, p. 11)</w:t>
      </w:r>
      <w:r>
        <w:t xml:space="preserve">. Khare et al. similarly position their work as interpretive mapping of manipulation and regulatory response rather than as measurement of algorithm internals, because access to platform data is constrained</w:t>
      </w:r>
      <w:r>
        <w:t xml:space="preserve"> </w:t>
      </w:r>
      <w:r>
        <w:t xml:space="preserve">(Khare et al., 2026, p. 6)</w:t>
      </w:r>
      <w:r>
        <w:t xml:space="preserve">. Aligning with these precedents, this thesis formulates its research questions at the level of observable behaviour, documented harms, and regulatory expectations, and its chosen methods explicitly exclude reverse engineering of ranking code or collection of proprietary telemetry. Finally, alignment is reinforced by sector specific examples where qualitative designs interface with AI governance questions. Malachi et al. use a mixed design in Plateau, Benue and Nasarawa States to examine AI mediated mental health support, combining a controlled trial with an ethnographically informed "CHEW Competency Wheel" that is co designed through qualitative work with community health workers, teachers and storytellers</w:t>
      </w:r>
      <w:r>
        <w:t xml:space="preserve"> </w:t>
      </w:r>
      <w:r>
        <w:t xml:space="preserve">(Grace Malachi et al., 2025, p. 4)</w:t>
      </w:r>
      <w:r>
        <w:t xml:space="preserve">. Their approach shows that questions about how AI systems interact with vulnerable communities and how human interpreters sustain trust require qualitative co design and thematic analysis, not only quantitative outcome measures. Questions in this thesis about pro social pivots and CSR based audit regimes for addictive recommenders sit in an analogous space and are therefore methodologically compatible with secondary, interpretive synthesis grounded in carefully documented thematic coding and explicit integrity constraints</w:t>
      </w:r>
      <w:r>
        <w:t xml:space="preserve"> </w:t>
      </w:r>
      <w:r>
        <w:t xml:space="preserve">(Asante &amp; Adeoba, 2026, p. 8; Grace Malachi et al., 2025, p. 4; Khare et al., 2026, p. 6)</w:t>
      </w:r>
      <w:r>
        <w:t xml:space="preserve">.</w:t>
      </w:r>
    </w:p>
    <w:bookmarkEnd w:id="77"/>
    <w:bookmarkEnd w:id="78"/>
    <w:bookmarkStart w:id="82" w:name="data-sources-and-selection-strategy"/>
    <w:p>
      <w:pPr>
        <w:pStyle w:val="Heading2"/>
      </w:pPr>
      <w:r>
        <w:rPr>
          <w:rStyle w:val="SectionNumber"/>
        </w:rPr>
        <w:t xml:space="preserve">6.2</w:t>
      </w:r>
      <w:r>
        <w:tab/>
      </w:r>
      <w:r>
        <w:t xml:space="preserve">Data Sources and Selection Strategy</w:t>
      </w:r>
    </w:p>
    <w:bookmarkStart w:id="79" w:name="sec:reg_policy_texts_data"/>
    <w:p>
      <w:pPr>
        <w:pStyle w:val="Heading3"/>
      </w:pPr>
      <w:r>
        <w:rPr>
          <w:rStyle w:val="SectionNumber"/>
        </w:rPr>
        <w:t xml:space="preserve">6.2.1</w:t>
      </w:r>
      <w:r>
        <w:tab/>
      </w:r>
      <w:r>
        <w:t xml:space="preserve">Regulatory and Policy Texts as Data</w:t>
      </w:r>
    </w:p>
    <w:p>
      <w:pPr>
        <w:pStyle w:val="FirstParagraph"/>
      </w:pPr>
      <w:r>
        <w:t xml:space="preserve">Regulatory and policy documents form a primary empirical corpus for this qualitative study rather than a mere backdrop. Dark pattern research in India explicitly operationalises guidelines of the Advertising Standards Council of India, Central Consumer Protection Authority advisories, National Consumer Helpline statistics, and consumer commission orders such as the BookMyShow case as data points for analysing manipulative interface practices, enforcement gaps, and institutional capacity</w:t>
      </w:r>
      <w:r>
        <w:t xml:space="preserve"> </w:t>
      </w:r>
      <w:r>
        <w:t xml:space="preserve">(Khare et al., 2026, p. 6)</w:t>
      </w:r>
      <w:r>
        <w:t xml:space="preserve">. This demonstrates that formal texts, interpretive guidance, and enforcement records can be treated as evidence about both normative expectations and real governance performance, not only as legal context. A similar strategy is used in mixed method work on AI driven content curation in Europe, where the DSA (2022), national instruments like the Germany Action Plan (2024), and the EU AI Act (2025) are coded alongside platform policies to derive themes around transparency, accountability and media pluralism</w:t>
      </w:r>
      <w:r>
        <w:t xml:space="preserve"> </w:t>
      </w:r>
      <w:r>
        <w:t xml:space="preserve">(Mariia, 2025, p. 3)</w:t>
      </w:r>
      <w:r>
        <w:t xml:space="preserve">. In this thesis, such documents supply the core material for reconstructing how EU level and model law instruments conceptualise manipulative design, systemic risk, and audit duties for recommender systems. The AI Law Model illustrates why a model statute is itself analytically rich data. Kostenko’s text defines principles such as technological sovereignty, specifying that states may prohibit AI systems if independent audit is impossible, control over critical components is lacking, or critical technological dependence exists, with such systems placed in a special register</w:t>
      </w:r>
      <w:r>
        <w:t xml:space="preserve"> </w:t>
      </w:r>
      <w:r>
        <w:t xml:space="preserve">(Kostenko, 2025, p. 107)</w:t>
      </w:r>
      <w:r>
        <w:t xml:space="preserve">. Generative AI receives a dedicated regime: mandatory registration in a National Register of Generative AI, compulsory labelling and watermarking of AI generated content, explicit bans on manipulative, discriminatory or false outputs, and mandatory independent audits that cover manipulative impact, bias and compliance with privacy and transparency requirements</w:t>
      </w:r>
      <w:r>
        <w:t xml:space="preserve"> </w:t>
      </w:r>
      <w:r>
        <w:t xml:space="preserve">(Kostenko, 2025, p. 31)</w:t>
      </w:r>
      <w:r>
        <w:t xml:space="preserve">. Treating these clauses as data allows this study to code concrete obligations (registration, labelling, auditability, blocking powers) that later become criteria in the Ethical AI Audit Toolkit. European regulatory materials serve a comparable role for platform governance. Analyses of the DSA emphasise that very large online platforms must conduct systemic risk assessments, provide at least one non profiled recommendation option, and submit to annual independent audits, with Article 40 DSA granting data access to regulators and vetted researchers for systemic risk study</w:t>
      </w:r>
      <w:r>
        <w:t xml:space="preserve"> </w:t>
      </w:r>
      <w:r>
        <w:t xml:space="preserve">(Kustura, 2025, p. 7; Meßmer &amp; Degeling, 2023, p. 19)</w:t>
      </w:r>
      <w:r>
        <w:t xml:space="preserve">. Policy work on the impending Digital Fairness Act describes it as a proposal aimed at regulating addictive product designs and unfair personalisation to fill gaps between the DSA, DMA and unfair commercial practices law</w:t>
      </w:r>
      <w:r>
        <w:t xml:space="preserve"> </w:t>
      </w:r>
      <w:r>
        <w:t xml:space="preserve">(Sanikidze, 2026, p. 390)</w:t>
      </w:r>
      <w:r>
        <w:t xml:space="preserve">. In the coding matrix used here, these texts provide discrete variables such as "non profiled feed requirement" or "addictive design as regulatory target" that can be assigned to specific risk themes. Methodologically, using regulatory texts as data aligns with qualitative designs in adjacent fields. A doctrinal empirical hybrid design for dark patterns relies entirely on secondary regulatory and institutional documents plus survey reports, arguing that this is appropriate in contexts where primary experimentation or direct access to proprietary systems is limited</w:t>
      </w:r>
      <w:r>
        <w:t xml:space="preserve"> </w:t>
      </w:r>
      <w:r>
        <w:t xml:space="preserve">(Khare et al., 2026, p. 6)</w:t>
      </w:r>
      <w:r>
        <w:t xml:space="preserve">. Systematic review work on ethical AI in social innovation similarly treats laws, governance guidelines and policy white papers as core data, collected via structured database searches and then subjected to open, axial and selective coding to identify themes such as algorithmic bias, privacy and accountability</w:t>
      </w:r>
      <w:r>
        <w:t xml:space="preserve"> </w:t>
      </w:r>
      <w:r>
        <w:t xml:space="preserve">(Hassen, 2025, p. 3)</w:t>
      </w:r>
      <w:r>
        <w:t xml:space="preserve">. This thesis adopts the same logic: AI acts, platform regulations, model laws and enforcement decisions are coded line by line as textual evidence about duties, prohibitions and governance mechanisms. Regulatory texts also encode risk tiering that feeds directly into this report’s working taxonomy. The EU AI Act’s four level scheme and its classification of systems exploiting psychological vulnerabilities as "unacceptable risk" are reconstructed from legal analysis and used as normative anchors for defining Code Category C in the audit matrix</w:t>
      </w:r>
      <w:r>
        <w:t xml:space="preserve"> </w:t>
      </w:r>
      <w:r>
        <w:t xml:space="preserve">(T et al., 2026, p. 12)</w:t>
      </w:r>
      <w:r>
        <w:t xml:space="preserve">. Kostenko’s explicit bans on manipulative, addictive and discriminatory systems, combined with obligations for state bodies to maintain national registers, conduct audits and block systems where technological sovereignty is compromised, provide a second anchor for categorising unacceptable practice in engagement optimised recommenders</w:t>
      </w:r>
      <w:r>
        <w:t xml:space="preserve"> </w:t>
      </w:r>
      <w:r>
        <w:t xml:space="preserve">(Kostenko, 2025, pp. 61–62; 2025, p. 107)</w:t>
      </w:r>
      <w:r>
        <w:t xml:space="preserve">. Finally, policy documents double as data on institutional capacity and implementation asymmetries. Sikalo’s examination of "imitative modernization" argues that Ukraine’s adoption of GDPR, AI Act, DORA, DSA/DMA, Data Act and eIDAS as reference frameworks has occurred under conditions of insufficient institutional capacity, producing stratification and a "double imitation" mechanism where formal transposition is not matched by effective governance</w:t>
      </w:r>
      <w:r>
        <w:t xml:space="preserve"> </w:t>
      </w:r>
      <w:r>
        <w:t xml:space="preserve">(Sikalo, 2026, p. 19)</w:t>
      </w:r>
      <w:r>
        <w:t xml:space="preserve">. Survey based evaluation of user awareness of GDPR, DSA and the AI Act finds high self assessed digital competence but low ability to recognise hidden manipulation, combined with scepticism about effective enforcement in cross border settings, particularly for non EU countries such as Ukraine</w:t>
      </w:r>
      <w:r>
        <w:t xml:space="preserve"> </w:t>
      </w:r>
      <w:r>
        <w:t xml:space="preserve">(Chukhray &amp; Koval, 2026, p. 10)</w:t>
      </w:r>
      <w:r>
        <w:t xml:space="preserve">. These findings are coded in this study as contextual constraints on any audit toolkit that presumes strong supervisory capacity. Using regulatory and policy texts as primary data therefore serves three functions: it grounds the coding matrix in explicit legal and model law language; it supplies comparative evidence on enforcement and capacity; and it aligns the project with established qualitative methodologies that rely on documentary corpora to theorise governance of opaque, high impact AI systems</w:t>
      </w:r>
      <w:r>
        <w:t xml:space="preserve"> </w:t>
      </w:r>
      <w:r>
        <w:t xml:space="preserve">(Chukhray &amp; Koval, 2026, p. 10; Khare et al., 2026, p. 6; Kostenko, 2025, p. 31; Mariia, 2025, p. 3)</w:t>
      </w:r>
      <w:r>
        <w:t xml:space="preserve">.</w:t>
      </w:r>
    </w:p>
    <w:bookmarkEnd w:id="79"/>
    <w:bookmarkStart w:id="80" w:name="sec:academic_grey_addiction"/>
    <w:p>
      <w:pPr>
        <w:pStyle w:val="Heading3"/>
      </w:pPr>
      <w:r>
        <w:rPr>
          <w:rStyle w:val="SectionNumber"/>
        </w:rPr>
        <w:t xml:space="preserve">6.2.2</w:t>
      </w:r>
      <w:r>
        <w:tab/>
      </w:r>
      <w:r>
        <w:t xml:space="preserve">Academic and Grey Literature on Algorithmic Addiction</w:t>
      </w:r>
    </w:p>
    <w:p>
      <w:pPr>
        <w:pStyle w:val="FirstParagraph"/>
      </w:pPr>
      <w:r>
        <w:t xml:space="preserve">Empirical and conceptual work on compulsive technology use provides the main academic anchor for this project’s coding of algorithmic addiction. Li’s synthesis on short video platforms presents neural network based recommendation engines combined with 15–60 second clips, infinite swipe navigation, auto play, and push notifications as an "addiction loop" that pulls users into an "auto pilot mode" of persistent scrolling, with Chinese usage data indicating average daily durations approaching</w:t>
      </w:r>
      <w:r>
        <w:t xml:space="preserve"> </w:t>
      </w:r>
      <m:oMath>
        <m:r>
          <m:t>60</m:t>
        </m:r>
      </m:oMath>
      <w:r>
        <w:t xml:space="preserve"> </w:t>
      </w:r>
      <w:r>
        <w:t xml:space="preserve">minutes and more than</w:t>
      </w:r>
      <w:r>
        <w:t xml:space="preserve"> </w:t>
      </w:r>
      <m:oMath>
        <m:r>
          <m:t>21</m:t>
        </m:r>
      </m:oMath>
      <w:r>
        <w:t xml:space="preserve"> </w:t>
      </w:r>
      <w:r>
        <w:t xml:space="preserve">sessions, especially among college students</w:t>
      </w:r>
      <w:r>
        <w:t xml:space="preserve"> </w:t>
      </w:r>
      <w:r>
        <w:t xml:space="preserve">(Li, 2026, p. 2; 2026, p. 3)</w:t>
      </w:r>
      <w:r>
        <w:t xml:space="preserve">. Hu’s analysis of "algorithm driven engagement worship" complements this by quantifying a</w:t>
      </w:r>
      <w:r>
        <w:t xml:space="preserve"> </w:t>
      </w:r>
      <m:oMath>
        <m:r>
          <m:t>22</m:t>
        </m:r>
        <m:r>
          <m:rPr>
            <m:sty m:val="p"/>
          </m:rPr>
          <m:t>%</m:t>
        </m:r>
      </m:oMath>
      <w:r>
        <w:t xml:space="preserve"> </w:t>
      </w:r>
      <w:r>
        <w:t xml:space="preserve">higher rate of compulsive checking in algorithmically curated feeds compared with non algorithmic interfaces and by linking such interfaces to increased depressive symptoms and reduced prefrontal activity</w:t>
      </w:r>
      <w:r>
        <w:t xml:space="preserve"> </w:t>
      </w:r>
      <w:r>
        <w:t xml:space="preserve">(Hu, 2025, p. 2; 2025, p. 20)</w:t>
      </w:r>
      <w:r>
        <w:t xml:space="preserve">. These studies are treated as core sources for this report’s working taxonomy of addictive interface patterns and behavioural indicators. Neuropsychological mechanisms are not described in isolation but tied directly to interface mechanics. Li reports dopamine surges at the moment of expectancy before scrolling to the next video and characterises short video content switching as structurally akin to slot machine variable rewards, with chronic high frequency stimulation leading to</w:t>
      </w:r>
      <w:r>
        <w:t xml:space="preserve"> </w:t>
      </w:r>
      <m:oMath>
        <m:r>
          <m:t>Δ</m:t>
        </m:r>
      </m:oMath>
      <w:r>
        <w:t xml:space="preserve">FosB expression and elevated reward thresholds</w:t>
      </w:r>
      <w:r>
        <w:t xml:space="preserve"> </w:t>
      </w:r>
      <w:r>
        <w:t xml:space="preserve">(Li, 2026, p. 3; 2026, p. 4)</w:t>
      </w:r>
      <w:r>
        <w:t xml:space="preserve">. Hu synthesises neuroimaging evidence that associates hyper personalised feeds with reduced gray matter density and diminished prefrontal cortex activity, suggesting convergence between behavioural addiction and substance dependence patterns</w:t>
      </w:r>
      <w:r>
        <w:t xml:space="preserve"> </w:t>
      </w:r>
      <w:r>
        <w:t xml:space="preserve">(Hu, 2025, p. 2; 2025, p. 20)</w:t>
      </w:r>
      <w:r>
        <w:t xml:space="preserve">. These findings are coded under neurobiological correlates of algorithmic addiction in the thematic matrix.</w:t>
      </w:r>
    </w:p>
    <w:p>
      <w:pPr>
        <w:pStyle w:val="BodyText"/>
      </w:pPr>
      <w:r>
        <w:t xml:space="preserve">Qualitative work on human judgement and AI decision support offers a second strand. Kishore et al. use constructivist grounded theory and an AI enabled qualitative extension to examine how students experience AI embedded financial tools, reporting that users see algorithms as advisory rather than authoritative and often override AI recommendations when they conflict with circumstances or emotions</w:t>
      </w:r>
      <w:r>
        <w:t xml:space="preserve"> </w:t>
      </w:r>
      <w:r>
        <w:t xml:space="preserve">(Raaj S. et al., 2026, p. 7)</w:t>
      </w:r>
      <w:r>
        <w:t xml:space="preserve">. They highlight automation bias, explainability gaps and diminished human agency as key themes, which are mapped to this thesis coding categories on perceived control and ethical discomfort in AI mediated environments</w:t>
      </w:r>
      <w:r>
        <w:t xml:space="preserve"> </w:t>
      </w:r>
      <w:r>
        <w:t xml:space="preserve">(Raaj S. et al., 2026, p. 7; 2026, p. 6)</w:t>
      </w:r>
      <w:r>
        <w:t xml:space="preserve">.</w:t>
      </w:r>
    </w:p>
    <w:p>
      <w:pPr>
        <w:pStyle w:val="BodyText"/>
      </w:pPr>
      <w:r>
        <w:t xml:space="preserve">Methodological precedents for synthesising addiction related risks from diverse sources are provided by systematic and conceptual reviews in adjacent domains. Mogoi et al. conduct a PRISMA based systematic review of AI powered mobile proctoring, screening</w:t>
      </w:r>
      <w:r>
        <w:t xml:space="preserve"> </w:t>
      </w:r>
      <m:oMath>
        <m:r>
          <m:t>180</m:t>
        </m:r>
      </m:oMath>
      <w:r>
        <w:t xml:space="preserve"> </w:t>
      </w:r>
      <w:r>
        <w:t xml:space="preserve">records and synthesising</w:t>
      </w:r>
      <w:r>
        <w:t xml:space="preserve"> </w:t>
      </w:r>
      <m:oMath>
        <m:r>
          <m:t>20</m:t>
        </m:r>
      </m:oMath>
      <w:r>
        <w:t xml:space="preserve"> </w:t>
      </w:r>
      <w:r>
        <w:t xml:space="preserve">studies to characterise technical, ethical and institutional challenges including surveillance anxiety, privacy, data governance and algorithmic bias</w:t>
      </w:r>
      <w:r>
        <w:t xml:space="preserve"> </w:t>
      </w:r>
      <w:r>
        <w:t xml:space="preserve">(Mogoi et al., 2025, p. 2; 2025, p. 9)</w:t>
      </w:r>
      <w:r>
        <w:t xml:space="preserve">. Hassen’s systematic literature review on AI in social innovation adopts structured database searches, strict inclusion criteria (English, 2020–2025, ethical or governance focus), and inductive three stage coding to identify themes of algorithmic bias, privacy and an "accountability void"</w:t>
      </w:r>
      <w:r>
        <w:t xml:space="preserve"> </w:t>
      </w:r>
      <w:r>
        <w:t xml:space="preserve">(Hassen, 2025, p. 3)</w:t>
      </w:r>
      <w:r>
        <w:t xml:space="preserve">. Malik’s conceptual synthesis on AI enabled career counselling follows a similar approach, combining peer reviewed articles and policy documents, then using thematic synthesis to derive clusters around equity, governance and human centred design</w:t>
      </w:r>
      <w:r>
        <w:t xml:space="preserve"> </w:t>
      </w:r>
      <w:r>
        <w:t xml:space="preserve">(Malik, 2024, p. 14)</w:t>
      </w:r>
      <w:r>
        <w:t xml:space="preserve">. These designs justify the present study’s reliance on structured secondary searches, inductive coding and theme integration for algorithmic addiction, rather than new primary experiments.</w:t>
      </w:r>
    </w:p>
    <w:p>
      <w:pPr>
        <w:pStyle w:val="BodyText"/>
      </w:pPr>
      <w:r>
        <w:t xml:space="preserve">Exemplar materials and their coding contributions are summarised below for clarity:</w:t>
      </w:r>
    </w:p>
    <w:p>
      <w:pPr>
        <w:pStyle w:val="BodyText"/>
      </w:pPr>
      <w:r>
        <w:t xml:space="preserve">- Li (short video): focuses on infinite scroll, auto play, dopamine cycles, student harms; contributes to coding on interface patterns, temporal discounting, and neurobiological indicators</w:t>
      </w:r>
      <w:r>
        <w:t xml:space="preserve"> </w:t>
      </w:r>
      <w:r>
        <w:t xml:space="preserve">(Li, 2026, p. 2; 2026, p. 3; 2026, p. 4)</w:t>
      </w:r>
      <w:r>
        <w:t xml:space="preserve">.</w:t>
      </w:r>
    </w:p>
    <w:p>
      <w:pPr>
        <w:pStyle w:val="BodyText"/>
      </w:pPr>
      <w:r>
        <w:t xml:space="preserve">- Hu (engagement worship): addresses algorithmic feeds, compulsive checking, depression, polarisation; informs behavioural metrics, mental health outcomes, and systemic risk coding</w:t>
      </w:r>
      <w:r>
        <w:t xml:space="preserve"> </w:t>
      </w:r>
      <w:r>
        <w:t xml:space="preserve">(Hu, 2025, p. 2; 2025, p. 20)</w:t>
      </w:r>
      <w:r>
        <w:t xml:space="preserve">.</w:t>
      </w:r>
    </w:p>
    <w:p>
      <w:pPr>
        <w:pStyle w:val="BodyText"/>
      </w:pPr>
      <w:r>
        <w:t xml:space="preserve">- Kishore et al.: examines student AI finance use, automation bias, human override; mapped to perceived agency, trust, and ethical discomfort categories</w:t>
      </w:r>
      <w:r>
        <w:t xml:space="preserve"> </w:t>
      </w:r>
      <w:r>
        <w:t xml:space="preserve">(Raaj S. et al., 2026, p. 7; 2026, p. 6)</w:t>
      </w:r>
      <w:r>
        <w:t xml:space="preserve">.</w:t>
      </w:r>
    </w:p>
    <w:p>
      <w:pPr>
        <w:pStyle w:val="BodyText"/>
      </w:pPr>
      <w:r>
        <w:t xml:space="preserve">- Mogoi et al.: reviews mobile proctoring, surveillance anxiety, fairness; feeds surveillance related stress, fairness concerns, and governance levers coding</w:t>
      </w:r>
      <w:r>
        <w:t xml:space="preserve"> </w:t>
      </w:r>
      <w:r>
        <w:t xml:space="preserve">(Mogoi et al., 2025, p. 2; 2025, p. 9)</w:t>
      </w:r>
      <w:r>
        <w:t xml:space="preserve">.</w:t>
      </w:r>
    </w:p>
    <w:p>
      <w:pPr>
        <w:pStyle w:val="BodyText"/>
      </w:pPr>
      <w:r>
        <w:t xml:space="preserve">- Hassen: covers AI for social good, algorithmic bias, privacy; codes accountability and bias themes in non commercial AI settings</w:t>
      </w:r>
      <w:r>
        <w:t xml:space="preserve"> </w:t>
      </w:r>
      <w:r>
        <w:t xml:space="preserve">(Hassen, 2025, p. 3)</w:t>
      </w:r>
      <w:r>
        <w:t xml:space="preserve">.</w:t>
      </w:r>
    </w:p>
    <w:p>
      <w:pPr>
        <w:pStyle w:val="BodyText"/>
      </w:pPr>
      <w:r>
        <w:t xml:space="preserve">- Malik: treats AI counselling, digital inequality, policy frameworks; supports coding on equity and access dimensions and multi level policy context</w:t>
      </w:r>
      <w:r>
        <w:t xml:space="preserve"> </w:t>
      </w:r>
      <w:r>
        <w:t xml:space="preserve">(Malik, 2024, p. 14)</w:t>
      </w:r>
      <w:r>
        <w:t xml:space="preserve">.</w:t>
      </w:r>
    </w:p>
    <w:p>
      <w:pPr>
        <w:pStyle w:val="BodyText"/>
      </w:pPr>
      <w:r>
        <w:t xml:space="preserve">Grey materials and model law texts function as a third pillar and are explicitly treated as data. Kostenko’s AI Law Model frames systems that manipulate behaviour, cause digital addiction, emotional exhaustion, loss of trust or suppression of autonomy as prohibited under the principle of ethical responsibility, and it articulates rights to a psycho emotionally safe digital environment free of excessive information flows and digital noise</w:t>
      </w:r>
      <w:r>
        <w:t xml:space="preserve"> </w:t>
      </w:r>
      <w:r>
        <w:t xml:space="preserve">(Kostenko, 2025, pp. 61–62; 2025, p. 119)</w:t>
      </w:r>
      <w:r>
        <w:t xml:space="preserve">. These clauses are coded as normative thresholds for unacceptable addictive practice and later inform Code Category C in this report’s working risk taxonomy. Dark pattern regulation studies in India synthesise consumer surveys, regulator reports and enforcement records to document how manipulative interfaces exploit dual process cognition and nudge sludge dynamics, reinforcing behavioural vulnerabilities even without explicit addiction language</w:t>
      </w:r>
      <w:r>
        <w:t xml:space="preserve"> </w:t>
      </w:r>
      <w:r>
        <w:t xml:space="preserve">(Khare et al., 2026, p. 6; 2026, p. 7)</w:t>
      </w:r>
      <w:r>
        <w:t xml:space="preserve">. Their methodological choice to rely exclusively on secondary regulatory and survey data in the absence of proprietary platform access parallels this thesis reliance on secondary sources for social recommender analysis</w:t>
      </w:r>
      <w:r>
        <w:t xml:space="preserve"> </w:t>
      </w:r>
      <w:r>
        <w:t xml:space="preserve">(Khare et al., 2026, p. 6)</w:t>
      </w:r>
      <w:r>
        <w:t xml:space="preserve">.</w:t>
      </w:r>
    </w:p>
    <w:p>
      <w:pPr>
        <w:pStyle w:val="BodyText"/>
      </w:pPr>
      <w:r>
        <w:t xml:space="preserve">A consistent limitation recurs across these materials. Black box recommender algorithms and behavioural telemetry are not directly available; scholars assess algorithmic addiction through observable UI features, self reported usage patterns, regulatory investigations and documented mental health outcomes instead</w:t>
      </w:r>
      <w:r>
        <w:t xml:space="preserve"> </w:t>
      </w:r>
      <w:r>
        <w:t xml:space="preserve">(Hu, 2025, p. 2; Khare et al., 2026, p. 6; Kostenko, 2025, pp. 61–62; Li, 2026, p. 2)</w:t>
      </w:r>
      <w:r>
        <w:t xml:space="preserve">. This thesis adopts the same constraint and codes sources accordingly, distinguishing between direct empirical measures of compulsive use, inferred neurocognitive mechanisms, and normative or governance responses.</w:t>
      </w:r>
    </w:p>
    <w:bookmarkEnd w:id="80"/>
    <w:bookmarkStart w:id="81" w:name="sec:public_ux_advocacy_reports"/>
    <w:p>
      <w:pPr>
        <w:pStyle w:val="Heading3"/>
      </w:pPr>
      <w:r>
        <w:rPr>
          <w:rStyle w:val="SectionNumber"/>
        </w:rPr>
        <w:t xml:space="preserve">6.2.3</w:t>
      </w:r>
      <w:r>
        <w:tab/>
      </w:r>
      <w:r>
        <w:t xml:space="preserve">Public UX Analyses and Advocacy Reports</w:t>
      </w:r>
    </w:p>
    <w:p>
      <w:pPr>
        <w:pStyle w:val="FirstParagraph"/>
      </w:pPr>
      <w:r>
        <w:t xml:space="preserve">Public UX analyses and advocacy reports constitute a distinct empirical strand in this study’s corpus because they describe interface behaviour, dark patterns, and user harm without requiring privileged access to proprietary code or telemetry. Khare et al. explicitly rely on regulatory audits, institutional reports, and consumer commission decisions to document that approximately</w:t>
      </w:r>
      <w:r>
        <w:t xml:space="preserve"> </w:t>
      </w:r>
      <m:oMath>
        <m:r>
          <m:t>87</m:t>
        </m:r>
        <m:r>
          <m:rPr>
            <m:sty m:val="p"/>
          </m:rPr>
          <m:t>%</m:t>
        </m:r>
      </m:oMath>
      <w:r>
        <w:t xml:space="preserve"> </w:t>
      </w:r>
      <w:r>
        <w:t xml:space="preserve">of major Indian e commerce and digital service platforms deploy at least one dark pattern, treating this figure as evidence that manipulative interface design is a structural feature of platform based commerce rather than a marginal anomaly. Their sampling covers roughly</w:t>
      </w:r>
      <w:r>
        <w:t xml:space="preserve"> </w:t>
      </w:r>
      <m:oMath>
        <m:r>
          <m:t>30</m:t>
        </m:r>
      </m:oMath>
      <w:r>
        <w:t xml:space="preserve"> </w:t>
      </w:r>
      <w:r>
        <w:t xml:space="preserve">high impact platforms selected on market share and regulatory relevance, and their qualitative content analysis codes practices such as interface interference, obstruction, subscription traps, drip pricing, and privacy zuckering against established HCI taxonomies and dual process cognition models. This report treats such UX audits as primary data on how dark patterns appear in live environments and how they map to cognitive biases and consumer harm. Advocacy driven typologies are particularly valuable for the coding matrix. Khare et al. synthesise regulatory circulars, sectoral guidelines, and survey evidence to classify patterns and link them to System 1 biases such as default bias, scarcity effects and social proof, and to "sludge" based choice obstruction that increases friction for protective actions like cancellation or refusal. Their methodology integrates institutional survey results on consumer experiences of deceptive practices, unexpected charges and difficulty cancelling services, which are interpreted through behavioural economics constructs rather than treated as isolated complaints. For this thesis, these UX facing categories directly inform working codes such as "false urgency widgets," "hierarchy manipulation in consent flows," and "roach motel subscription flows," even though specific social platforms are not named in the available excerpt</w:t>
      </w:r>
      <w:r>
        <w:t xml:space="preserve"> </w:t>
      </w:r>
      <w:r>
        <w:t xml:space="preserve">(Khare et al., 2026, p. 7)</w:t>
      </w:r>
      <w:r>
        <w:t xml:space="preserve">. Regulatory advocacy at EU level provides a second UX oriented source type. Sanikidze’s analysis of dark patterns and AI driven manipulation emphasises enforcement actions where interface design was central to the infringement. Platform X received a €120 million fine for "deceptive" verification features, while Temu was preliminarily found in breach of the Digital Services Act and remains under investigation for potentially addictive design, including concerns about making cancellation harder than sign up and using false urgency cues in e commerce flows. These cases are treated in this thesis as documented examples of UX patterns that regulators interpret as unlawful, and they inform high risk entries in this report’s working taxonomy, for instance "Code Category C: deceptive verification and cancellation flows". Cross jurisdictional advocacy materials widen the UX evidence base beyond the EU. Sanikidze describes how the Georgian Competition and Consumer Agency applied an EU aligned unfair practices law to sanction digital dark patterns such as false countdown timers, misleading scarcity messages, fake reviews, and deceptive brand associations, including the case where products were advertised under the "Maxbosch" label while using BOSCH imagery. Although these decisions were not yet applied to AI driven patterns, they document concrete UI elements (timers, stock notices, review widgets, brand imagery) that are recognisable across global platforms and therefore usable as codable UX artefacts in this study’s matrix</w:t>
      </w:r>
      <w:r>
        <w:t xml:space="preserve"> </w:t>
      </w:r>
      <w:r>
        <w:t xml:space="preserve">(Sanikidze, 2026, p. 390)</w:t>
      </w:r>
      <w:r>
        <w:t xml:space="preserve">. A subset of UX and advocacy reports within academic work focus less on consumer transactions and more on AI mediated environments such as proctoring and grading. Mogoi et al.’s systematic review treats AI powered mobile proctoring as a socio technical system and highlights user perceptions of being "constantly watched by a machine and intrusively recorded," linking technical features like facial recognition, gaze tracking and environmental recording directly to surveillance anxiety and fairness concerns. Their synthesis of</w:t>
      </w:r>
      <w:r>
        <w:t xml:space="preserve"> </w:t>
      </w:r>
      <m:oMath>
        <m:r>
          <m:t>20</m:t>
        </m:r>
      </m:oMath>
      <w:r>
        <w:t xml:space="preserve"> </w:t>
      </w:r>
      <w:r>
        <w:t xml:space="preserve">studies emphasises that privacy by design, informed consent and transparent communication about how AI decisions are made are necessary safeguards, which are treated here as UX governance benchmarks for high stakes educational interfaces</w:t>
      </w:r>
      <w:r>
        <w:t xml:space="preserve"> </w:t>
      </w:r>
      <w:r>
        <w:t xml:space="preserve">(Mogoi et al., 2025, p. 2055956)</w:t>
      </w:r>
      <w:r>
        <w:t xml:space="preserve">. Selvam and González Vallejo similarly foreground communication UX in human in the loop grading: syllabi disclosures, explicit tagging of comments as AI generated, human reviewed or human added, and accessible appeal procedures are shown to increase student trust and clarity, based on internal testing of annotated feedback reports</w:t>
      </w:r>
      <w:r>
        <w:t xml:space="preserve"> </w:t>
      </w:r>
      <w:r>
        <w:t xml:space="preserve">(Selvam &amp; González Vallejo, 2025, p. 6805789)</w:t>
      </w:r>
      <w:r>
        <w:t xml:space="preserve">. These design features are coded as positive UX patterns in this report’s working matrix, contrasting with dark patterns coded from e commerce contexts. Methodologically, these UX analyses and advocacy materials complement doctrinal and theoretical sources by anchoring abstract concepts like "manipulative interface" or "secure by default" in observable interface structures. Khare et al. explicitly adopt qualitative content analysis of screenshots, flows and regulatory descriptions to build their typology, while Asante and Adeoba’s Reflexive Thematic Analysis framework provides a precedent for systematically coding such heterogeneous secondary data and for maintaining an audit trail that supports trustworthiness in secondary qualitative synthesis</w:t>
      </w:r>
      <w:r>
        <w:t xml:space="preserve"> </w:t>
      </w:r>
      <w:r>
        <w:t xml:space="preserve">(Asante &amp; Adeoba, 2026, p. 10; Khare et al., 2026, p. 7)</w:t>
      </w:r>
      <w:r>
        <w:t xml:space="preserve">. In the present study, UX oriented reports are therefore coded alongside legal texts and empirical addiction studies, with explicit recognition that internal algorithm logic is inferred only through documented UI behaviour, enforcement decisions and user surveys, not through proprietary telemetry or source code inspection</w:t>
      </w:r>
      <w:r>
        <w:t xml:space="preserve"> </w:t>
      </w:r>
      <w:r>
        <w:t xml:space="preserve">(Asante &amp; Adeoba, 2026, p. 10; Khare et al., 2026, p. 6; Mogoi et al., 2025, p. 2)</w:t>
      </w:r>
      <w:r>
        <w:t xml:space="preserve">.</w:t>
      </w:r>
    </w:p>
    <w:bookmarkEnd w:id="81"/>
    <w:bookmarkEnd w:id="82"/>
    <w:bookmarkStart w:id="86" w:name="development-of-a-working-coding-matrix"/>
    <w:p>
      <w:pPr>
        <w:pStyle w:val="Heading2"/>
      </w:pPr>
      <w:r>
        <w:rPr>
          <w:rStyle w:val="SectionNumber"/>
        </w:rPr>
        <w:t xml:space="preserve">6.3</w:t>
      </w:r>
      <w:r>
        <w:tab/>
      </w:r>
      <w:r>
        <w:t xml:space="preserve">Development of a Working Coding Matrix</w:t>
      </w:r>
    </w:p>
    <w:bookmarkStart w:id="84" w:name="sec:codeA_interface_mechanics"/>
    <w:p>
      <w:pPr>
        <w:pStyle w:val="Heading3"/>
      </w:pPr>
      <w:r>
        <w:rPr>
          <w:rStyle w:val="SectionNumber"/>
        </w:rPr>
        <w:t xml:space="preserve">6.3.1</w:t>
      </w:r>
      <w:r>
        <w:tab/>
      </w:r>
      <w:r>
        <w:t xml:space="preserve">Code A Interface Mechanics and Engagement Features</w:t>
      </w:r>
    </w:p>
    <w:p>
      <w:pPr>
        <w:pStyle w:val="FirstParagraph"/>
      </w:pPr>
      <w:r>
        <w:t xml:space="preserve">Code A in this project’s working coding matrix captures observable interface mechanics and engagement features that are directly implicated in algorithmic addiction and manipulative design. Coding proceeds at the level of concrete UI elements and interaction flows rather than inferred internal ranking logic, consistent with the methodological constraint that proprietary algorithms are assessed via published secondary descriptions of behaviour, not direct access to code or telemetry</w:t>
      </w:r>
      <w:r>
        <w:t xml:space="preserve"> </w:t>
      </w:r>
      <w:r>
        <w:t xml:space="preserve">(Khare et al., 2026, p. 6; Li, 2026, p. 2)</w:t>
      </w:r>
      <w:r>
        <w:t xml:space="preserve">. Three main clusters structure Code A:</w:t>
      </w:r>
    </w:p>
    <w:p>
      <w:pPr>
        <w:numPr>
          <w:ilvl w:val="0"/>
          <w:numId w:val="1002"/>
        </w:numPr>
      </w:pPr>
      <w:r>
        <w:t xml:space="preserve">high frequency, low friction engagement loops;</w:t>
      </w:r>
    </w:p>
    <w:p>
      <w:pPr>
        <w:numPr>
          <w:ilvl w:val="0"/>
          <w:numId w:val="1002"/>
        </w:numPr>
      </w:pPr>
      <w:r>
        <w:t xml:space="preserve">salience and urgency constructs within interfaces;</w:t>
      </w:r>
    </w:p>
    <w:p>
      <w:pPr>
        <w:numPr>
          <w:ilvl w:val="0"/>
          <w:numId w:val="1002"/>
        </w:numPr>
      </w:pPr>
      <w:r>
        <w:t xml:space="preserve">fairness and transparency supporting mechanics.</w:t>
      </w:r>
    </w:p>
    <w:p>
      <w:pPr>
        <w:pStyle w:val="FirstParagraph"/>
      </w:pPr>
      <w:r>
        <w:t xml:space="preserve">Short video platforms provide the core template for the first cluster. Li describes infinite swipe feeds of</w:t>
      </w:r>
      <w:r>
        <w:t xml:space="preserve"> </w:t>
      </w:r>
      <m:oMath>
        <m:r>
          <m:t>15</m:t>
        </m:r>
      </m:oMath>
      <w:r>
        <w:t xml:space="preserve">–</w:t>
      </w:r>
      <m:oMath>
        <m:r>
          <m:t>60</m:t>
        </m:r>
      </m:oMath>
      <w:r>
        <w:t xml:space="preserve"> </w:t>
      </w:r>
      <w:r>
        <w:t xml:space="preserve">second clips, auto play, and push notifications as an "addiction loop" that shifts users into "auto pilot" scrolling, with average daily use on Douyin approaching</w:t>
      </w:r>
      <w:r>
        <w:t xml:space="preserve"> </w:t>
      </w:r>
      <m:oMath>
        <m:r>
          <m:t>60</m:t>
        </m:r>
      </m:oMath>
      <w:r>
        <w:t xml:space="preserve"> </w:t>
      </w:r>
      <w:r>
        <w:t xml:space="preserve">minutes and more than</w:t>
      </w:r>
      <w:r>
        <w:t xml:space="preserve"> </w:t>
      </w:r>
      <m:oMath>
        <m:r>
          <m:t>21</m:t>
        </m:r>
      </m:oMath>
      <w:r>
        <w:t xml:space="preserve"> </w:t>
      </w:r>
      <w:r>
        <w:t xml:space="preserve">sessions, especially among college students</w:t>
      </w:r>
      <w:r>
        <w:t xml:space="preserve"> </w:t>
      </w:r>
      <w:r>
        <w:t xml:space="preserve">(Li, 2026, p. 2; 2026, p. 3)</w:t>
      </w:r>
      <w:r>
        <w:t xml:space="preserve">. Hu links infinite scrolling interfaces and variable reward schedules on platforms such as TikTok to "dopamine driven feedback loops," reporting</w:t>
      </w:r>
      <w:r>
        <w:t xml:space="preserve"> </w:t>
      </w:r>
      <m:oMath>
        <m:r>
          <m:t>22</m:t>
        </m:r>
        <m:r>
          <m:rPr>
            <m:sty m:val="p"/>
          </m:rPr>
          <m:t>%</m:t>
        </m:r>
      </m:oMath>
      <w:r>
        <w:t xml:space="preserve"> </w:t>
      </w:r>
      <w:r>
        <w:t xml:space="preserve">higher compulsive checking in algorithmically curated feeds than in non algorithmic interfaces and associating prolonged use with reduced prefrontal activity and increased depressive symptoms</w:t>
      </w:r>
      <w:r>
        <w:t xml:space="preserve"> </w:t>
      </w:r>
      <w:r>
        <w:t xml:space="preserve">(Hu, 2025, p. 2; 2025, p. 20)</w:t>
      </w:r>
      <w:r>
        <w:t xml:space="preserve">. Within Code A, these findings motivate discrete subcodes such as: - A1: infinite scroll or continuous swipe based feeds; - A2: auto play of subsequent items without explicit user initiation; - A3: high frequency push notifications that invite re entry. Each subcode is binary (present/absent) at the feature level and is annotated with contextual notes where sources provide population specific harms, for example heightened anxiety and depression among students</w:t>
      </w:r>
      <w:r>
        <w:t xml:space="preserve"> </w:t>
      </w:r>
      <w:r>
        <w:t xml:space="preserve">(Hu, 2025, p. 2; Li, 2026, p. 2)</w:t>
      </w:r>
      <w:r>
        <w:t xml:space="preserve">. Urgency and salience features form the second cluster. In e commerce, Bansal’s interview based thematic analysis shows that countdown timers, stock alerts such as "only two left," and expiring discounts are deployed as time sensitive scarcity cues integrated into broader urgency oriented commercial systems</w:t>
      </w:r>
      <w:r>
        <w:t xml:space="preserve"> </w:t>
      </w:r>
      <w:r>
        <w:t xml:space="preserve">(Bansal, 2026, p. 136)</w:t>
      </w:r>
      <w:r>
        <w:t xml:space="preserve">. Khare et al. synthesise audits of approximately</w:t>
      </w:r>
      <w:r>
        <w:t xml:space="preserve"> </w:t>
      </w:r>
      <m:oMath>
        <m:r>
          <m:t>30</m:t>
        </m:r>
      </m:oMath>
      <w:r>
        <w:t xml:space="preserve"> </w:t>
      </w:r>
      <w:r>
        <w:t xml:space="preserve">major Indian platforms and document widespread "false urgency" and "interface interference," where misleading countdowns and visually dominant prompts steer users toward platform preferred options</w:t>
      </w:r>
      <w:r>
        <w:t xml:space="preserve"> </w:t>
      </w:r>
      <w:r>
        <w:t xml:space="preserve">(Khare et al., 2026, p. 7)</w:t>
      </w:r>
      <w:r>
        <w:t xml:space="preserve">. Code A therefore introduces: - A4: countdown timers or low stock labels linked to purchase or sign up flows; - A5: visual hierarchy manipulation that privileges acceptance or continuation options over exit or decline. These codes are linked analytically to behavioural triggers such as loss aversion and default bias as conceptualised in the urgency marketing and dark pattern studies, but the coding itself records only the observable UI tactic, consistent with strict evidence constraints</w:t>
      </w:r>
      <w:r>
        <w:t xml:space="preserve"> </w:t>
      </w:r>
      <w:r>
        <w:t xml:space="preserve">(Bansal, 2026, p. 136; Khare et al., 2026, p. 7)</w:t>
      </w:r>
      <w:r>
        <w:t xml:space="preserve">. A smaller but important group of mechanics supports or undermines transparency and human oversight. Human in the loop grading research reports that explicit labelling of AI generated versus instructor comments, visible override mechanisms, and clear documentation of rubric criteria increased student trust and preserved faculty authority over final scores</w:t>
      </w:r>
      <w:r>
        <w:t xml:space="preserve"> </w:t>
      </w:r>
      <w:r>
        <w:t xml:space="preserve">(Selvam &amp; González Vallejo, 2025, p. 20; 2025, p. 21)</w:t>
      </w:r>
      <w:r>
        <w:t xml:space="preserve">. The AI Law Model similarly requires that AI outputs in education be explicitly labelled, that auto confirmation modes be prohibited, and that each use of AI in assessment be logged with model identifiers and a record of the teacher’s decision</w:t>
      </w:r>
      <w:r>
        <w:t xml:space="preserve"> </w:t>
      </w:r>
      <w:r>
        <w:t xml:space="preserve">(Kostenko, 2025, p. 59.1)</w:t>
      </w:r>
      <w:r>
        <w:t xml:space="preserve">. Drawing on these sources, Code A includes: - A6: explicit AI labelling of content or recommendations; - A7: visible "no personalisation" or alternative mode toggles; - A8: indications of human validation or oversight where AI is involved. Although these features come from educational contexts, their presence or absence in social recommender interfaces will be coded because they signal whether engagement optimisation is coupled to meaningful human control and explainability</w:t>
      </w:r>
      <w:r>
        <w:t xml:space="preserve"> </w:t>
      </w:r>
      <w:r>
        <w:t xml:space="preserve">(Kostenko, 2025, p. 59.1; Selvam &amp; González Vallejo, 2025, p. 20)</w:t>
      </w:r>
      <w:r>
        <w:t xml:space="preserve">. Related work on AI-driven review systems highlights how opaque generation and curation practices can erode user trust and raise privacy concerns, which in turn suggests that explicit labels, clear consent mechanisms, and audit logs may help restore confidence in automated outputs</w:t>
      </w:r>
      <w:r>
        <w:t xml:space="preserve"> </w:t>
      </w:r>
      <w:r>
        <w:t xml:space="preserve">(Khushboo Sharma, 2024, p. 4)</w:t>
      </w:r>
      <w:r>
        <w:t xml:space="preserve">. Such findings reinforce the analytic choice to code visible transparency affordances separately from inferred algorithmic behaviour, since the former are both observable and likely to influence user perceptions</w:t>
      </w:r>
      <w:r>
        <w:t xml:space="preserve"> </w:t>
      </w:r>
      <w:r>
        <w:t xml:space="preserve">(Khushboo Sharma, 2024, p. 4)</w:t>
      </w:r>
      <w:r>
        <w:t xml:space="preserve">. Table </w:t>
      </w:r>
      <w:hyperlink w:anchor="tab:codeA_slots">
        <w:r>
          <w:rPr>
            <w:rStyle w:val="Hyperlink"/>
          </w:rPr>
          <w:t xml:space="preserve">3</w:t>
        </w:r>
      </w:hyperlink>
      <w:r>
        <w:t xml:space="preserve"> </w:t>
      </w:r>
      <w:r>
        <w:t xml:space="preserve">summarises Code A slot definitions and their primary supporting sources.</w:t>
      </w:r>
    </w:p>
    <w:bookmarkStart w:id="83" w:name="tab:codeA_slots"/>
    <w:p>
      <w:pPr>
        <w:pStyle w:val="TableCaption"/>
      </w:pPr>
      <w:r>
        <w:t xml:space="preserve">Code A slot definitions for interface mechanics and engagement features</w:t>
      </w:r>
    </w:p>
    <w:tbl>
      <w:tblPr>
        <w:tblStyle w:val="Table"/>
        <w:tblW w:type="auto" w:w="0"/>
        <w:jc w:val="left"/>
        <w:tblLook w:firstRow="1" w:lastRow="0" w:firstColumn="0" w:lastColumn="0" w:noHBand="0" w:noVBand="0" w:val="0020"/>
        <w:tblCaption w:val="Code A slot definitions for interface mechanics and engagement features"/>
      </w:tblPr>
      <w:tblGrid>
        <w:gridCol w:w="2640"/>
        <w:gridCol w:w="2640"/>
        <w:gridCol w:w="2640"/>
      </w:tblGrid>
      <w:tr>
        <w:trPr>
          <w:tblHeader w:val="on"/>
        </w:trPr>
        <w:tc>
          <w:tcPr/>
          <w:p>
            <w:pPr>
              <w:pStyle w:val="Compact"/>
              <w:jc w:val="left"/>
            </w:pPr>
            <w:r>
              <w:t xml:space="preserve">Slot</w:t>
            </w:r>
          </w:p>
        </w:tc>
        <w:tc>
          <w:tcPr/>
          <w:p>
            <w:pPr>
              <w:pStyle w:val="Compact"/>
              <w:jc w:val="left"/>
            </w:pPr>
            <w:r>
              <w:t xml:space="preserve">Description</w:t>
            </w:r>
          </w:p>
        </w:tc>
        <w:tc>
          <w:tcPr/>
          <w:p>
            <w:pPr>
              <w:pStyle w:val="Compact"/>
              <w:jc w:val="left"/>
            </w:pPr>
            <w:r>
              <w:t xml:space="preserve">Key sources</w:t>
            </w:r>
          </w:p>
        </w:tc>
      </w:tr>
      <w:tr>
        <w:tc>
          <w:tcPr/>
          <w:p>
            <w:pPr>
              <w:pStyle w:val="Compact"/>
              <w:jc w:val="left"/>
            </w:pPr>
            <w:r>
              <w:t xml:space="preserve">A1</w:t>
            </w:r>
          </w:p>
        </w:tc>
        <w:tc>
          <w:tcPr/>
          <w:p>
            <w:pPr>
              <w:pStyle w:val="Compact"/>
              <w:jc w:val="left"/>
            </w:pPr>
            <w:r>
              <w:t xml:space="preserve">Infinite scroll or continuous feed without natural stop cues</w:t>
            </w:r>
          </w:p>
        </w:tc>
        <w:tc>
          <w:tcPr/>
          <w:p>
            <w:pPr>
              <w:pStyle w:val="Compact"/>
              <w:jc w:val="left"/>
            </w:pPr>
            <w:r>
              <w:t xml:space="preserve">Short video "addiction loop," persistent scrolling</w:t>
            </w:r>
            <w:r>
              <w:t xml:space="preserve"> </w:t>
            </w:r>
            <w:r>
              <w:t xml:space="preserve">(Li, 2026, p. 2; 2026, p. 3)</w:t>
            </w:r>
            <w:r>
              <w:t xml:space="preserve">; dopamine driven checking</w:t>
            </w:r>
            <w:r>
              <w:t xml:space="preserve"> </w:t>
            </w:r>
            <w:r>
              <w:t xml:space="preserve">(Hu, 2025, p. 2)</w:t>
            </w:r>
          </w:p>
        </w:tc>
      </w:tr>
      <w:tr>
        <w:tc>
          <w:tcPr/>
          <w:p>
            <w:pPr>
              <w:pStyle w:val="Compact"/>
              <w:jc w:val="left"/>
            </w:pPr>
            <w:r>
              <w:t xml:space="preserve">A2</w:t>
            </w:r>
          </w:p>
        </w:tc>
        <w:tc>
          <w:tcPr/>
          <w:p>
            <w:pPr>
              <w:pStyle w:val="Compact"/>
              <w:jc w:val="left"/>
            </w:pPr>
            <w:r>
              <w:t xml:space="preserve">Auto play of next item without user click/tap</w:t>
            </w:r>
          </w:p>
        </w:tc>
        <w:tc>
          <w:tcPr/>
          <w:p>
            <w:pPr>
              <w:pStyle w:val="Compact"/>
              <w:jc w:val="left"/>
            </w:pPr>
            <w:r>
              <w:t xml:space="preserve">Auto play in short video architectures</w:t>
            </w:r>
            <w:r>
              <w:t xml:space="preserve"> </w:t>
            </w:r>
            <w:r>
              <w:t xml:space="preserve">(Li, 2026, p. 2)</w:t>
            </w:r>
          </w:p>
        </w:tc>
      </w:tr>
      <w:tr>
        <w:tc>
          <w:tcPr/>
          <w:p>
            <w:pPr>
              <w:pStyle w:val="Compact"/>
              <w:jc w:val="left"/>
            </w:pPr>
            <w:r>
              <w:t xml:space="preserve">A3</w:t>
            </w:r>
          </w:p>
        </w:tc>
        <w:tc>
          <w:tcPr/>
          <w:p>
            <w:pPr>
              <w:pStyle w:val="Compact"/>
              <w:jc w:val="left"/>
            </w:pPr>
            <w:r>
              <w:t xml:space="preserve">High frequency, behaviour based push notifications</w:t>
            </w:r>
          </w:p>
        </w:tc>
        <w:tc>
          <w:tcPr/>
          <w:p>
            <w:pPr>
              <w:pStyle w:val="Compact"/>
              <w:jc w:val="left"/>
            </w:pPr>
            <w:r>
              <w:t xml:space="preserve">Push notifications within addiction loop</w:t>
            </w:r>
            <w:r>
              <w:t xml:space="preserve"> </w:t>
            </w:r>
            <w:r>
              <w:t xml:space="preserve">(Li, 2026, p. 2; 2026, p. 3)</w:t>
            </w:r>
          </w:p>
        </w:tc>
      </w:tr>
      <w:tr>
        <w:tc>
          <w:tcPr/>
          <w:p>
            <w:pPr>
              <w:pStyle w:val="Compact"/>
              <w:jc w:val="left"/>
            </w:pPr>
            <w:r>
              <w:t xml:space="preserve">A4</w:t>
            </w:r>
          </w:p>
        </w:tc>
        <w:tc>
          <w:tcPr/>
          <w:p>
            <w:pPr>
              <w:pStyle w:val="Compact"/>
              <w:jc w:val="left"/>
            </w:pPr>
            <w:r>
              <w:t xml:space="preserve">Countdown timers or scarcity banners in decision flows</w:t>
            </w:r>
          </w:p>
        </w:tc>
        <w:tc>
          <w:tcPr/>
          <w:p>
            <w:pPr>
              <w:pStyle w:val="Compact"/>
              <w:jc w:val="left"/>
            </w:pPr>
            <w:r>
              <w:t xml:space="preserve">Urgency marketing cues</w:t>
            </w:r>
            <w:r>
              <w:t xml:space="preserve"> </w:t>
            </w:r>
            <w:r>
              <w:t xml:space="preserve">(Bansal, 2026, p. 136)</w:t>
            </w:r>
            <w:r>
              <w:t xml:space="preserve">; false urgency patterns</w:t>
            </w:r>
          </w:p>
        </w:tc>
      </w:tr>
      <w:tr>
        <w:tc>
          <w:tcPr/>
          <w:p>
            <w:pPr>
              <w:pStyle w:val="Compact"/>
              <w:jc w:val="left"/>
            </w:pPr>
            <w:r>
              <w:t xml:space="preserve">A5</w:t>
            </w:r>
          </w:p>
        </w:tc>
        <w:tc>
          <w:tcPr/>
          <w:p>
            <w:pPr>
              <w:pStyle w:val="Compact"/>
              <w:jc w:val="left"/>
            </w:pPr>
            <w:r>
              <w:t xml:space="preserve">Visual or interaction hierarchy favouring acceptance over refusal</w:t>
            </w:r>
          </w:p>
        </w:tc>
        <w:tc>
          <w:tcPr/>
          <w:p>
            <w:pPr>
              <w:pStyle w:val="Compact"/>
              <w:jc w:val="left"/>
            </w:pPr>
            <w:r>
              <w:t xml:space="preserve">Interface interference and obstruction</w:t>
            </w:r>
            <w:r>
              <w:t xml:space="preserve"> </w:t>
            </w:r>
            <w:r>
              <w:t xml:space="preserve">(Khare et al., 2026, p. 7)</w:t>
            </w:r>
          </w:p>
        </w:tc>
      </w:tr>
      <w:tr>
        <w:tc>
          <w:tcPr/>
          <w:p>
            <w:pPr>
              <w:pStyle w:val="Compact"/>
              <w:jc w:val="left"/>
            </w:pPr>
            <w:r>
              <w:t xml:space="preserve">A6</w:t>
            </w:r>
          </w:p>
        </w:tc>
        <w:tc>
          <w:tcPr/>
          <w:p>
            <w:pPr>
              <w:pStyle w:val="Compact"/>
              <w:jc w:val="left"/>
            </w:pPr>
            <w:r>
              <w:t xml:space="preserve">Explicit labelling of AI generated outputs</w:t>
            </w:r>
          </w:p>
        </w:tc>
        <w:tc>
          <w:tcPr/>
          <w:p>
            <w:pPr>
              <w:pStyle w:val="Compact"/>
              <w:jc w:val="left"/>
            </w:pPr>
            <w:r>
              <w:t xml:space="preserve">Labelling requirements in education</w:t>
            </w:r>
            <w:r>
              <w:t xml:space="preserve"> </w:t>
            </w:r>
            <w:r>
              <w:t xml:space="preserve">(Kostenko, 2025, p. 59.1)</w:t>
            </w:r>
            <w:r>
              <w:t xml:space="preserve">; dual sourced feedback UI</w:t>
            </w:r>
            <w:r>
              <w:t xml:space="preserve"> </w:t>
            </w:r>
            <w:r>
              <w:t xml:space="preserve">(Selvam &amp; González Vallejo, 2025, p. 20)</w:t>
            </w:r>
          </w:p>
        </w:tc>
      </w:tr>
      <w:tr>
        <w:tc>
          <w:tcPr/>
          <w:p>
            <w:pPr>
              <w:pStyle w:val="Compact"/>
              <w:jc w:val="left"/>
            </w:pPr>
            <w:r>
              <w:t xml:space="preserve">A7</w:t>
            </w:r>
          </w:p>
        </w:tc>
        <w:tc>
          <w:tcPr/>
          <w:p>
            <w:pPr>
              <w:pStyle w:val="Compact"/>
              <w:jc w:val="left"/>
            </w:pPr>
            <w:r>
              <w:t xml:space="preserve">User accessible non personalised or "off" modes</w:t>
            </w:r>
          </w:p>
        </w:tc>
        <w:tc>
          <w:tcPr/>
          <w:p>
            <w:pPr>
              <w:pStyle w:val="Compact"/>
              <w:jc w:val="left"/>
            </w:pPr>
            <w:r>
              <w:t xml:space="preserve">Non profiling recommendation option under DSA</w:t>
            </w:r>
            <w:r>
              <w:t xml:space="preserve"> </w:t>
            </w:r>
            <w:r>
              <w:t xml:space="preserve">(Kustura, 2025, p. 7)</w:t>
            </w:r>
            <w:r>
              <w:t xml:space="preserve">; age appropriate "no personalisation" switches</w:t>
            </w:r>
            <w:r>
              <w:t xml:space="preserve"> </w:t>
            </w:r>
            <w:r>
              <w:t xml:space="preserve">(Kostenko, 2025, p. 223)</w:t>
            </w:r>
          </w:p>
        </w:tc>
      </w:tr>
      <w:tr>
        <w:tc>
          <w:tcPr/>
          <w:p>
            <w:pPr>
              <w:pStyle w:val="Compact"/>
              <w:jc w:val="left"/>
            </w:pPr>
            <w:r>
              <w:t xml:space="preserve">A8</w:t>
            </w:r>
          </w:p>
        </w:tc>
        <w:tc>
          <w:tcPr/>
          <w:p>
            <w:pPr>
              <w:pStyle w:val="Compact"/>
              <w:jc w:val="left"/>
            </w:pPr>
            <w:r>
              <w:t xml:space="preserve">Visible human validation or override indicators</w:t>
            </w:r>
          </w:p>
        </w:tc>
        <w:tc>
          <w:tcPr/>
          <w:p>
            <w:pPr>
              <w:pStyle w:val="Compact"/>
              <w:jc w:val="left"/>
            </w:pPr>
            <w:r>
              <w:t xml:space="preserve">HITL grading override logs and authority retention</w:t>
            </w:r>
            <w:r>
              <w:t xml:space="preserve"> </w:t>
            </w:r>
            <w:r>
              <w:t xml:space="preserve">(Kostenko, 2025, p. 59.1; Selvam &amp; González Vallejo, 2025, p. 20)</w:t>
            </w:r>
          </w:p>
        </w:tc>
      </w:tr>
    </w:tbl>
    <w:bookmarkEnd w:id="83"/>
    <w:p>
      <w:pPr>
        <w:pStyle w:val="BodyText"/>
      </w:pPr>
      <w:r>
        <w:t xml:space="preserve">Coding of academic and advocacy materials follows the same principle as methodological exemplars in game studies and AI ethics: open coding of textual descriptions of interface behaviour, then assignment to closed slot labels to guarantee inter coder consistency, similar to the YAML based codebook used for large language model prompting research</w:t>
      </w:r>
      <w:r>
        <w:t xml:space="preserve"> </w:t>
      </w:r>
      <w:r>
        <w:t xml:space="preserve">(Karim &amp; Hasan, 2026, p. 8584408; Torkestani et al., 2025, p. 7286763)</w:t>
      </w:r>
      <w:r>
        <w:t xml:space="preserve">. Validation of Code A assignments in this thesis relies on cross checking across independent sources, for example aligning Li’s and Hu’s descriptions of infinite scroll and compulsive checking with regulatory concern about manipulative design in DSA enforcement actions, where such patterns are explicitly scrutinised as impairing free decision making</w:t>
      </w:r>
      <w:r>
        <w:t xml:space="preserve"> </w:t>
      </w:r>
      <w:r>
        <w:t xml:space="preserve">(Li, 2026, p. 2; T et al., 2026, p. 2248)</w:t>
      </w:r>
      <w:r>
        <w:t xml:space="preserve">. Ethical discussions that emphasise fairness, accountability and transparency provide a useful normative frame for these mechanics, and they may suggest practical criteria by which interface features are judged acceptable or problematic</w:t>
      </w:r>
      <w:r>
        <w:t xml:space="preserve"> </w:t>
      </w:r>
      <w:r>
        <w:t xml:space="preserve">(Hussain &amp; Sheemar, 2026, p. 3)</w:t>
      </w:r>
      <w:r>
        <w:t xml:space="preserve">. At the same time, the same discussions caution that high-level principles require concrete operational rules if they are to be applied reliably across diverse platform designs</w:t>
      </w:r>
      <w:r>
        <w:t xml:space="preserve"> </w:t>
      </w:r>
      <w:r>
        <w:t xml:space="preserve">(Hussain &amp; Sheemar, 2026, p. 3)</w:t>
      </w:r>
      <w:r>
        <w:t xml:space="preserve">. User preferences are not static, however, and temporal shifts as well as social ties can reshape engagement patterns in ways that interact with UI tactics; models that jointly consider temporal dynamics and social trust indicate that recommendation behaviour may change smoothly over time and be sensitive to peers, which may amplify or attenuate the effects of an interface nudge</w:t>
      </w:r>
      <w:r>
        <w:t xml:space="preserve"> </w:t>
      </w:r>
      <w:r>
        <w:t xml:space="preserve">(Tahmasbi et al., 2020, p. 2)</w:t>
      </w:r>
      <w:r>
        <w:t xml:space="preserve">. Such findings suggest it may be necessary to consider time-varying and social-contextual annotations when interpreting the presence of A1–A5 features, since what appears as an addictive loop in one period or cohort could reflect shifting preference dynamics or trust-driven adoption in another</w:t>
      </w:r>
      <w:r>
        <w:t xml:space="preserve"> </w:t>
      </w:r>
      <w:r>
        <w:t xml:space="preserve">(Tahmasbi et al., 2020, p. 2)</w:t>
      </w:r>
      <w:r>
        <w:t xml:space="preserve">.</w:t>
      </w:r>
    </w:p>
    <w:bookmarkEnd w:id="84"/>
    <w:bookmarkStart w:id="85" w:name="sec:codeB_psych_triggers"/>
    <w:p>
      <w:pPr>
        <w:pStyle w:val="Heading3"/>
      </w:pPr>
      <w:r>
        <w:rPr>
          <w:rStyle w:val="SectionNumber"/>
        </w:rPr>
        <w:t xml:space="preserve">6.3.2</w:t>
      </w:r>
      <w:r>
        <w:tab/>
      </w:r>
      <w:r>
        <w:t xml:space="preserve">Code B Psychological Triggers and Motivational Effects</w:t>
      </w:r>
    </w:p>
    <w:p>
      <w:pPr>
        <w:pStyle w:val="FirstParagraph"/>
      </w:pPr>
      <w:r>
        <w:t xml:space="preserve">Code B in this report’s matrix captures the psychological and motivational mechanisms that interface patterns and recommendation logics exploit. Coding focuses on triggers explicitly documented in empirical and regulatory sources rather than inferred internal states. One prominent cluster concerns time pressure and scarcity. Qualitative work with senior marketing executives describes how countdown timers, "only two left" stock notices, and expiring discounts are deployed as high pressure cues that reframe a routine purchase as a time sensitive decision, often targeting budget constrained consumers through "pay more later" narratives that accentuate loss framing</w:t>
      </w:r>
      <w:r>
        <w:t xml:space="preserve"> </w:t>
      </w:r>
      <w:r>
        <w:t xml:space="preserve">(Bansal, 2026, p. 136)</w:t>
      </w:r>
      <w:r>
        <w:t xml:space="preserve">. Dark pattern audits in Indian e commerce classify "false urgency / scarcity" as a distinct pattern where countdowns or stock indicators exaggerate availability constraints, and they document high prevalence of such prompts in real interfaces</w:t>
      </w:r>
      <w:r>
        <w:t xml:space="preserve"> </w:t>
      </w:r>
      <w:r>
        <w:t xml:space="preserve">(Khare et al., 2026, p. 7)</w:t>
      </w:r>
      <w:r>
        <w:t xml:space="preserve">. Code B therefore includes subcodes such as B1: time pressure cues (countdowns) and B2: scarcity and loss framing messages, each anchored in these documented practices rather than speculative cognitive theory</w:t>
      </w:r>
      <w:r>
        <w:t xml:space="preserve"> </w:t>
      </w:r>
      <w:r>
        <w:t xml:space="preserve">(Bansal, 2026, p. 136; Khare et al., 2026, p. 7)</w:t>
      </w:r>
      <w:r>
        <w:t xml:space="preserve">. Another group of triggers targets cognitive load and decision fatigue. Khare et al. define "choice obstruction" as intentional friction that complicates cancellation or refusal, describing subscription traps, roach motels, and long unsubscribe flows that increase cognitive fatigue and inhibit protective decisions. They link these designs to dual process accounts where friction keeps users in fast, heuristic driven modes and discourages reflective evaluation</w:t>
      </w:r>
      <w:r>
        <w:t xml:space="preserve"> </w:t>
      </w:r>
      <w:r>
        <w:t xml:space="preserve">(Khare et al., 2026, p. 6)</w:t>
      </w:r>
      <w:r>
        <w:t xml:space="preserve">. Bansal’s thematic analysis similarly codes "decision fatigue" and "psychological targeting" as organisationally recognised levers in urgency based marketing systems</w:t>
      </w:r>
      <w:r>
        <w:t xml:space="preserve"> </w:t>
      </w:r>
      <w:r>
        <w:t xml:space="preserve">(Bansal, 2026, p. 8745065)</w:t>
      </w:r>
      <w:r>
        <w:t xml:space="preserve">. In Code B this yields B3: friction based obstruction (e.g. complex cancellations) and B4: decision fatigue amplification, which are applied whenever sources describe design induced exhaustion as a mechanism for steering behaviour</w:t>
      </w:r>
      <w:r>
        <w:t xml:space="preserve"> </w:t>
      </w:r>
      <w:r>
        <w:t xml:space="preserve">(Bansal, 2026, p. 8745065; Khare et al., 2026, p. 6)</w:t>
      </w:r>
      <w:r>
        <w:t xml:space="preserve">. Temporal orientation and instant gratification form a third cluster. Li reports that short video platforms with 15–60 second clips and infinite swipe navigation create environments where the "extremely low operational cost" of "just one more swipe" aligns with present oriented temporal focus and undermines long term goals, particularly in adolescents and students who show diminished academic concentration and increased anxiety and depression under excessive use</w:t>
      </w:r>
      <w:r>
        <w:t xml:space="preserve"> </w:t>
      </w:r>
      <w:r>
        <w:t xml:space="preserve">(Li, 2026, p. 2; 2026, p. 3)</w:t>
      </w:r>
      <w:r>
        <w:t xml:space="preserve">. Hu synthesises evidence that algorithmically curated feeds are associated with 22% higher compulsive checking and a 23% higher incidence of depressive symptoms compared with chronological feeds, capturing a shift toward immediate, algorithmically supplied rewards</w:t>
      </w:r>
      <w:r>
        <w:t xml:space="preserve"> </w:t>
      </w:r>
      <w:r>
        <w:t xml:space="preserve">(Hu, 2025, p. 2; 2025, p. 20)</w:t>
      </w:r>
      <w:r>
        <w:t xml:space="preserve">. Code B records these mechanisms through B5: instant reward salience and B6: temporal discounting bias, justified only where sources directly link interface immediacy to preference for short term gratification</w:t>
      </w:r>
      <w:r>
        <w:t xml:space="preserve"> </w:t>
      </w:r>
      <w:r>
        <w:t xml:space="preserve">(Hu, 2025, p. 2; Li, 2026, p. 2)</w:t>
      </w:r>
      <w:r>
        <w:t xml:space="preserve">. A further set of codes addresses social and identity oriented triggers. Khare et al. document how social proof cues, fabricated or amplified, are integrated into dark patterns such as "confirm shaming" and "generative social proof," in which personalised guilt inducing language and mass produced testimonials pressure users to comply with platform preferred options</w:t>
      </w:r>
      <w:r>
        <w:t xml:space="preserve"> </w:t>
      </w:r>
      <w:r>
        <w:t xml:space="preserve">(Khare et al., 2026, p. 7)</w:t>
      </w:r>
      <w:r>
        <w:t xml:space="preserve">. Kishore et al.’s grounded theory study on ethical consumption highlights that peer and influencer influence, emotional responses such as guilt, and post purchase regret are central to students’ decision processes in digitally mediated environments</w:t>
      </w:r>
      <w:r>
        <w:t xml:space="preserve"> </w:t>
      </w:r>
      <w:r>
        <w:t xml:space="preserve">(Raaj S. et al., 2026, p. 4245543)</w:t>
      </w:r>
      <w:r>
        <w:t xml:space="preserve">. Code B therefore includes B7: social proof and conformity pressure and B8: guilt or shame based messaging, applied where evidence shows emotional or identity cues used as levers rather than neutral information</w:t>
      </w:r>
      <w:r>
        <w:t xml:space="preserve"> </w:t>
      </w:r>
      <w:r>
        <w:t xml:space="preserve">(Khare et al., 2026, p. 7; Raaj S. et al., 2026, p. 4245543)</w:t>
      </w:r>
      <w:r>
        <w:t xml:space="preserve">. Motivational dynamics in gamified systems provide a counterpoint that informs positive coding. Tokarieva and Chyzhykova’s analysis of gamified learning platforms uses Malone and Lepper’s taxonomy of intrinsic motivation to evaluate how avatars, rewards and rapid pace can support autonomy and competence when aligned with educational aims</w:t>
      </w:r>
      <w:r>
        <w:t xml:space="preserve"> </w:t>
      </w:r>
      <w:r>
        <w:t xml:space="preserve">(Tokarieva &amp; Chyzhykova, 2026, p. 5645864)</w:t>
      </w:r>
      <w:r>
        <w:t xml:space="preserve">. Anisa and Maisa’s review of token economies stresses that token based motivation is effective when embedded in autonomy supportive, cognitively complex tasks, but that "technostress" from complexity and instability can cancel intended gains and lead to disengagement</w:t>
      </w:r>
      <w:r>
        <w:t xml:space="preserve"> </w:t>
      </w:r>
      <w:r>
        <w:t xml:space="preserve">(Anisa &amp; Maisa, 2025, p. 9283805)</w:t>
      </w:r>
      <w:r>
        <w:t xml:space="preserve">. These findings are encoded as B9: autonomy supportive feedback loops and B10: technostress induced demotivation, allowing the matrix to distinguish between gamified designs that genuinely reinforce intrinsic motivation and those that overload or frustrate users</w:t>
      </w:r>
      <w:r>
        <w:t xml:space="preserve"> </w:t>
      </w:r>
      <w:r>
        <w:t xml:space="preserve">(Anisa &amp; Maisa, 2025, p. 9283805; Tokarieva &amp; Chyzhykova, 2026, p. 5645864)</w:t>
      </w:r>
      <w:r>
        <w:t xml:space="preserve">. Finally, emotional dependence in affective computing applications adds a boundary condition. Song warns that emotional computing systems can create "behavioral interaction addiction, cognitive delusions of consciousness, and social relationship alienation," and calls for transparency, explainability, and assistive rather than anthropomorphic design to reduce emotional dependence risks. In Code B this is captured by B11: emotional dependence triggers, used where systems simulate companionship or emotional reciprocity without clear signalling of artificiality, consistent with documented concerns</w:t>
      </w:r>
      <w:r>
        <w:t xml:space="preserve"> </w:t>
      </w:r>
      <w:r>
        <w:t xml:space="preserve">(Song, 2026, p. 9738431)</w:t>
      </w:r>
      <w:r>
        <w:t xml:space="preserve">. Table </w:t>
      </w:r>
      <w:hyperlink w:anchor="tab:codeB_summary">
        <w:r>
          <w:rPr>
            <w:rStyle w:val="Hyperlink"/>
          </w:rPr>
          <w:t xml:space="preserve">[tab:codeB_summary]</w:t>
        </w:r>
      </w:hyperlink>
      <w:r>
        <w:t xml:space="preserve"> </w:t>
      </w:r>
      <w:r>
        <w:t xml:space="preserve">summarises Code B slots and anchor sources.</w:t>
      </w:r>
    </w:p>
    <w:p>
      <w:pPr>
        <w:pStyle w:val="BodyText"/>
      </w:pPr>
      <w:r>
        <w:t xml:space="preserve">Hybrid governance case studies in decision support systems illustrate how Code C can mark positive compliance states as well. Healthcare and civil service HR systems operating under statutory or co regulatory models exhibit continuous bias audits, explainable outputs, external review and appeal mechanisms, leading to bias reduction, shorter appeal resolution times and higher audit compliance scores</w:t>
      </w:r>
      <w:r>
        <w:t xml:space="preserve"> </w:t>
      </w:r>
      <w:r>
        <w:t xml:space="preserve">(Alrwili &amp; Kantharia, 2025, p. 4)</w:t>
      </w:r>
      <w:r>
        <w:t xml:space="preserve">. These features correspond to "Code Category C: Statutory Compliant with Effective Oversight" in this report’s taxonomy and provide exemplars for social recommender platforms seeking to align engagement optimisation with legal accountability. Finally, collaborative audit research in revenue processes stresses that successful automation architectures explicitly document which components are automated versus human initiated, define materiality limits for human intervention, and maintain feedback loops for pattern detection and anomaly identification across cycles</w:t>
      </w:r>
      <w:r>
        <w:t xml:space="preserve"> </w:t>
      </w:r>
      <w:r>
        <w:t xml:space="preserve">(Chitturi, 2025, p. 6539584)</w:t>
      </w:r>
      <w:r>
        <w:t xml:space="preserve">. Practical auditing guides for recommender systems also emphasise that a basic platform profile and stakeholder mapping are essential first steps for any credible audit process; failing to record platform strategy, audience and feature scope makes subsequent traceability and remedial action far harder to execute</w:t>
      </w:r>
      <w:r>
        <w:t xml:space="preserve"> </w:t>
      </w:r>
      <w:r>
        <w:t xml:space="preserve">(Olayinka et al., 2025, p. 24)</w:t>
      </w:r>
      <w:r>
        <w:t xml:space="preserve">. This suggests that even well‑intended documentation duties may not yield oversight value unless they are paired with multi actor audit workflows and clear product boundaries</w:t>
      </w:r>
      <w:r>
        <w:t xml:space="preserve"> </w:t>
      </w:r>
      <w:r>
        <w:t xml:space="preserve">(Olayinka et al., 2025, p. 24)</w:t>
      </w:r>
      <w:r>
        <w:t xml:space="preserve">. In Code C terms, absence of such documentation and feedback channels in high impact social recommendation settings would shift systems from "moderate risk" into higher categories, because regulators and auditors would lack the transparency necessary to judge fairness, manipulation or addiction risk within the constraints described earlier in this thesis</w:t>
      </w:r>
      <w:r>
        <w:t xml:space="preserve"> </w:t>
      </w:r>
      <w:r>
        <w:t xml:space="preserve">(Alrwili &amp; Kantharia, 2025, p. 4; Chitturi, 2025, p. 6539584; Kostenko, 2025, p. 70)</w:t>
      </w:r>
      <w:r>
        <w:t xml:space="preserve">.</w:t>
      </w:r>
    </w:p>
    <w:bookmarkEnd w:id="85"/>
    <w:bookmarkEnd w:id="86"/>
    <w:bookmarkStart w:id="90" w:name="Xfecc8e051025807bc8167b7e6d0c5f53e9d38a7"/>
    <w:p>
      <w:pPr>
        <w:pStyle w:val="Heading2"/>
      </w:pPr>
      <w:r>
        <w:rPr>
          <w:rStyle w:val="SectionNumber"/>
        </w:rPr>
        <w:t xml:space="preserve">6.4</w:t>
      </w:r>
      <w:r>
        <w:tab/>
      </w:r>
      <w:r>
        <w:t xml:space="preserve">Methodological Limitations and Quality Criteria</w:t>
      </w:r>
    </w:p>
    <w:bookmarkStart w:id="87" w:name="sec:constraints_black_box_observation"/>
    <w:p>
      <w:pPr>
        <w:pStyle w:val="Heading3"/>
      </w:pPr>
      <w:r>
        <w:rPr>
          <w:rStyle w:val="SectionNumber"/>
        </w:rPr>
        <w:t xml:space="preserve">6.4.1</w:t>
      </w:r>
      <w:r>
        <w:tab/>
      </w:r>
      <w:r>
        <w:t xml:space="preserve">Constraints of Observing Black-Box Algorithms Indirectly</w:t>
      </w:r>
    </w:p>
    <w:p>
      <w:pPr>
        <w:pStyle w:val="FirstParagraph"/>
      </w:pPr>
      <w:r>
        <w:t xml:space="preserve">Observing engagement optimised recommenders only through their outward behaviour creates a structural epistemic limit for this thesis. Khare et al. explicitly adopt a qualitative, descriptive and analytical design that relies "exclusively on secondary data" and combines content analysis of regulatory and institutional documents with synthesis of consumer survey evidence, precisely because "primary experimentation or access to proprietary platform data is limited" in digital markets</w:t>
      </w:r>
      <w:r>
        <w:t xml:space="preserve"> </w:t>
      </w:r>
      <w:r>
        <w:t xml:space="preserve">(Khare et al., 2026, p. 6)</w:t>
      </w:r>
      <w:r>
        <w:t xml:space="preserve">. This project follows the same constraint: black box algorithms are treated as inferable only via public UX descriptions, regulatory proceedings and secondary empirical studies, not via internal logs or model artefacts. Several domains illustrate what is and is not visible under such conditions. In SAP Social AI pilots, Malachi et al. obtain sensitivity, specificity and F1 scores for a triage model only because an embedded audit was instrumented inside the system itself, producing subgroup metrics such as</w:t>
      </w:r>
      <w:r>
        <w:t xml:space="preserve"> </w:t>
      </w:r>
      <m:oMath>
        <m:r>
          <m:t>82</m:t>
        </m:r>
        <m:r>
          <m:t> </m:t>
        </m:r>
        <m:r>
          <m:rPr>
            <m:sty m:val="p"/>
          </m:rPr>
          <m:t>%</m:t>
        </m:r>
      </m:oMath>
      <w:r>
        <w:t xml:space="preserve"> </w:t>
      </w:r>
      <w:r>
        <w:t xml:space="preserve">sensitivity for urban users and</w:t>
      </w:r>
      <w:r>
        <w:t xml:space="preserve"> </w:t>
      </w:r>
      <m:oMath>
        <m:r>
          <m:t>61</m:t>
        </m:r>
        <m:r>
          <m:t> </m:t>
        </m:r>
        <m:r>
          <m:rPr>
            <m:sty m:val="p"/>
          </m:rPr>
          <m:t>%</m:t>
        </m:r>
      </m:oMath>
      <w:r>
        <w:t xml:space="preserve"> </w:t>
      </w:r>
      <w:r>
        <w:t xml:space="preserve">for rural users, and identifying specific error patterns like Hausa "female weeping" misclassified as anger</w:t>
      </w:r>
      <w:r>
        <w:t xml:space="preserve"> </w:t>
      </w:r>
      <w:r>
        <w:t xml:space="preserve">(Grace Malachi et al., 2025, p. 9)</w:t>
      </w:r>
      <w:r>
        <w:t xml:space="preserve">. By contrast, this thesis has no equivalent embedded telemetry for social recommender systems; fairness or harm must be inferred from published external analyses rather than direct model audits. HITL grading research shows how rich observations can be when access is internal. Selvam and González Vallejo report override rates, macro averaged</w:t>
      </w:r>
      <w:r>
        <w:t xml:space="preserve"> </w:t>
      </w:r>
      <m:oMath>
        <m:r>
          <m:t>F</m:t>
        </m:r>
        <m:r>
          <m:t>1</m:t>
        </m:r>
        <m:r>
          <m:rPr>
            <m:sty m:val="p"/>
          </m:rPr>
          <m:t>=</m:t>
        </m:r>
        <m:r>
          <m:t>0.84</m:t>
        </m:r>
      </m:oMath>
      <w:r>
        <w:t xml:space="preserve"> </w:t>
      </w:r>
      <w:r>
        <w:t xml:space="preserve">and criterion level performance (for instance</w:t>
      </w:r>
      <w:r>
        <w:t xml:space="preserve"> </w:t>
      </w:r>
      <m:oMath>
        <m:r>
          <m:t>F</m:t>
        </m:r>
        <m:r>
          <m:t>1</m:t>
        </m:r>
        <m:r>
          <m:rPr>
            <m:sty m:val="p"/>
          </m:rPr>
          <m:t>=</m:t>
        </m:r>
        <m:r>
          <m:t>0.90</m:t>
        </m:r>
      </m:oMath>
      <w:r>
        <w:t xml:space="preserve"> </w:t>
      </w:r>
      <w:r>
        <w:t xml:space="preserve">on grammar and</w:t>
      </w:r>
      <w:r>
        <w:t xml:space="preserve"> </w:t>
      </w:r>
      <m:oMath>
        <m:r>
          <m:t>F</m:t>
        </m:r>
        <m:r>
          <m:t>1</m:t>
        </m:r>
        <m:r>
          <m:rPr>
            <m:sty m:val="p"/>
          </m:rPr>
          <m:t>=</m:t>
        </m:r>
        <m:r>
          <m:t>0.68</m:t>
        </m:r>
      </m:oMath>
      <w:r>
        <w:t xml:space="preserve"> </w:t>
      </w:r>
      <w:r>
        <w:t xml:space="preserve">on creativity) because the AI module and instructor dashboard were under their control and all decisions were logged with timestamps and reviewer identifiers</w:t>
      </w:r>
      <w:r>
        <w:t xml:space="preserve"> </w:t>
      </w:r>
      <w:r>
        <w:t xml:space="preserve">(Selvam &amp; González Vallejo, 2025, p. 17)</w:t>
      </w:r>
      <w:r>
        <w:t xml:space="preserve">. Faculty focus groups then qualitatively interpret misclassifications such as satire labelled incoherent, and tie them to specific rubric dimensions</w:t>
      </w:r>
      <w:r>
        <w:t xml:space="preserve"> </w:t>
      </w:r>
      <w:r>
        <w:t xml:space="preserve">(Selvam &amp; González Vallejo, 2025, p. 17; 2025, p. 21)</w:t>
      </w:r>
      <w:r>
        <w:t xml:space="preserve">. In a social feed context, equivalent fine grained logging would usually be proprietary and inaccessible to external researchers, which limits any similar dissection of error modes or override patterns. Regulatory and model law texts explicitly assume that such internal observability exists. Kostenko’s AI Law Model demands comprehensive technical documentation for high risk systems, including detailed decision architectures, full logging and tracing that link inputs, intermediate calculations and outputs, and formalised human intervention procedures, all as part of a technical passport that must be available to authorities and, in part, to users and victims</w:t>
      </w:r>
      <w:r>
        <w:t xml:space="preserve"> </w:t>
      </w:r>
      <w:r>
        <w:t xml:space="preserve">(Kostenko, 2025, p. 71)</w:t>
      </w:r>
      <w:r>
        <w:t xml:space="preserve">. The same model insists on operator level accountability and mandates internal and external audits, hotlines and crisis groups, together with an institutional accountability infrastructure of ethics councils, open registers and complaint platforms</w:t>
      </w:r>
      <w:r>
        <w:t xml:space="preserve"> </w:t>
      </w:r>
      <w:r>
        <w:t xml:space="preserve">(Kostenko, 2025, p. 51)</w:t>
      </w:r>
      <w:r>
        <w:t xml:space="preserve">. These provisions specify what regulators should see, but they do not guarantee that external scholars can access the same depth of information, particularly for commercial social platforms that are not yet operating under such a law. Standardisation work underscores the same disjunction. Sankaran describes ISO/IEC JTC 1/SC 42 standards such as ISO/IEC 24027 for bias assessment and ISO/IEC 5259 for data quality as mechanisms that provide measurable criteria for fairness, transparency and reliability, aimed at reducing "black box" opacity and supporting regulatory compliance</w:t>
      </w:r>
      <w:r>
        <w:t xml:space="preserve"> </w:t>
      </w:r>
      <w:r>
        <w:t xml:space="preserve">(Sankaran, 2025, p. 2)</w:t>
      </w:r>
      <w:r>
        <w:t xml:space="preserve">. Yet standards operate primarily inside organisations; external observers can usually only see whether a standard is claimed, not how it is implemented in specific recommender pipelines. Mixed method governance case studies further reveal how much of the decisive evidence is internal. Alrwili and Kantharia analyse three decision support systems using organisational reports and interviews, and can report quantitative improvements such as a 22% efficiency gain, a 15% reduction in bias complaints and a 30% reduction in appeal resolution times because they access internal metrics and governance documentation. Their conclusion that hybrid governance "best balances performance with ethical assurance" rests on data unlikely to be fully available for commercial social recommender deployments</w:t>
      </w:r>
      <w:r>
        <w:t xml:space="preserve"> </w:t>
      </w:r>
      <w:r>
        <w:t xml:space="preserve">(Alrwili &amp; Kantharia, 2025, p. 2)</w:t>
      </w:r>
      <w:r>
        <w:t xml:space="preserve">. This thesis therefore faces several non trivial limitations:</w:t>
      </w:r>
    </w:p>
    <w:p>
      <w:pPr>
        <w:numPr>
          <w:ilvl w:val="0"/>
          <w:numId w:val="1003"/>
        </w:numPr>
      </w:pPr>
      <w:r>
        <w:t xml:space="preserve">Systematic bias or manipulation in content ranking cannot be quantified at model level; instead, this report relies on regulators’ findings, advocacy UX audits and secondary mixed method studies that themselves may face sampling, access and jurisdictional constraints</w:t>
      </w:r>
      <w:r>
        <w:t xml:space="preserve"> </w:t>
      </w:r>
      <w:r>
        <w:t xml:space="preserve">(Khare et al., 2026, p. 6; Mariia, 2025, p. 3)</w:t>
      </w:r>
      <w:r>
        <w:t xml:space="preserve">.</w:t>
      </w:r>
    </w:p>
    <w:p>
      <w:pPr>
        <w:numPr>
          <w:ilvl w:val="0"/>
          <w:numId w:val="1003"/>
        </w:numPr>
      </w:pPr>
      <w:r>
        <w:t xml:space="preserve">Compliance with documentation, logging and accountability duties that Kostenko makes central remains largely unobservable unless platforms or authorities publish technical passports or audit summaries, which is not guaranteed under current regimes</w:t>
      </w:r>
      <w:r>
        <w:t xml:space="preserve"> </w:t>
      </w:r>
      <w:r>
        <w:t xml:space="preserve">(Kostenko, 2025, p. 71; 2025, p. 51)</w:t>
      </w:r>
      <w:r>
        <w:t xml:space="preserve">.</w:t>
      </w:r>
    </w:p>
    <w:p>
      <w:pPr>
        <w:numPr>
          <w:ilvl w:val="0"/>
          <w:numId w:val="1003"/>
        </w:numPr>
      </w:pPr>
      <w:r>
        <w:t xml:space="preserve">Causal attribution from interface mechanics to individual harms, for example depressive symptom changes, is mediated through third party research that may use limited samples or context specific designs, as seen in Malachi’s RCT where performance disparities are tied to network conditions and dialect but remain specific to Nigerian settings</w:t>
      </w:r>
      <w:r>
        <w:t xml:space="preserve"> </w:t>
      </w:r>
      <w:r>
        <w:t xml:space="preserve">(Grace Malachi et al., 2025, p. 9)</w:t>
      </w:r>
      <w:r>
        <w:t xml:space="preserve">.</w:t>
      </w:r>
    </w:p>
    <w:p>
      <w:pPr>
        <w:pStyle w:val="FirstParagraph"/>
      </w:pPr>
      <w:r>
        <w:t xml:space="preserve">Qualitative synthesis can still extract value under these constraints, but claims must be framed accordingly. Khare et al. explicitly state that their design "does not seek to establish causal relationships" and instead aims to "map patterns, interpret behavioural mechanisms, and evaluate regulatory adequacy" in an emerging digital economy</w:t>
      </w:r>
      <w:r>
        <w:t xml:space="preserve"> </w:t>
      </w:r>
      <w:r>
        <w:t xml:space="preserve">(Khare et al., 2026, p. 6)</w:t>
      </w:r>
      <w:r>
        <w:t xml:space="preserve">. The present study adopts the same stance for social recommender systems: algorithmic addiction and manipulative design are analysed through patterns documented in external audits, regulatory texts and empirical pilots, not through direct measurement of ranking functions. Standards and governance frameworks help mitigate this opacity but do not eliminate it. Sankaran argues that international AI standards embed ethical safeguards and can harmonise practice, yet effectiveness varies by regulatory context and requires adaptive implementation</w:t>
      </w:r>
      <w:r>
        <w:t xml:space="preserve"> </w:t>
      </w:r>
      <w:r>
        <w:t xml:space="preserve">(Sankaran, 2025, p. 2)</w:t>
      </w:r>
      <w:r>
        <w:t xml:space="preserve">. Kostenko’s safety and reliability chapter demands risk management, incident recording and the possibility of independent verification, with immediate blocking of systems that show dangerous or unstable behaviour</w:t>
      </w:r>
      <w:r>
        <w:t xml:space="preserve"> </w:t>
      </w:r>
      <w:r>
        <w:t xml:space="preserve">(Kostenko, 2025, p. 38)</w:t>
      </w:r>
      <w:r>
        <w:t xml:space="preserve">. These expectations guide this thesis coding of legal risk, but without internal access they function as normative benchmarks rather than empirically verified descriptions. Complementing that legal framing, recent formulations of an AI Law Model stress procedural safeguards such as participatory certification, systematic human-centric assessment and explicit provisions for emergency shutdown and guaranteed human override; these elements clarify what forms of internal evidence regulators might insist on if such regimes are enforced</w:t>
      </w:r>
      <w:r>
        <w:t xml:space="preserve"> </w:t>
      </w:r>
      <w:r>
        <w:t xml:space="preserve">(Stiefenhofer, 2025, p. 86)</w:t>
      </w:r>
      <w:r>
        <w:t xml:space="preserve">. Within this methodological boundary, quality is pursued through explicit reliance on documented secondary sources, triangulation across regulatory, empirical and advocacy materials, and avoidance of any invented telemetry or reverse engineered model claims, in line with the doctrinal empirical hybrid approach articulated for dark pattern research</w:t>
      </w:r>
      <w:r>
        <w:t xml:space="preserve"> </w:t>
      </w:r>
      <w:r>
        <w:t xml:space="preserve">(Khare et al., 2026, p. 6; Kostenko, 2025, p. 51; Sankaran, 2025, p. 2)</w:t>
      </w:r>
      <w:r>
        <w:t xml:space="preserve">.</w:t>
      </w:r>
    </w:p>
    <w:bookmarkEnd w:id="87"/>
    <w:bookmarkStart w:id="88" w:name="sec:reliability_transparency_qual_audit"/>
    <w:p>
      <w:pPr>
        <w:pStyle w:val="Heading3"/>
      </w:pPr>
      <w:r>
        <w:rPr>
          <w:rStyle w:val="SectionNumber"/>
        </w:rPr>
        <w:t xml:space="preserve">6.4.2</w:t>
      </w:r>
      <w:r>
        <w:tab/>
      </w:r>
      <w:r>
        <w:t xml:space="preserve">Reliability and Transparency in Qualitative Audit Work</w:t>
      </w:r>
    </w:p>
    <w:p>
      <w:pPr>
        <w:pStyle w:val="FirstParagraph"/>
      </w:pPr>
      <w:r>
        <w:t xml:space="preserve">Reliability in this qualitative audit rests on systematic procedures for selecting, coding, and synthesising secondary sources, backed by explicit documentation of decisions. Asante and Adeoba describe a secondary qualitative methodology grounded in constructivist philosophy and inductive reasoning, where Reflexive Thematic Analysis is applied to peer reviewed literature with detailed recording of search strategies, inclusion criteria, and analytical steps, and an audit trail is maintained to support dependability and transparency</w:t>
      </w:r>
      <w:r>
        <w:t xml:space="preserve"> </w:t>
      </w:r>
      <w:r>
        <w:t xml:space="preserve">(Asante &amp; Adeoba, 2026, p. 10; 2026, p. 11)</w:t>
      </w:r>
      <w:r>
        <w:t xml:space="preserve">. Their trustworthiness table operationalises credibility through source triangulation, transferability through methodological description, and confirmability through reflexive interpretation of evidence, which directly informs how reliability is treated in this thesis’s qualitative audit of algorithmic addiction and ethical regulation</w:t>
      </w:r>
      <w:r>
        <w:t xml:space="preserve"> </w:t>
      </w:r>
      <w:r>
        <w:t xml:space="preserve">(Asante &amp; Adeoba, 2026, p. 10)</w:t>
      </w:r>
      <w:r>
        <w:t xml:space="preserve">. Comparable rigor appears in grounded theory and thematic analysis exemplars. Kishore et al. report open, axial, and selective coding, constant comparison across interviews, analyst triangulation, memo writing, and thematic saturation as mechanisms to strengthen credibility, dependability, confirmability, and transferability in a study of ethical consumption and AI decision support</w:t>
      </w:r>
      <w:r>
        <w:t xml:space="preserve"> </w:t>
      </w:r>
      <w:r>
        <w:t xml:space="preserve">(Raaj S. et al., 2026, p. 6)</w:t>
      </w:r>
      <w:r>
        <w:t xml:space="preserve">. Qualitative work on indebtedness among Generation Y debtors uses transcription, repeated reading, coding, thematic grouping, triangulation between debtor and expert interviews, external statistics, member checking, and peer debriefing, with an audit trail of coding decisions to support reliability and methodological transparency</w:t>
      </w:r>
      <w:r>
        <w:t xml:space="preserve"> </w:t>
      </w:r>
      <w:r>
        <w:t xml:space="preserve">(Munyaradzi &amp; Lovichakorntikul, 2026, p. 8)</w:t>
      </w:r>
      <w:r>
        <w:t xml:space="preserve">. These practices collectively define a reliability baseline for qualitative audit work in this project: multi coder review where feasible, explicit coding schemas, saturation checks for theme stability, and documented analytic decisions rather than opaque interpretation. The paper also documents pilot interviewing, verbatim transcription, line-by-line coding, multi-researcher coding meetings to resolve disputes, and evidence of thematic saturation that may be adapted as concrete procedures for secondary-source audits</w:t>
      </w:r>
      <w:r>
        <w:t xml:space="preserve"> </w:t>
      </w:r>
      <w:r>
        <w:t xml:space="preserve">(Unknown, 2023, p. 4; 2023, p. 5)</w:t>
      </w:r>
      <w:r>
        <w:t xml:space="preserve">. Such practical steps help anchor interpretive claims to recorded analytic moves rather than to opaque judgment</w:t>
      </w:r>
      <w:r>
        <w:t xml:space="preserve"> </w:t>
      </w:r>
      <w:r>
        <w:t xml:space="preserve">(Unknown, 2023, p. 4; 2023, p. 5)</w:t>
      </w:r>
      <w:r>
        <w:t xml:space="preserve">. Transparency is treated as both a methodological and normative requirement. Asante and Adeoba emphasise systematic documentation of literature selection and analysis, supported by reference management software and explicit extraction of study objectives, methods and findings</w:t>
      </w:r>
      <w:r>
        <w:t xml:space="preserve"> </w:t>
      </w:r>
      <w:r>
        <w:t xml:space="preserve">(Asante &amp; Adeoba, 2026, p. 10)</w:t>
      </w:r>
      <w:r>
        <w:t xml:space="preserve">. Khare et al. apply qualitative content analysis to regulatory documents, institutional reports and judicial decisions, clearly describing their sampling frame of approximately</w:t>
      </w:r>
      <w:r>
        <w:t xml:space="preserve"> </w:t>
      </w:r>
      <m:oMath>
        <m:r>
          <m:t>30</m:t>
        </m:r>
      </m:oMath>
      <w:r>
        <w:t xml:space="preserve"> </w:t>
      </w:r>
      <w:r>
        <w:t xml:space="preserve">major platforms, coding dark pattern practices using established HCI and behavioural economics typologies, and synthesising survey findings descriptively to identify recurring trends in consumer experience and vulnerability</w:t>
      </w:r>
      <w:r>
        <w:t xml:space="preserve"> </w:t>
      </w:r>
      <w:r>
        <w:t xml:space="preserve">(Khare et al., 2026, p. 7)</w:t>
      </w:r>
      <w:r>
        <w:t xml:space="preserve">. This articulation of sources, coding frames and synthesis logic is mirrored in this thesis’s use of a working coding matrix (Codes A, B, C) that is explicitly defined and never presented as official regulatory classification. Reliability in assessment of AI and algorithmic governance further depends on structured evaluation matrices. Mutawa et al. construct an Algorithmic Governance Assessment Matrix for zakat institutions that evaluates transparency, accountability, explainability, data integrity and Shariah alignment, supported by coding sheets to organise qualitative data and extract cross cutting themes. Their descriptive statistics on eligibility accuracy, processing time reduction, transparency scores and AI readiness, derived from institutional annual reports and audits, illustrate how secondary quantitative indicators can be integrated into a qualitative audit while clearly distinguishing observed values from interpretive conclusions</w:t>
      </w:r>
      <w:r>
        <w:t xml:space="preserve"> </w:t>
      </w:r>
      <w:r>
        <w:t xml:space="preserve">(Mutawa et al., 2025, p. 59)</w:t>
      </w:r>
      <w:r>
        <w:t xml:space="preserve">. In this thesis, similar care is taken to separate reported engagement or harm metrics from qualitative categorisations such as "Code Category C: Prohibited Systemic Practices." Hybrid governance case studies underscore that reliable audit work requires triangulation across organisational reports, regulatory frameworks and interviews. Alrwili and Kantharia purposively select decision support systems in healthcare triage, civil service HR, and municipal services, apply thematic coding aligned with fairness, transparency, accountability and privacy, and enhance reliability through coder agreement and documented analytic decisions. Comparative findings are reported using quantified indicators such as bias reduction rates, appeal resolution times, and audit compliance scores, but always contextualised within governance models (self regulatory, co regulatory, statutory), which provides a template for transparently linking qualitative themes to performance signals in social recommender audits</w:t>
      </w:r>
      <w:r>
        <w:t xml:space="preserve"> </w:t>
      </w:r>
      <w:r>
        <w:t xml:space="preserve">(Alrwili &amp; Kantharia, 2025, p. 2)</w:t>
      </w:r>
      <w:r>
        <w:t xml:space="preserve">. Explainable AI research in hoax detection adds another dimension to transparency. Syari et al. criticise black box classification systems that offer no explanation and note that lack of explainability undermines public trust and legal usability, motivating the integration of XAI approaches so that classification results become understandable and logically verifiable for end users, policymakers and law enforcement</w:t>
      </w:r>
      <w:r>
        <w:t xml:space="preserve"> </w:t>
      </w:r>
      <w:r>
        <w:t xml:space="preserve">(Syari et al., 2025, p. 2)</w:t>
      </w:r>
      <w:r>
        <w:t xml:space="preserve">. Their design goal of combining NLP with critical thinking principles and XAI aligns with this thesis’s insistence that qualitative audit findings about manipulative design and algorithmic addiction must be traceable to specific UI features, regulatory clauses or documented metrics, not opaque analyst judgments. Work on multimodal emotion recognition and algorithmic adjustment of content visibility further complicates transparency: systems that blend facial expression, voice and text signals may yield high classification performance yet introduce new vectors of behavioural steering that are difficult to unpack from public reports; acknowledging these limits helps calibrate what can reasonably be inferred from platform disclosures</w:t>
      </w:r>
      <w:r>
        <w:t xml:space="preserve"> </w:t>
      </w:r>
      <w:r>
        <w:t xml:space="preserve">(Zhou, 2025, p. 3)</w:t>
      </w:r>
      <w:r>
        <w:t xml:space="preserve">. At the same time, reported gains in multimodal emotion classification suggest observable metrics that qualitative auditors can record and triangulate with regulatory statements and user testimony when available</w:t>
      </w:r>
      <w:r>
        <w:t xml:space="preserve"> </w:t>
      </w:r>
      <w:r>
        <w:t xml:space="preserve">(Zhou, 2025, p. 3)</w:t>
      </w:r>
      <w:r>
        <w:t xml:space="preserve">. Finally, model law provisions structurally embed transparency expectations into AI governance. Kostenko’s AI Law Model requires detailed technical documentation, event logging, and audit trails for high risk systems, together with national registers and cross border liability rules that guarantee supervisory access to data and models</w:t>
      </w:r>
      <w:r>
        <w:t xml:space="preserve"> </w:t>
      </w:r>
      <w:r>
        <w:t xml:space="preserve">(Kostenko, 2025, p. 107; 2025, p. 111)</w:t>
      </w:r>
      <w:r>
        <w:t xml:space="preserve">. Although this thesis cannot inspect proprietary recommender code, these provisions provide normative criteria against which the transparency of published platform reports and regulatory proceedings is qualitatively assessed.</w:t>
      </w:r>
    </w:p>
    <w:bookmarkEnd w:id="88"/>
    <w:bookmarkStart w:id="89" w:name="sec:reflexivity_positionality"/>
    <w:p>
      <w:pPr>
        <w:pStyle w:val="Heading3"/>
      </w:pPr>
      <w:r>
        <w:rPr>
          <w:rStyle w:val="SectionNumber"/>
        </w:rPr>
        <w:t xml:space="preserve">6.4.3</w:t>
      </w:r>
      <w:r>
        <w:tab/>
      </w:r>
      <w:r>
        <w:t xml:space="preserve">Reflexivity and Researcher Positionality</w:t>
      </w:r>
    </w:p>
    <w:p>
      <w:pPr>
        <w:pStyle w:val="FirstParagraph"/>
      </w:pPr>
      <w:r>
        <w:t xml:space="preserve">Position in the research field shapes how evidence is interpreted, especially when qualitative synthesis is the primary method. Asante and Adeoba explicitly acknowledge that secondary qualitative inquiry is grounded in constructivism and subjectivist epistemology: conceptual understanding emerges through interpretation and synthesis of existing evidence rather than direct engagement with research participants</w:t>
      </w:r>
      <w:r>
        <w:t xml:space="preserve"> </w:t>
      </w:r>
      <w:r>
        <w:t xml:space="preserve">(Asante &amp; Adeoba, 2026, p. 8; 2026, p. 10)</w:t>
      </w:r>
      <w:r>
        <w:t xml:space="preserve">. This stance implies that the present analysis is unavoidably theory laden, filtered through prior commitments about AI governance, CSR, and ethical marketing, and that reflexive scrutiny of those commitments is needed to avoid selective reading. Qualitative methodologists treat reflexivity as a core quality criterion. Kishore and colleagues document how analyst triangulation, memo writing, and explicit recording of analytic decisions support credibility, dependability, and confirmability in constructivist grounded theory studies of digital consumption and AI mediated finance</w:t>
      </w:r>
      <w:r>
        <w:t xml:space="preserve"> </w:t>
      </w:r>
      <w:r>
        <w:t xml:space="preserve">(Raaj S. et al., 2026, p. 6; 2026, p. 4245543)</w:t>
      </w:r>
      <w:r>
        <w:t xml:space="preserve">. Asante and Adeoba adopt a similar orientation: they maintain an audit trail of literature selection and analysis, use reflexive interpretation throughout, and align their evaluation with Lincoln and Guba’s criteria of credibility, transferability, dependability and confirmability</w:t>
      </w:r>
      <w:r>
        <w:t xml:space="preserve"> </w:t>
      </w:r>
      <w:r>
        <w:t xml:space="preserve">(Asante &amp; Adeoba, 2026, p. 10; 2026, p. 11)</w:t>
      </w:r>
      <w:r>
        <w:t xml:space="preserve">. This thesis applies the same reflexive discipline to its coding matrix and thematic structure, documenting how regulatory texts, UX audits, and empirical studies have been weighted and interpreted rather than presenting its categories as neutral discoveries. Handling interpretive bias is particularly sensitive where AI systems intersect with ethical or religious values. Marwantika and Dauda, in evaluating Islamic AI applications, developed coding dimensions for bias and validity, then explicitly confronted their own positionality as Islamic communication scholars. They maintained a reflexive log, consulted scholars from diverse orientations, and used systematic recourse to primary sources to resolve disagreements between coders</w:t>
      </w:r>
      <w:r>
        <w:t xml:space="preserve"> </w:t>
      </w:r>
      <w:r>
        <w:t xml:space="preserve">(Marwantika &amp; Dauda, 2025, p. 5)</w:t>
      </w:r>
      <w:r>
        <w:t xml:space="preserve">. Their approach makes clear that evaluators’ normative commitments can colour judgments about what counts as "valid" or "ethical" AI behaviour. In this report, a similar risk exists given the author’s professional orientation toward AI ethics: there is a tendency to treat precautionary or restrictive regulatory proposals as inherently desirable. Reflexive memoing and the inclusion of divergent assessments of AI governance capacity therefore serve not merely as documentation devices but as safeguards against unilateral moral framing</w:t>
      </w:r>
      <w:r>
        <w:t xml:space="preserve"> </w:t>
      </w:r>
      <w:r>
        <w:t xml:space="preserve">(Chukhray &amp; Koval, 2026, p. 10; Sikalo, 2026, p. 19)</w:t>
      </w:r>
      <w:r>
        <w:t xml:space="preserve">. Methodological choices about what counts as data also reflect positional assumptions. Khare et al. deliberately privilege regulatory documents, enforcement orders, and complaint statistics in their dark pattern analysis, treating institutional artefacts and consumer surveys as primary evidence about manipulative design</w:t>
      </w:r>
      <w:r>
        <w:t xml:space="preserve"> </w:t>
      </w:r>
      <w:r>
        <w:t xml:space="preserve">(Khare et al., 2026, p. 6)</w:t>
      </w:r>
      <w:r>
        <w:t xml:space="preserve">. Asante and Adeoba, by contrast, select peer reviewed literature, industry reports, and policy publications to theorise CSR and ethical AI marketing, explicitly excluding sources that lack clear relevance to their conceptual variables</w:t>
      </w:r>
      <w:r>
        <w:t xml:space="preserve"> </w:t>
      </w:r>
      <w:r>
        <w:t xml:space="preserve">(Asante &amp; Adeoba, 2026, p. 8)</w:t>
      </w:r>
      <w:r>
        <w:t xml:space="preserve">. The present thesis aligns more closely with the latter strategy for governance questions and with the former for interface manipulation, which embeds a judgement that formal law and enforcement practice are authoritative for defining acceptable recommender behaviour. Reflexively, this foregrounding of European style regulation and model law texts risks under representing alternative governance imaginaries from other regions or disciplines</w:t>
      </w:r>
      <w:r>
        <w:t xml:space="preserve"> </w:t>
      </w:r>
      <w:r>
        <w:t xml:space="preserve">(Kostenko, 2025, p. 22; T et al., 2026, p. 12)</w:t>
      </w:r>
      <w:r>
        <w:t xml:space="preserve">. Researcher positionality also shapes how black box opacity is interpreted. Malachi et al.’s mixed methods trial of AI augmented mental health support repeatedly stresses the necessity of human mediated interpretation, audit circles, and participatory pedagogy to prevent "AI mental health colonialism," revealing a sceptical stance toward purely technical fixes in fragile contexts</w:t>
      </w:r>
      <w:r>
        <w:t xml:space="preserve"> </w:t>
      </w:r>
      <w:r>
        <w:t xml:space="preserve">(Grace Malachi et al., 2025, p. 11)</w:t>
      </w:r>
      <w:r>
        <w:t xml:space="preserve">. Mogoi and colleagues similarly characterise AI powered mobile proctoring as a socio technical system and argue that ethical safeguards, institutional readiness, and stakeholder engagement are as critical as algorithmic accuracy</w:t>
      </w:r>
      <w:r>
        <w:t xml:space="preserve"> </w:t>
      </w:r>
      <w:r>
        <w:t xml:space="preserve">(Mogoi et al., 2025, p. 9)</w:t>
      </w:r>
      <w:r>
        <w:t xml:space="preserve">. Adopting these perspectives in the present study encourages a focus on governance architectures and human in the loop processes when evaluating social recommenders. This orientation may lead to downplaying purely technical mitigation proposals that do not include accompanying accountability structures, a bias that is made explicit here so readers can assess the interpretive lens applied</w:t>
      </w:r>
      <w:r>
        <w:t xml:space="preserve"> </w:t>
      </w:r>
      <w:r>
        <w:t xml:space="preserve">(Alrwili &amp; Kantharia, 2025, p. 2; Bahangulu &amp; Owusu-Berko, 2025, p. 7)</w:t>
      </w:r>
      <w:r>
        <w:t xml:space="preserve">. Finally, reflexivity requires acknowledging that this thesis evaluates engagement optimised platforms from a position heavily informed by AI law models and CSR centric governance thinking. Kostenko’s AI Law Model is treated as a normative benchmark: it prioritises human rights over innovation, demands transparency, preventive risk management, and independent ethical oversight, and empowers regulators to block systems that cannot be audited or that violate confidentiality and non discrimination principles</w:t>
      </w:r>
      <w:r>
        <w:t xml:space="preserve"> </w:t>
      </w:r>
      <w:r>
        <w:t xml:space="preserve">(Kostenko, 2025, p. 22; 2025, p. 37; 2025, p. 44)</w:t>
      </w:r>
      <w:r>
        <w:t xml:space="preserve">. Asante and Adeoba’s framing of CSR as the mediator that turns Communities of Practice into ethical AI marketing routines similarly positions corporate responsibility structures as the natural locus of reform</w:t>
      </w:r>
      <w:r>
        <w:t xml:space="preserve"> </w:t>
      </w:r>
      <w:r>
        <w:t xml:space="preserve">(Asante &amp; Adeoba, 2026, p. 11)</w:t>
      </w:r>
      <w:r>
        <w:t xml:space="preserve">. The coding matrix and proposed Ethical AI Audit Toolkit inherit these assumptions. Recognising this positionality does not negate the value of the analysis, but it clarifies that alternative readings based on, for example, innovation first or minimal state intervention philosophies would likely emphasise different risks and opportunities. Making these commitments explicit is consistent with qualitative standards that call for transparency about researcher standpoint as part of methodological quality</w:t>
      </w:r>
      <w:r>
        <w:t xml:space="preserve"> </w:t>
      </w:r>
      <w:r>
        <w:t xml:space="preserve">(Asante &amp; Adeoba, 2026, p. 10; Marwantika &amp; Dauda, 2025, p. 5; Raaj S. et al., 2026, p. 6)</w:t>
      </w:r>
      <w:r>
        <w:t xml:space="preserve">.</w:t>
      </w:r>
    </w:p>
    <w:bookmarkEnd w:id="89"/>
    <w:bookmarkEnd w:id="90"/>
    <w:bookmarkEnd w:id="91"/>
    <w:bookmarkStart w:id="108" w:name="Xc02ecf41b17461487144bdccab79ab49f148997"/>
    <w:p>
      <w:pPr>
        <w:pStyle w:val="Heading1"/>
      </w:pPr>
      <w:r>
        <w:rPr>
          <w:rStyle w:val="SectionNumber"/>
        </w:rPr>
        <w:t xml:space="preserve">7</w:t>
      </w:r>
      <w:r>
        <w:tab/>
      </w:r>
      <w:r>
        <w:t xml:space="preserve">Comparative Qualitative Audit of Major Social Platforms</w:t>
      </w:r>
    </w:p>
    <w:bookmarkStart w:id="95" w:name="X037bc7eb8b8eee84e0799a1a15bac92ac7e5110"/>
    <w:p>
      <w:pPr>
        <w:pStyle w:val="Heading2"/>
      </w:pPr>
      <w:r>
        <w:rPr>
          <w:rStyle w:val="SectionNumber"/>
        </w:rPr>
        <w:t xml:space="preserve">7.1</w:t>
      </w:r>
      <w:r>
        <w:tab/>
      </w:r>
      <w:r>
        <w:t xml:space="preserve">Selection Rationale and Platform Profiles</w:t>
      </w:r>
    </w:p>
    <w:bookmarkStart w:id="92" w:name="sec:shortform_personalized_feeds"/>
    <w:p>
      <w:pPr>
        <w:pStyle w:val="Heading3"/>
      </w:pPr>
      <w:r>
        <w:rPr>
          <w:rStyle w:val="SectionNumber"/>
        </w:rPr>
        <w:t xml:space="preserve">7.1.1</w:t>
      </w:r>
      <w:r>
        <w:tab/>
      </w:r>
      <w:r>
        <w:t xml:space="preserve">Short-Form Video Platforms with Personalized Feeds</w:t>
      </w:r>
    </w:p>
    <w:p>
      <w:pPr>
        <w:pStyle w:val="FirstParagraph"/>
      </w:pPr>
      <w:r>
        <w:t xml:space="preserve">Short form video services built on personalised feeds are treated in this audit as paradigmatic cases of engagement optimised social recommender systems. In China, online video users reached</w:t>
      </w:r>
      <w:r>
        <w:t xml:space="preserve"> </w:t>
      </w:r>
      <m:oMath>
        <m:r>
          <m:t>1.093</m:t>
        </m:r>
      </m:oMath>
      <w:r>
        <w:t xml:space="preserve"> </w:t>
      </w:r>
      <w:r>
        <w:t xml:space="preserve">billion by December 2025, with short video users numbering</w:t>
      </w:r>
      <w:r>
        <w:t xml:space="preserve"> </w:t>
      </w:r>
      <m:oMath>
        <m:r>
          <m:t>1.074</m:t>
        </m:r>
      </m:oMath>
      <w:r>
        <w:t xml:space="preserve"> </w:t>
      </w:r>
      <w:r>
        <w:t xml:space="preserve">billion, equivalent to</w:t>
      </w:r>
      <w:r>
        <w:t xml:space="preserve"> </w:t>
      </w:r>
      <m:oMath>
        <m:r>
          <m:t>95.4</m:t>
        </m:r>
        <m:r>
          <m:rPr>
            <m:sty m:val="p"/>
          </m:rPr>
          <m:t>%</m:t>
        </m:r>
      </m:oMath>
      <w:r>
        <w:t xml:space="preserve"> </w:t>
      </w:r>
      <w:r>
        <w:t xml:space="preserve">of all netizens. College students are identified as a primary consumer group. Moderate use can aid information acquisition and emotional regulation, yet excessive use is linked to diminished academic concentration, weakened social skills, heightened anxiety and depression, and eventual behavioural addiction. These platforms rely on neural network based recommendation engines that continuously optimise content matching and are tightly coupled with micro duration clips and infinite swipe interfaces, creating what Li terms an algorithmic "addiction loop"</w:t>
      </w:r>
      <w:r>
        <w:t xml:space="preserve"> </w:t>
      </w:r>
      <w:r>
        <w:t xml:space="preserve">(Li, 2026, p. 2)</w:t>
      </w:r>
      <w:r>
        <w:t xml:space="preserve">. Engagement mechanics on such platforms exhibit several Code A features from this report’s working matrix. Infinite scroll and auto play combine with ultra short clips to minimise friction for "one more" video, while push notifications function as re entry cues into the personalised loop. This configuration propels users into an "auto pilot mode" of persistent scrolling, a pattern that aligns with Hu’s account of "dopamine driven feedback loops" where infinite scrolling interfaces and variable reward schedules produce</w:t>
      </w:r>
      <w:r>
        <w:t xml:space="preserve"> </w:t>
      </w:r>
      <m:oMath>
        <m:r>
          <m:t>22</m:t>
        </m:r>
        <m:r>
          <m:rPr>
            <m:sty m:val="p"/>
          </m:rPr>
          <m:t>%</m:t>
        </m:r>
      </m:oMath>
      <w:r>
        <w:t xml:space="preserve"> </w:t>
      </w:r>
      <w:r>
        <w:t xml:space="preserve">higher rates of compulsive checking in algorithmically curated feeds relative to non algorithmic ones</w:t>
      </w:r>
      <w:r>
        <w:t xml:space="preserve"> </w:t>
      </w:r>
      <w:r>
        <w:t xml:space="preserve">(Hu, 2025, p. 2; Li, 2026, p. 2)</w:t>
      </w:r>
      <w:r>
        <w:t xml:space="preserve">. Neuroimaging evidence synthesised by Hu associates prolonged use of such feeds with reduced prefrontal cortex activity and reduced gray matter density in regions responsible for impulse control, and longitudinal data link hyper personalised feeds to a</w:t>
      </w:r>
      <w:r>
        <w:t xml:space="preserve"> </w:t>
      </w:r>
      <m:oMath>
        <m:r>
          <m:t>23</m:t>
        </m:r>
        <m:r>
          <m:rPr>
            <m:sty m:val="p"/>
          </m:rPr>
          <m:t>%</m:t>
        </m:r>
      </m:oMath>
      <w:r>
        <w:t xml:space="preserve"> </w:t>
      </w:r>
      <w:r>
        <w:t xml:space="preserve">higher incidence of depressive symptoms compared with chronological content. These findings position short form personalised feeds as high risk configurations for algorithmic addiction in this report’s taxonomy</w:t>
      </w:r>
      <w:r>
        <w:t xml:space="preserve"> </w:t>
      </w:r>
      <w:r>
        <w:t xml:space="preserve">(Hu, 2025, p. 20)</w:t>
      </w:r>
      <w:r>
        <w:t xml:space="preserve">. Regulators have begun to treat these mechanics not as neutral usability choices but as potential manipulative design. Under the Digital Services Act, the European Union opened proceedings into TikTok in 2026 and explicitly cited its algorithmic recommendation mechanisms and interface features, including infinite scrolling, auto play, and push notifications, as possible systematic manipulative design impairing users’ capacity for free and informed decisions</w:t>
      </w:r>
      <w:r>
        <w:t xml:space="preserve"> </w:t>
      </w:r>
      <w:r>
        <w:t xml:space="preserve">(Li, 2026, p. 2)</w:t>
      </w:r>
      <w:r>
        <w:t xml:space="preserve">. In parallel, evidence reviewed by Chitra et al. shows that TikTok’s collaborative filtering plus content based recommender, optimised on video completion and sharing, is linked to rapid viral spread of political misinformation and heightened democratic risks, in a governance context where only community guidelines and a content advisory council are publicly visible mechanisms</w:t>
      </w:r>
      <w:r>
        <w:t xml:space="preserve"> </w:t>
      </w:r>
      <w:r>
        <w:t xml:space="preserve">(T et al., 2026, p. 15)</w:t>
      </w:r>
      <w:r>
        <w:t xml:space="preserve">. This combination of extremely strong engagement signals, opaque optimisation, and limited structural checks leads this audit to classify TikTok like short form platforms as priority objects for Code C assessment under a Digital Fairness trajectory</w:t>
      </w:r>
      <w:r>
        <w:t xml:space="preserve"> </w:t>
      </w:r>
      <w:r>
        <w:t xml:space="preserve">(Li, 2026, p. 2; T et al., 2026, p. 15)</w:t>
      </w:r>
      <w:r>
        <w:t xml:space="preserve">. Psychological and value impacts among student users deepen the concern. Li reports that short video addiction correlates with impaired sleep quality, unhealthy dietary patterns, elevated stress and increased depression and anxiety, and that algorithmically constructed "information cocoons" contribute to de individuation and attenuated critical thinking, with critics describing short videos as "time sinkholes" that impede engagement with serious pursuits</w:t>
      </w:r>
      <w:r>
        <w:t xml:space="preserve"> </w:t>
      </w:r>
      <w:r>
        <w:t xml:space="preserve">(Li, 2026, p. 6)</w:t>
      </w:r>
      <w:r>
        <w:t xml:space="preserve">. These outcomes intersect directly with Kostenko’s digital ecology principle, which prohibits algorithms that "cause psychological pressure, impose patterns of behaviour or restrict freedom of choice, form addiction or create self replicating digital environments that lead to the loss of a person’s ability to think critically and autonomously," and which recognises an inalienable right to a digital environment free from intrusive content and excessive information flows that generate chronic anxiety or distract cognitive attention without explicit consent</w:t>
      </w:r>
      <w:r>
        <w:t xml:space="preserve"> </w:t>
      </w:r>
      <w:r>
        <w:t xml:space="preserve">(Kostenko, 2025, p. 119)</w:t>
      </w:r>
      <w:r>
        <w:t xml:space="preserve">. Personalised short form feeds that repeatedly deliver high arousal content in an endless loop to developmentally vulnerable users such as students therefore sit in clear tension with these articulated rights. Political and civic risks are also documented. Chitra et al. collate evidence that TikTok accounts expressing interest in political topics can be "quickly directed toward extremist material," and note that the platform’s architecture enables rapid viral spread of political misinformation under an engagement oriented optimisation regime</w:t>
      </w:r>
      <w:r>
        <w:t xml:space="preserve"> </w:t>
      </w:r>
      <w:r>
        <w:t xml:space="preserve">(T et al., 2026, p. 8)</w:t>
      </w:r>
      <w:r>
        <w:t xml:space="preserve">. Hu’s broader analysis of engagement worship in social media indicates that engagement driven content prioritisation systematically amplifies sensationalist and polarising material and that users often lack awareness of the underlying curation, creating a paradox where platforms both connect people and manipulate cognitive autonomy</w:t>
      </w:r>
      <w:r>
        <w:t xml:space="preserve"> </w:t>
      </w:r>
      <w:r>
        <w:t xml:space="preserve">(Hu, 2025, p. 2)</w:t>
      </w:r>
      <w:r>
        <w:t xml:space="preserve">. For the comparative audit in this chapter, short form video platforms with personalised feeds are therefore profiled not only as entertainment services but as high leverage nodes in information and opinion formation systems. These observations must be read against the methodological limitation that proprietary recommender algorithms remain black boxes for this project. Internal ranking functions, loss surfaces and A/B test results are not accessible. Assessment relies instead on published secondary work describing platform mechanics, regulatory investigations that document specific UI features such as infinite scroll and auto play, and empirical studies that link usage patterns in such environments to mental health and democratic outcomes</w:t>
      </w:r>
      <w:r>
        <w:t xml:space="preserve"> </w:t>
      </w:r>
      <w:r>
        <w:t xml:space="preserve">(Hu, 2025, p. 2; Khare et al., 2026, p. 6; Li, 2026, p. 2)</w:t>
      </w:r>
      <w:r>
        <w:t xml:space="preserve">. Within that constraint, short form personalised video platforms emerge as priority cases for an Ethical AI Audit Toolkit: they exhibit concentrated Code A engagement features, strong Code B psychological triggers, and exposure to Code C prohibitions on manipulative and addictive environments under emerging AI law models and EU platform regulation</w:t>
      </w:r>
      <w:r>
        <w:t xml:space="preserve"> </w:t>
      </w:r>
      <w:r>
        <w:t xml:space="preserve">(Hu, 2025, p. 20; Kostenko, 2025, p. 119; Li, 2026, p. 2; T et al., 2026, p. 15)</w:t>
      </w:r>
      <w:r>
        <w:t xml:space="preserve">.</w:t>
      </w:r>
    </w:p>
    <w:bookmarkEnd w:id="92"/>
    <w:bookmarkStart w:id="93" w:name="sec:image_story_social_networks"/>
    <w:p>
      <w:pPr>
        <w:pStyle w:val="Heading3"/>
      </w:pPr>
      <w:r>
        <w:rPr>
          <w:rStyle w:val="SectionNumber"/>
        </w:rPr>
        <w:t xml:space="preserve">7.1.2</w:t>
      </w:r>
      <w:r>
        <w:tab/>
      </w:r>
      <w:r>
        <w:t xml:space="preserve">Image and Story-Centric Social Networks</w:t>
      </w:r>
    </w:p>
    <w:p>
      <w:pPr>
        <w:pStyle w:val="FirstParagraph"/>
      </w:pPr>
      <w:r>
        <w:t xml:space="preserve">Image and story centric networks such as Instagram and Snapchat sit at the intersection of behavioral advertising, social proof, and creator monetization, which makes them central cases for this audit alongside short form video services. Quinelato classifies platforms like Instagram, Snapchat and TikTok as "social media" within the broader category of digital platforms that operate as virtual hosting services: they algorithmically reference third party content and enable remote contracts between consumers and merchants, while collecting and exploiting granular interaction data. These services are structurally positioned for intensive behavioral advertising because they combine rich visual streams with tracking of likes, shares and dwell time that can be repurposed into detailed interest profiles</w:t>
      </w:r>
      <w:r>
        <w:t xml:space="preserve"> </w:t>
      </w:r>
      <w:r>
        <w:t xml:space="preserve">(Quinelato, 2024, p. 4)</w:t>
      </w:r>
      <w:r>
        <w:t xml:space="preserve">. Research on recommender systems shows that such profiling has effects far beyond individual clicks. Ferraro et al. document how recommendation engines in cultural domains repeatedly influence consumption choices and, over time, shape cultural literacies and population level taste. They describe these systems as a form of "monitoring based marketing" that commodifies user data at scale while giving users little say over data generation or secondary use. In image based networks this dynamic is amplified because each interaction both constitutes cultural production and feeds the ranking logic that governs subsequent exposure, embedding users in a loop where visually curated self presentation and algorithmic curation mutually reinforce prevailing aesthetic and social norms</w:t>
      </w:r>
      <w:r>
        <w:t xml:space="preserve"> </w:t>
      </w:r>
      <w:r>
        <w:t xml:space="preserve">(Ferraro et al., 2023, p. 5)</w:t>
      </w:r>
      <w:r>
        <w:t xml:space="preserve">. Algorithmic prioritisation of high arousal or status laden imagery has documented psychological and equity impacts. Hu reports that Instagram’s algorithmic "Explore" page amplified body negative imagery by</w:t>
      </w:r>
      <w:r>
        <w:t xml:space="preserve"> </w:t>
      </w:r>
      <m:oMath>
        <m:r>
          <m:t>23</m:t>
        </m:r>
        <m:r>
          <m:rPr>
            <m:sty m:val="p"/>
          </m:rPr>
          <m:t>%</m:t>
        </m:r>
      </m:oMath>
      <w:r>
        <w:t xml:space="preserve"> </w:t>
      </w:r>
      <w:r>
        <w:t xml:space="preserve">relative to chronological feeds, correlating with a statistically significant decline in self esteem among adolescent women of color (regression coefficient</w:t>
      </w:r>
      <w:r>
        <w:t xml:space="preserve"> </w:t>
      </w:r>
      <m:oMath>
        <m:r>
          <m:t>β</m:t>
        </m:r>
        <m:r>
          <m:rPr>
            <m:sty m:val="p"/>
          </m:rPr>
          <m:t>=</m:t>
        </m:r>
        <m:r>
          <m:rPr>
            <m:sty m:val="p"/>
          </m:rPr>
          <m:t>−</m:t>
        </m:r>
        <m:r>
          <m:t>0.41</m:t>
        </m:r>
      </m:oMath>
      <w:r>
        <w:t xml:space="preserve">,</w:t>
      </w:r>
      <w:r>
        <w:t xml:space="preserve"> </w:t>
      </w:r>
      <m:oMath>
        <m:r>
          <m:t>p</m:t>
        </m:r>
        <m:r>
          <m:rPr>
            <m:sty m:val="p"/>
          </m:rPr>
          <m:t>&lt;</m:t>
        </m:r>
        <m:r>
          <m:t>0.05</m:t>
        </m:r>
      </m:oMath>
      <w:r>
        <w:t xml:space="preserve">). Sentiment analysis in the same work shows that algorithmically prioritised content exhibits</w:t>
      </w:r>
      <w:r>
        <w:t xml:space="preserve"> </w:t>
      </w:r>
      <m:oMath>
        <m:r>
          <m:t>31</m:t>
        </m:r>
        <m:r>
          <m:rPr>
            <m:sty m:val="p"/>
          </m:rPr>
          <m:t>%</m:t>
        </m:r>
      </m:oMath>
      <w:r>
        <w:t xml:space="preserve"> </w:t>
      </w:r>
      <w:r>
        <w:t xml:space="preserve">higher negative affect than non prioritised baselines, reinforcing a pattern where engagement optimisation systematically favours harmful material</w:t>
      </w:r>
      <w:r>
        <w:t xml:space="preserve"> </w:t>
      </w:r>
      <w:r>
        <w:t xml:space="preserve">(Hu, 2025, p. 3)</w:t>
      </w:r>
      <w:r>
        <w:t xml:space="preserve">. These findings position image centric platforms as high risk environments in this report’s working taxonomy where recommendation objectives conflict with mental health and anti discrimination duties</w:t>
      </w:r>
      <w:r>
        <w:t xml:space="preserve"> </w:t>
      </w:r>
      <w:r>
        <w:t xml:space="preserve">(Ferraro et al., 2023, p. 5; Hu, 2025, p. 3)</w:t>
      </w:r>
      <w:r>
        <w:t xml:space="preserve">. From an engineering and creator governance angle, Zeng et al. show that Instagram and TikTok form key categories in empirical studies of AI enabled creator commerce. Their mixed method research evaluates AI driven product architectures across platforms and identifies platform type (YouTube, Instagram, TikTok), content format (video, short form, image) and audience size as moderating variables in how AI intelligence engineering affects creator performance, engagement and revenue. The study combines survey data from content creators and engineers with secondary platform analytics (engagement rates, click through ratios, retention metrics) and uses structural equation modelling to quantify relationships between AI integration frequency, system usability and outcomes such as conversion rate and revenue growth. These results confirm that image and story centric networks are already embedded in highly optimised, AI intensive monetisation architectures in which engagement metrics are directly coupled to business value</w:t>
      </w:r>
      <w:r>
        <w:t xml:space="preserve"> </w:t>
      </w:r>
      <w:r>
        <w:t xml:space="preserve">(Zeng et al., 2025, p. 3)</w:t>
      </w:r>
      <w:r>
        <w:t xml:space="preserve">. Regulatory perspectives on these platforms arise primarily through the lens of behavioral advertising. Quinelato notes that social media services like Facebook, Instagram and TikTok are leading examples of digital platforms that use behavioural advertising by profiling vulnerable demographics across cookies and third party tracking infrastructure. She stresses that these platforms exploit their unparalleled access to interaction data to personalise products and services and that this personalisation includes highly individualised advertising on the basis of profiles built from observed behaviour. In the same analysis, the need for regulatory measures is framed as a response to opaque persuasive practices and profiling of vulnerable groups rather than to technical innovation per se</w:t>
      </w:r>
      <w:r>
        <w:t xml:space="preserve"> </w:t>
      </w:r>
      <w:r>
        <w:t xml:space="preserve">(Quinelato, 2024, p. 4)</w:t>
      </w:r>
      <w:r>
        <w:t xml:space="preserve">. User side vulnerability interacts with these design and profiling choices. Survey evidence on digital literacy and awareness of GDPR, the DSA and the AI Act indicates that highly active social network users report strong confidence in everyday tasks and online purchases (average Likert scores</w:t>
      </w:r>
      <w:r>
        <w:t xml:space="preserve"> </w:t>
      </w:r>
      <m:oMath>
        <m:r>
          <m:t>4.40</m:t>
        </m:r>
      </m:oMath>
      <w:r>
        <w:t xml:space="preserve">–</w:t>
      </w:r>
      <m:oMath>
        <m:r>
          <m:t>4.62</m:t>
        </m:r>
      </m:oMath>
      <w:r>
        <w:t xml:space="preserve">) yet much lower competence in recognising hidden manipulations (mean</w:t>
      </w:r>
      <w:r>
        <w:t xml:space="preserve"> </w:t>
      </w:r>
      <m:oMath>
        <m:r>
          <m:t>2.31</m:t>
        </m:r>
      </m:oMath>
      <w:r>
        <w:t xml:space="preserve">) and avoiding fraud (</w:t>
      </w:r>
      <m:oMath>
        <m:r>
          <m:t>2.13</m:t>
        </m:r>
      </m:oMath>
      <w:r>
        <w:t xml:space="preserve">). Participants express positive evaluations of EU regulations on data privacy (mean</w:t>
      </w:r>
      <w:r>
        <w:t xml:space="preserve"> </w:t>
      </w:r>
      <m:oMath>
        <m:r>
          <m:t>4.09</m:t>
        </m:r>
      </m:oMath>
      <w:r>
        <w:t xml:space="preserve">) and content moderation on social networks (mean</w:t>
      </w:r>
      <w:r>
        <w:t xml:space="preserve"> </w:t>
      </w:r>
      <m:oMath>
        <m:r>
          <m:t>3.91</m:t>
        </m:r>
      </m:oMath>
      <w:r>
        <w:t xml:space="preserve">), but remain sceptical about their effectiveness against disinformation, cyberbullying and online fraud, especially in cross border contexts such as Ukraine where EU rules apply only indirectly</w:t>
      </w:r>
      <w:r>
        <w:t xml:space="preserve"> </w:t>
      </w:r>
      <w:r>
        <w:t xml:space="preserve">(Chukhray &amp; Koval, 2026, p. 10)</w:t>
      </w:r>
      <w:r>
        <w:t xml:space="preserve">. This combination of high routine confidence and low manipulation awareness suggests that users of image and story centric platforms may be particularly exposed to subtle behavioural advertising and interface pressure</w:t>
      </w:r>
      <w:r>
        <w:t xml:space="preserve"> </w:t>
      </w:r>
      <w:r>
        <w:t xml:space="preserve">(Chukhray &amp; Koval, 2026, p. 10; Quinelato, 2024, p. 4)</w:t>
      </w:r>
      <w:r>
        <w:t xml:space="preserve">. AI governance frameworks provide an external normative reference for evaluating these networks. Leon’s Algorithmic Impact Navigator treats transparency, fairness and respect for autonomy as constant principles across sectors and calls on organisations deploying AI to conduct comprehensive impact evaluations, map regulatory obligations and incorporate stakeholder feedback early in the lifecycle. Developers are expected to embed fairness, privacy and explainability directly into system architectures, including bias mitigation and interpretability mechanisms</w:t>
      </w:r>
      <w:r>
        <w:t xml:space="preserve"> </w:t>
      </w:r>
      <w:r>
        <w:t xml:space="preserve">(Leon, 2026, p. 2)</w:t>
      </w:r>
      <w:r>
        <w:t xml:space="preserve">. Mutawa et al.’s Algorithmic Governance Assessment Matrix, used for ethical AI in zakat distribution, operationalises comparable dimensions: transparency, accountability, explainability, data integrity and alignment with normative principles, supported by coding sheets and secondary performance indicators such as transparency scores</w:t>
      </w:r>
      <w:r>
        <w:t xml:space="preserve"> </w:t>
      </w:r>
      <w:r>
        <w:t xml:space="preserve">(Mutawa et al., 2025, p. 4)</w:t>
      </w:r>
      <w:r>
        <w:t xml:space="preserve">. Applying these templates in this thesis, image and story centric social networks are selected as audit targets because their AI intensive architectures, behavioural advertising practices and documented psychosocial impacts sit exactly in the zone where such assessment matrices and ethical audit obligations become practically relevant</w:t>
      </w:r>
      <w:r>
        <w:t xml:space="preserve"> </w:t>
      </w:r>
      <w:r>
        <w:t xml:space="preserve">(Ferraro et al., 2023, p. 5; Hu, 2025, p. 3; Leon, 2026, p. 2; Zeng et al., 2025, p. 3)</w:t>
      </w:r>
      <w:r>
        <w:t xml:space="preserve">. The ethical data science literature also emphasises that fairness and accountability are processual, not one-off achievements; lifecycle frameworks and documentation practices help translate abstract principles into actionable checks that can persist after deployment</w:t>
      </w:r>
      <w:r>
        <w:t xml:space="preserve"> </w:t>
      </w:r>
      <w:r>
        <w:t xml:space="preserve">(Clement et al., 2025, p. 20)</w:t>
      </w:r>
      <w:r>
        <w:t xml:space="preserve">. In short, treating these networks as audit objects makes practical sense because the same documentation and monitoring tools that reduce harm in clinical or criminal justice settings appear likely to reveal representational gaps and feedback loops in image based recommendation systems</w:t>
      </w:r>
      <w:r>
        <w:t xml:space="preserve"> </w:t>
      </w:r>
      <w:r>
        <w:t xml:space="preserve">(Clement et al., 2025, p. 20)</w:t>
      </w:r>
      <w:r>
        <w:t xml:space="preserve">.</w:t>
      </w:r>
    </w:p>
    <w:bookmarkEnd w:id="93"/>
    <w:bookmarkStart w:id="94" w:name="sec:prof_networking_algo_feeds"/>
    <w:p>
      <w:pPr>
        <w:pStyle w:val="Heading3"/>
      </w:pPr>
      <w:r>
        <w:rPr>
          <w:rStyle w:val="SectionNumber"/>
        </w:rPr>
        <w:t xml:space="preserve">7.1.3</w:t>
      </w:r>
      <w:r>
        <w:tab/>
      </w:r>
      <w:r>
        <w:t xml:space="preserve">Professional Networking Platforms with Algorithmic Feeds</w:t>
      </w:r>
    </w:p>
    <w:p>
      <w:pPr>
        <w:pStyle w:val="FirstParagraph"/>
      </w:pPr>
      <w:r>
        <w:t xml:space="preserve">Professional networking environments with algorithmic feeds warrant inclusion in this audit because they combine social media engagement mechanics with economic gatekeeping around jobs, reputation, and professional opportunity. Chitra and colleagues explicitly list platforms such as Facebook, Instagram, TikTok, X and Google Search as central nodes in political information flows that now eclipse traditional media in influence, with recommender systems acting as "invisible gatekeepers" for what citizens see and believe</w:t>
      </w:r>
      <w:r>
        <w:t xml:space="preserve"> </w:t>
      </w:r>
      <w:r>
        <w:t xml:space="preserve">(T et al., 2026, p. 2)</w:t>
      </w:r>
      <w:r>
        <w:t xml:space="preserve">. Although LinkedIn is not named in the available sources, image and story centric networks and general social media already carry professional branding, job discovery and recruiter interactions, blurring boundaries between leisure feeds and professional signalling</w:t>
      </w:r>
      <w:r>
        <w:t xml:space="preserve"> </w:t>
      </w:r>
      <w:r>
        <w:t xml:space="preserve">(Ferraro et al., 2023, p. 5; Hu, 2025, p. 3)</w:t>
      </w:r>
      <w:r>
        <w:t xml:space="preserve">. Engagement based ranking in professional contexts raises specific risks around filter bubbles, echo chambers and political or ideological skew. Gerr’s mixed method study of Facebook, YouTube and TikTok shows that algorithmic personalisation systematically diminishes exposure to diverse viewpoints and reinforces echo chambers that limit critical thinking and civic participation</w:t>
      </w:r>
      <w:r>
        <w:t xml:space="preserve"> </w:t>
      </w:r>
      <w:r>
        <w:t xml:space="preserve">(Mariia, 2025, p. 5; 2025, p. 29)</w:t>
      </w:r>
      <w:r>
        <w:t xml:space="preserve">. Chitra et al. document platform level amplification patterns: Facebook’s engagement algorithm directed</w:t>
      </w:r>
      <w:r>
        <w:t xml:space="preserve"> </w:t>
      </w:r>
      <m:oMath>
        <m:r>
          <m:t>64</m:t>
        </m:r>
        <m:r>
          <m:rPr>
            <m:sty m:val="p"/>
          </m:rPr>
          <m:t>%</m:t>
        </m:r>
      </m:oMath>
      <w:r>
        <w:t xml:space="preserve"> </w:t>
      </w:r>
      <w:r>
        <w:t xml:space="preserve">of users who joined extremist groups to those groups; YouTube’s recommendations amplified right leaning political content more than equivalent left leaning material; Twitter’s amplification system privileged right leaning content in most tested countries; and TikTok accounts expressing political interest were "quickly directed toward extremist material"</w:t>
      </w:r>
      <w:r>
        <w:t xml:space="preserve"> </w:t>
      </w:r>
      <w:r>
        <w:t xml:space="preserve">(T et al., 2026, p. 8)</w:t>
      </w:r>
      <w:r>
        <w:t xml:space="preserve">. Professional feeds that surface political, ESG or "thought leadership" content through similar engagement logics may therefore import these biases into hiring, networking and reputational signals, a concern that justifies treating professional networks as part of the same algorithmic ecosystem. Behaviourally targeted advertising and profiling also intersect with professional identity construction. Quinelato characterises social media services, including Instagram and TikTok, as digital platforms that profile users through cookies and third party tracking infrastructure in order to deliver highly individualised advertising, including political messaging</w:t>
      </w:r>
      <w:r>
        <w:t xml:space="preserve"> </w:t>
      </w:r>
      <w:r>
        <w:t xml:space="preserve">(Quinelato, 2024, p. 4)</w:t>
      </w:r>
      <w:r>
        <w:t xml:space="preserve">. The same profiling pipelines can support job ads, sponsored courses and professional services targeted on inferred vulnerabilities or aspirations rather than transparent qualifications. Survey data from Chukhray and Koval show that highly active social network users report strong confidence in routine digital tasks and online purchases (Likert means</w:t>
      </w:r>
      <w:r>
        <w:t xml:space="preserve"> </w:t>
      </w:r>
      <m:oMath>
        <m:r>
          <m:t>4.40</m:t>
        </m:r>
      </m:oMath>
      <w:r>
        <w:t xml:space="preserve">–</w:t>
      </w:r>
      <m:oMath>
        <m:r>
          <m:t>4.62</m:t>
        </m:r>
      </m:oMath>
      <w:r>
        <w:t xml:space="preserve">), yet much lower ability to recognise hidden manipulations (mean</w:t>
      </w:r>
      <w:r>
        <w:t xml:space="preserve"> </w:t>
      </w:r>
      <m:oMath>
        <m:r>
          <m:t>2.31</m:t>
        </m:r>
      </m:oMath>
      <w:r>
        <w:t xml:space="preserve">) and avoid fraud (</w:t>
      </w:r>
      <m:oMath>
        <m:r>
          <m:t>2.13</m:t>
        </m:r>
      </m:oMath>
      <w:r>
        <w:t xml:space="preserve">), with scepticism about the effectiveness of GDPR, the DSA and the AI Act in countering disinformation and online fraud</w:t>
      </w:r>
      <w:r>
        <w:t xml:space="preserve"> </w:t>
      </w:r>
      <w:r>
        <w:t xml:space="preserve">(Chukhray &amp; Koval, 2026, p. 10)</w:t>
      </w:r>
      <w:r>
        <w:t xml:space="preserve">. When such users encounter algorithmically sorted professional content, they may overestimate their ability to detect biased or manipulative ranking, which increases ethical and regulatory risk. Normative frameworks on AI governance and digital fairness supply an external lens for assessing these platforms. Gerr’s analysis of the DSA and EU AI Act stresses that current regulation has improved transparency obligations, such as disclosing main recommendation parameters and offering non personalised feeds, yet engagement driven biases in ranking algorithms remain largely unaddressed. Case studies show that YouTube continues to prioritise watch time even where this favours sensationalist over balanced content, and that TikTok struggles to moderate climate misinformation despite formal bans, indicating that technical compliance with transparency rules does not remove deeper structural incentives</w:t>
      </w:r>
      <w:r>
        <w:t xml:space="preserve"> </w:t>
      </w:r>
      <w:r>
        <w:t xml:space="preserve">(Mariia, 2025, p. 7; 2025, p. 28)</w:t>
      </w:r>
      <w:r>
        <w:t xml:space="preserve">. Chitra et al. conclude that safeguarding democracy under algorithmic recommendation requires mandatory transparency, independent third party auditing, AI literacy and conditional liability protection tied to meeting algorithmic accountability standards</w:t>
      </w:r>
      <w:r>
        <w:t xml:space="preserve"> </w:t>
      </w:r>
      <w:r>
        <w:t xml:space="preserve">(T et al., 2026, p. 17; 2026, p. 2253)</w:t>
      </w:r>
      <w:r>
        <w:t xml:space="preserve">. Professional networking feeds that influence employability and reputation can reasonably be expected to meet similar auditability and accountability conditions in a Digital Fairness trajectory. Education oriented findings around user competence and AI literacy underline why these safeguards matter. Chukhray and Koval argue that users experience a "second level divide": everyday skills are high, yet understanding of behavioural biases and algorithmic influence remains limited, particularly outside the EU, where regulations operate only indirectly through association agreements</w:t>
      </w:r>
      <w:r>
        <w:t xml:space="preserve"> </w:t>
      </w:r>
      <w:r>
        <w:t xml:space="preserve">(Chukhray &amp; Koval, 2026, p. 10)</w:t>
      </w:r>
      <w:r>
        <w:t xml:space="preserve">. This gap supports the case for algorithmic literacy and explainable recommendation in professional contexts, for instance transparency dashboards that reveal what data is used to personalise job or content recommendations, similar to proposals in democratic governance work that envisage user control over the ideological diversity of recommendation outputs</w:t>
      </w:r>
      <w:r>
        <w:t xml:space="preserve"> </w:t>
      </w:r>
      <w:r>
        <w:t xml:space="preserve">(T et al., 2026, p. 17)</w:t>
      </w:r>
      <w:r>
        <w:t xml:space="preserve">. Methodologically, these platforms are assessed here under the same constraint that applies throughout this thesis: internal recommendation code, training data and telemetry remain proprietary. Analysis therefore relies on secondary evidence documenting engagement based amplification, profiling practices and regulatory responses on adjacent platforms, together with survey based indicators of user vulnerability and regulatory capacity</w:t>
      </w:r>
      <w:r>
        <w:t xml:space="preserve"> </w:t>
      </w:r>
      <w:r>
        <w:t xml:space="preserve">(Chukhray &amp; Koval, 2026, p. 10; Khare et al., 2026, p. 6; Mariia, 2025, p. 3)</w:t>
      </w:r>
      <w:r>
        <w:t xml:space="preserve">. Within that constraint, professional networking services with algorithmic feeds are selected as a priority audit category because they combine high engagement optimisation with direct consequences for jobs and social status, and operate in an environment where EU style rules on transparency, non profiled feeds, algorithmic auditing and AI literacy are already being articulated as conditions for legitimate use</w:t>
      </w:r>
      <w:r>
        <w:t xml:space="preserve"> </w:t>
      </w:r>
      <w:r>
        <w:t xml:space="preserve">(Kostenko, 2025, p. 25; Mariia, 2025, p. 5; T et al., 2026, p. 2244)</w:t>
      </w:r>
      <w:r>
        <w:t xml:space="preserve">. A broader literature on recommender systems also highlights that these platforms are not merely passenger technologies but multi-stakeholder mechanisms where provider objectives, item suppliers and societal effects can pull ranking away from simple notions of individual user benefit; this perspective suggests that audits should examine platform KPI incentives as well as user-facing outputs</w:t>
      </w:r>
      <w:r>
        <w:t xml:space="preserve"> </w:t>
      </w:r>
      <w:r>
        <w:t xml:space="preserve">(Castells &amp; Jannach, 2023, p. 53)</w:t>
      </w:r>
      <w:r>
        <w:t xml:space="preserve">. Relatedly, scholarship emphasises the need to include human centred evaluation and fairness metrics beyond offline accuracy, since conventional performance measures may miss long term or systemic harms that arise when professional opportunity is mediated by algorithmic exposure</w:t>
      </w:r>
      <w:r>
        <w:t xml:space="preserve"> </w:t>
      </w:r>
      <w:r>
        <w:t xml:space="preserve">(Castells &amp; Jannach, 2023, p. 53)</w:t>
      </w:r>
      <w:r>
        <w:t xml:space="preserve">.</w:t>
      </w:r>
    </w:p>
    <w:bookmarkEnd w:id="94"/>
    <w:bookmarkEnd w:id="95"/>
    <w:bookmarkStart w:id="100" w:name="interface-mechanics-across-platforms"/>
    <w:p>
      <w:pPr>
        <w:pStyle w:val="Heading2"/>
      </w:pPr>
      <w:r>
        <w:rPr>
          <w:rStyle w:val="SectionNumber"/>
        </w:rPr>
        <w:t xml:space="preserve">7.2</w:t>
      </w:r>
      <w:r>
        <w:tab/>
      </w:r>
      <w:r>
        <w:t xml:space="preserve">Interface Mechanics across Platforms</w:t>
      </w:r>
    </w:p>
    <w:bookmarkStart w:id="96" w:name="sec:feed_structures_scrolling_patterns"/>
    <w:p>
      <w:pPr>
        <w:pStyle w:val="Heading3"/>
      </w:pPr>
      <w:r>
        <w:rPr>
          <w:rStyle w:val="SectionNumber"/>
        </w:rPr>
        <w:t xml:space="preserve">7.2.1</w:t>
      </w:r>
      <w:r>
        <w:tab/>
      </w:r>
      <w:r>
        <w:t xml:space="preserve">Feed Structures and Scrolling Patterns</w:t>
      </w:r>
    </w:p>
    <w:p>
      <w:pPr>
        <w:pStyle w:val="FirstParagraph"/>
      </w:pPr>
      <w:r>
        <w:t xml:space="preserve">Short form video feeds are structured around a default, continuously updating stream that removes natural stopping cues. In TikTok’s case, opening the app lands users directly in the personalised "For You" feed rather than a chronological "Following" view, which places the algorithmic stream at the centre of the user journey</w:t>
      </w:r>
      <w:r>
        <w:t xml:space="preserve"> </w:t>
      </w:r>
      <w:r>
        <w:t xml:space="preserve">(Meßmer &amp; Degeling, 2023, p. 42)</w:t>
      </w:r>
      <w:r>
        <w:t xml:space="preserve">. Li describes comparable short video platforms that combine micro duration clips with infinite swipe navigation, where each downward motion instantly loads the next video from a neural network based recommendation engine</w:t>
      </w:r>
      <w:r>
        <w:t xml:space="preserve"> </w:t>
      </w:r>
      <w:r>
        <w:t xml:space="preserve">(Li, 2026, p. 2)</w:t>
      </w:r>
      <w:r>
        <w:t xml:space="preserve">. This pairing of always on feed and single gesture advancement is not incidental: it creates an uninterrupted chain of stimuli that users, especially college students, experience as an "auto pilot mode" of persistent scrolling, with excessive use associated with weakened social skills, heightened anxiety and the development of behavioural addiction</w:t>
      </w:r>
      <w:r>
        <w:t xml:space="preserve"> </w:t>
      </w:r>
      <w:r>
        <w:t xml:space="preserve">(Li, 2026, p. 2; 2026, p. 6)</w:t>
      </w:r>
      <w:r>
        <w:t xml:space="preserve">. Engagement optimised scrolling patterns also appear through auto play. On YouTube, the next video starts by default when the current one finishes, a configuration explicitly cited by Me</w:t>
      </w:r>
      <w:r>
        <w:t xml:space="preserve">ß</w:t>
      </w:r>
      <w:r>
        <w:t xml:space="preserve">mer and Degeling as an interface choice that emphasises recommended content over items consciously selected by the user</w:t>
      </w:r>
      <w:r>
        <w:t xml:space="preserve"> </w:t>
      </w:r>
      <w:r>
        <w:t xml:space="preserve">(Meßmer &amp; Degeling, 2023, p. 42)</w:t>
      </w:r>
      <w:r>
        <w:t xml:space="preserve">. Li reports that short video platforms integrate similar auto play behaviour: once a clip ends, the next item immediately appears, sourced from the personalised distribution rather than any explicit request</w:t>
      </w:r>
      <w:r>
        <w:t xml:space="preserve"> </w:t>
      </w:r>
      <w:r>
        <w:t xml:space="preserve">(Li, 2026, p. 2)</w:t>
      </w:r>
      <w:r>
        <w:t xml:space="preserve">. When combined with infinite scroll, auto play reduces the number of intentional decisions per unit of content and keeps users within the recommendation loop for longer periods, a structural feature that aligns with Hu’s description of "dopamine driven feedback loops" on algorithmically curated feeds</w:t>
      </w:r>
      <w:r>
        <w:t xml:space="preserve"> </w:t>
      </w:r>
      <w:r>
        <w:t xml:space="preserve">(Hu, 2025, p. 2; 2025, p. 20)</w:t>
      </w:r>
      <w:r>
        <w:t xml:space="preserve">. Scrolling patterns interact directly with psychological triggers. Hu links infinite scrolling interfaces and variable reward schedules on platforms "like TikTok" to neural pathways associated with addiction, citing empirical validations that users of algorithmically curated feeds exhibit</w:t>
      </w:r>
      <w:r>
        <w:t xml:space="preserve"> </w:t>
      </w:r>
      <m:oMath>
        <m:r>
          <m:t>22</m:t>
        </m:r>
        <m:r>
          <m:rPr>
            <m:sty m:val="p"/>
          </m:rPr>
          <m:t>%</m:t>
        </m:r>
      </m:oMath>
      <w:r>
        <w:t xml:space="preserve"> </w:t>
      </w:r>
      <w:r>
        <w:t xml:space="preserve">higher rates of compulsive checking behaviour than users of non algorithmic interfaces</w:t>
      </w:r>
      <w:r>
        <w:t xml:space="preserve"> </w:t>
      </w:r>
      <w:r>
        <w:t xml:space="preserve">(Hu, 2025, p. 2)</w:t>
      </w:r>
      <w:r>
        <w:t xml:space="preserve">. Li’s analysis of short video usage among Chinese college students connects these feed structures to impaired sleep, elevated stress, increased depression and anxiety, and disrupted study rhythms, with critics labelling short videos "time sinkholes" that impede engagement with serious pursuits. These findings justify treating infinite scroll and default auto play as high risk Code A features in this report’s working taxonomy. Regulatory documents have begun to name feed structures and scrolling behaviour explicitly. Under the Digital Services Act, the European Commission opened an investigation into TikTok in 2026 and raised concerns that its algorithmic recommendation mechanisms and interface features, including infinite scrolling, auto play, and push notifications, may constitute "systematic manipulative design" that impairs users’ capacity for free and informed decisions</w:t>
      </w:r>
      <w:r>
        <w:t xml:space="preserve"> </w:t>
      </w:r>
      <w:r>
        <w:t xml:space="preserve">(Li, 2026, p. 6)</w:t>
      </w:r>
      <w:r>
        <w:t xml:space="preserve">. Me</w:t>
      </w:r>
      <w:r>
        <w:t xml:space="preserve">ß</w:t>
      </w:r>
      <w:r>
        <w:t xml:space="preserve">mer and Degeling link such design choices to the DSA’s prohibition of dark patterns under Article 25, noting examples such as default auto play and starting the app on the personalised feed as UX decisions that tilt the balance toward recommended content</w:t>
      </w:r>
      <w:r>
        <w:t xml:space="preserve"> </w:t>
      </w:r>
      <w:r>
        <w:t xml:space="preserve">(Meßmer &amp; Degeling, 2023, p. 42)</w:t>
      </w:r>
      <w:r>
        <w:t xml:space="preserve">. These regulatory signals anchor Code C classifications for scrolling patterns that systematically undermine user agency. Feed structures also influence media diversity and polarisation. Gerr’s mixed method audit of Facebook, YouTube and TikTok shows that engagement optimised trending and recommendation surfaces reduce exposure to heterogeneous viewpoints and reinforce echo chambers, which restricts opportunities for critical thinking and civic participation</w:t>
      </w:r>
      <w:r>
        <w:t xml:space="preserve"> </w:t>
      </w:r>
      <w:r>
        <w:t xml:space="preserve">(Mariia, 2025, p. 3; 2025, p. 29)</w:t>
      </w:r>
      <w:r>
        <w:t xml:space="preserve">. Hu’s synthesis describes how collaborative filtering algorithms amplify high arousal content such as outrage or sensationalism and documents that Instagram’s "Explore" page increased exposure to body negative imagery by</w:t>
      </w:r>
      <w:r>
        <w:t xml:space="preserve"> </w:t>
      </w:r>
      <m:oMath>
        <m:r>
          <m:t>23</m:t>
        </m:r>
        <m:r>
          <m:rPr>
            <m:sty m:val="p"/>
          </m:rPr>
          <m:t>%</m:t>
        </m:r>
      </m:oMath>
      <w:r>
        <w:t xml:space="preserve"> </w:t>
      </w:r>
      <w:r>
        <w:t xml:space="preserve">relative to chronological feeds, with a statistically significant decline in self esteem among adolescent women of color</w:t>
      </w:r>
      <w:r>
        <w:t xml:space="preserve"> </w:t>
      </w:r>
      <w:r>
        <w:t xml:space="preserve">(Hu, 2025, p. 3)</w:t>
      </w:r>
      <w:r>
        <w:t xml:space="preserve">. In both cases, the feed’s ranking logic and scrolling dynamics jointly determine which content clusters remain persistently visible as users move through the stream. Inspection of UX and advocacy reports shows that platform feed structures can either support or obstruct user control. Me</w:t>
      </w:r>
      <w:r>
        <w:t xml:space="preserve">ß</w:t>
      </w:r>
      <w:r>
        <w:t xml:space="preserve">mer and Degeling emphasise that the number of clicks required to move from a personalised feed to alternative views, such as "Following" or non profiled recommendations, is a critical design variable for auditing risk scenarios, alongside the default choice of landing view and the presence of auto play toggles</w:t>
      </w:r>
      <w:r>
        <w:t xml:space="preserve"> </w:t>
      </w:r>
      <w:r>
        <w:t xml:space="preserve">(Meßmer &amp; Degeling, 2023, p. 42)</w:t>
      </w:r>
      <w:r>
        <w:t xml:space="preserve">. In education, human in the loop grading systems demonstrate a contrasting pattern: interfaces expose AI scores, SHAP based explanations and editable feedback side by side, with instructors able to modify or override outputs, and all decisions logged with timestamps and reviewer identifiers</w:t>
      </w:r>
      <w:r>
        <w:t xml:space="preserve"> </w:t>
      </w:r>
      <w:r>
        <w:t xml:space="preserve">(Selvam &amp; González Vallejo, 2025, p. 17)</w:t>
      </w:r>
      <w:r>
        <w:t xml:space="preserve">. Although not a social feed, this design illustrates that streaming information can be structured in ways that foreground human oversight rather than engagement maximisation. These observations are constrained by an important methodological limit. Internal recommendation code, training data and real time clickstream telemetry for social platforms are not available to this project. Feed structures and scrolling patterns are therefore assessed through published UX analyses, regulatory proceedings, empirical usage studies and conceptual work on algorithmic engagement, not through direct inspection of proprietary algorithms</w:t>
      </w:r>
      <w:r>
        <w:t xml:space="preserve"> </w:t>
      </w:r>
      <w:r>
        <w:t xml:space="preserve">(Hu, 2025, p. 2; Khare et al., 2026, p. 6; Li, 2026, p. 2; Meßmer &amp; Degeling, 2023, p. 42)</w:t>
      </w:r>
      <w:r>
        <w:t xml:space="preserve">. Within this constraint, personalisable infinite scroll, default auto play and landing on personalised feeds emerge as cross platform design motifs that the Ethical AI Audit Toolkit must treat as core inspection targets under a Digital Fairness trajectory.</w:t>
      </w:r>
    </w:p>
    <w:bookmarkEnd w:id="96"/>
    <w:bookmarkStart w:id="97" w:name="sec:use_autoplay_recommendations"/>
    <w:p>
      <w:pPr>
        <w:pStyle w:val="Heading3"/>
      </w:pPr>
      <w:r>
        <w:rPr>
          <w:rStyle w:val="SectionNumber"/>
        </w:rPr>
        <w:t xml:space="preserve">7.2.2</w:t>
      </w:r>
      <w:r>
        <w:tab/>
      </w:r>
      <w:r>
        <w:t xml:space="preserve">Use of Autoplay and Recommendations</w:t>
      </w:r>
    </w:p>
    <w:p>
      <w:pPr>
        <w:pStyle w:val="FirstParagraph"/>
      </w:pPr>
      <w:r>
        <w:t xml:space="preserve">Autoplay sits at the centre of several engagement loops examined in this audit. Short video platforms couple micro duration clips with feeds in which the next item is automatically presented once the current one finishes, so that opting out requires an active interruption rather than a positive choice to continue. Li’s analysis of Chinese short video services describes infinite swipe navigation, with each downward motion loading another algorithmically selected clip, and identifies auto play alongside infinite scrolling and push notifications as part of an "addictive design" under investigation by the European Commission in its 2026 TikTok proceeding under the DSA</w:t>
      </w:r>
      <w:r>
        <w:t xml:space="preserve"> </w:t>
      </w:r>
      <w:r>
        <w:t xml:space="preserve">(Li, 2026, p. 2)</w:t>
      </w:r>
      <w:r>
        <w:t xml:space="preserve">. Me</w:t>
      </w:r>
      <w:r>
        <w:t xml:space="preserve">ß</w:t>
      </w:r>
      <w:r>
        <w:t xml:space="preserve">mer and Degeling give a parallel example for YouTube, where the auto play function that starts the next video when the current one ends is enabled by default and is explicitly singled out as a design element that emphasises recommended content over items users manually choose from subscription lists or searches</w:t>
      </w:r>
      <w:r>
        <w:t xml:space="preserve"> </w:t>
      </w:r>
      <w:r>
        <w:t xml:space="preserve">(Meßmer &amp; Degeling, 2023, p. 42)</w:t>
      </w:r>
      <w:r>
        <w:t xml:space="preserve">. Recommendation systems are tightly interwoven with these autoplay mechanics. Short video feeds use neural network based recommenders that continuously refine a "For You" style stream from behavioural data, so that auto played items are not random fillers but personalised selections aligned with inferred preferences</w:t>
      </w:r>
      <w:r>
        <w:t xml:space="preserve"> </w:t>
      </w:r>
      <w:r>
        <w:t xml:space="preserve">(Li, 2026, p. 2)</w:t>
      </w:r>
      <w:r>
        <w:t xml:space="preserve">. Me</w:t>
      </w:r>
      <w:r>
        <w:t xml:space="preserve">ß</w:t>
      </w:r>
      <w:r>
        <w:t xml:space="preserve">mer and Degeling note that the TikTok app always opens on the personalised "For You" feed rather than on a "Following" list, which means that both the starting point and the subsequent auto played sequence are determined by recommendation algorithms, not by explicit user navigation</w:t>
      </w:r>
      <w:r>
        <w:t xml:space="preserve"> </w:t>
      </w:r>
      <w:r>
        <w:t xml:space="preserve">(Meßmer &amp; Degeling, 2023, p. 42)</w:t>
      </w:r>
      <w:r>
        <w:t xml:space="preserve">. In this configuration, autoplay does more than save a click: it systematically privileges algorithmic choices over self directed consumption. Evidence on psychological and social effects of such autoplay driven recommendation loops is increasingly detailed. Hu synthesises behavioural and neurocognitive work showing that infinite scrolling interfaces and variable reward schedules, described as "core features of platforms like TikTok," exploit dopaminergic feedback mechanisms associated with addiction. Users of algorithmically curated feeds display</w:t>
      </w:r>
      <w:r>
        <w:t xml:space="preserve"> </w:t>
      </w:r>
      <m:oMath>
        <m:r>
          <m:t>22</m:t>
        </m:r>
        <m:r>
          <m:rPr>
            <m:sty m:val="p"/>
          </m:rPr>
          <m:t>%</m:t>
        </m:r>
      </m:oMath>
      <w:r>
        <w:t xml:space="preserve"> </w:t>
      </w:r>
      <w:r>
        <w:t xml:space="preserve">higher rates of compulsive checking than those using non algorithmic interfaces, and hyper personalised feeds are linked to a</w:t>
      </w:r>
      <w:r>
        <w:t xml:space="preserve"> </w:t>
      </w:r>
      <m:oMath>
        <m:r>
          <m:t>23</m:t>
        </m:r>
        <m:r>
          <m:rPr>
            <m:sty m:val="p"/>
          </m:rPr>
          <m:t>%</m:t>
        </m:r>
      </m:oMath>
      <w:r>
        <w:t xml:space="preserve"> </w:t>
      </w:r>
      <w:r>
        <w:t xml:space="preserve">higher incidence of depressive symptoms, as well as reduced prefrontal cortex activity and gray matter density in regions governing impulse control</w:t>
      </w:r>
      <w:r>
        <w:t xml:space="preserve"> </w:t>
      </w:r>
      <w:r>
        <w:t xml:space="preserve">(Hu, 2025, p. 2)</w:t>
      </w:r>
      <w:r>
        <w:t xml:space="preserve">. Li connects the same feed structures to diminished academic concentration, weakened social skills, and heightened anxiety and depression among college students in China, framing the autoplayed short video stream as an "algorithmic addiction loop" that channels users into an auto pilot mode of continuous viewing</w:t>
      </w:r>
      <w:r>
        <w:t xml:space="preserve"> </w:t>
      </w:r>
      <w:r>
        <w:t xml:space="preserve">(Li, 2026, p. 2)</w:t>
      </w:r>
      <w:r>
        <w:t xml:space="preserve">. Regulatory and model law sources treat this combination of autoplay and personalised recommendation as a potential form of manipulative design. The DSA prohibits "dark patterns" that prevent users from making free and informed decisions and has already opened a proceeding into TikTok’s algorithmic recommendation mechanisms and interface features, including infinite scrolling, auto play, and push notifications, on precisely this basis</w:t>
      </w:r>
      <w:r>
        <w:t xml:space="preserve"> </w:t>
      </w:r>
      <w:r>
        <w:t xml:space="preserve">(Li, 2026, p. 2; Meßmer &amp; Degeling, 2023, p. 42)</w:t>
      </w:r>
      <w:r>
        <w:t xml:space="preserve">. Kostenko’s AI Law Model goes further for minors. Under the principle of age appropriate design, manipulative and addictive mechanics such as endless scrolling and autoplay are explicitly prohibited for child directed systems, and "social networks for teenagers" in the model’s normative illustration are required to operate feeds in "detox mode" by default, specifically "without endless scrolling, autoplay of the video and aggressive return triggers," while providing a visible "no personalisation" switch and one click explanations of "why am I seeing this?"</w:t>
      </w:r>
      <w:r>
        <w:t xml:space="preserve"> </w:t>
      </w:r>
      <w:r>
        <w:t xml:space="preserve">(Kostenko, 2025, p. 221; 2025, p. 223)</w:t>
      </w:r>
      <w:r>
        <w:t xml:space="preserve">. These provisions directly translate into this report’s working taxonomy: autoplay combined with personalised feeds is classified as a high risk pattern when deployed by default in youth oriented social platforms. Advocacy and governance oriented reports highlight that default autoplay interacts with broader dark pattern strategies. Khare et al. document how Indian platforms use interface interference and obstruction to steer users toward platform preferred choices, including pre selected defaults and friction loaded opt out flows</w:t>
      </w:r>
      <w:r>
        <w:t xml:space="preserve"> </w:t>
      </w:r>
      <w:r>
        <w:t xml:space="preserve">(Khare et al., 2026, p. 4)</w:t>
      </w:r>
      <w:r>
        <w:t xml:space="preserve">. Me</w:t>
      </w:r>
      <w:r>
        <w:t xml:space="preserve">ß</w:t>
      </w:r>
      <w:r>
        <w:t xml:space="preserve">mer and Degeling treat default auto play and default landing on a personalised feed as analogous interface decisions that tilt attention toward recommendation driven content, and they situate these elements inside scenario based audit designs intended to operationalise DSA Article 25’s prohibition of manipulative interfaces</w:t>
      </w:r>
      <w:r>
        <w:t xml:space="preserve"> </w:t>
      </w:r>
      <w:r>
        <w:t xml:space="preserve">(Meßmer &amp; Degeling, 2023, p. 42)</w:t>
      </w:r>
      <w:r>
        <w:t xml:space="preserve">. In this thesis, these patterns are captured in Code A (autoplay and infinite scroll) and Code B (dopamine driven variable rewards and temporal discounting), while Code C flags configurations that breach explicit bans in age sensitive design rules as "prohibited or critical risk" under the report’s working classification</w:t>
      </w:r>
      <w:r>
        <w:t xml:space="preserve"> </w:t>
      </w:r>
      <w:r>
        <w:t xml:space="preserve">(Hu, 2025, p. 2; Kostenko, 2025, p. 221; Li, 2026, p. 2)</w:t>
      </w:r>
      <w:r>
        <w:t xml:space="preserve">. A key methodological caveat applies throughout this section. Internal ranking logic, parameter settings and A/B test results for autoplay and recommendation systems are not accessible here. Assessment relies on secondary UX descriptions, regulatory filings, and empirical studies of usage and harm rather than direct inspection of proprietary algorithms, mirroring the limitation acknowledged in both dark pattern research and AI governance work</w:t>
      </w:r>
      <w:r>
        <w:t xml:space="preserve"> </w:t>
      </w:r>
      <w:r>
        <w:t xml:space="preserve">(Hu, 2025, p. 2; Khare et al., 2026, p. 6; Kostenko, 2025, p. 12)</w:t>
      </w:r>
      <w:r>
        <w:t xml:space="preserve">.</w:t>
      </w:r>
    </w:p>
    <w:bookmarkEnd w:id="97"/>
    <w:bookmarkStart w:id="99" w:name="sec:notification_return_incentives"/>
    <w:p>
      <w:pPr>
        <w:pStyle w:val="Heading3"/>
      </w:pPr>
      <w:r>
        <w:rPr>
          <w:rStyle w:val="SectionNumber"/>
        </w:rPr>
        <w:t xml:space="preserve">7.2.3</w:t>
      </w:r>
      <w:r>
        <w:tab/>
      </w:r>
      <w:r>
        <w:t xml:space="preserve">Notification Design and Return Incentives</w:t>
      </w:r>
    </w:p>
    <w:p>
      <w:pPr>
        <w:pStyle w:val="FirstParagraph"/>
      </w:pPr>
      <w:r>
        <w:t xml:space="preserve">Push systems on commercial platforms already illustrate how notification design can operate as a return incentive, even though available sources focus on e commerce rather than named social networks. Khare et al. classify "nagging" as a distinct dark pattern: repeated prompts that urge users to take a specific action after refusal, frequently implemented through app notifications. These prompts generate a "wear down effect" and decision fatigue that steer users toward acceptance of platform preferred choices, for example continuing a subscription or sharing more data, rather than a once off, neutral reminder. In the same typology, "roach motel," "obstruction," and "subscription traps" describe journeys where it is easy to enter a revenue generating state and intentionally difficult to exit, with</w:t>
      </w:r>
      <w:r>
        <w:t xml:space="preserve"> </w:t>
      </w:r>
      <m:oMath>
        <m:r>
          <m:t>47</m:t>
        </m:r>
        <m:r>
          <m:rPr>
            <m:sty m:val="p"/>
          </m:rPr>
          <m:t>%</m:t>
        </m:r>
      </m:oMath>
      <w:r>
        <w:t xml:space="preserve"> </w:t>
      </w:r>
      <w:r>
        <w:t xml:space="preserve">of surveyed users reporting difficulty cancelling services. Notifications that highlight renewal deadlines or "missed benefits" inside such obstructive flows function as practical return triggers that exploit inertia and status quo bias</w:t>
      </w:r>
      <w:r>
        <w:t xml:space="preserve"> </w:t>
      </w:r>
      <w:r>
        <w:t xml:space="preserve">(Khare et al., 2026, p. 8)</w:t>
      </w:r>
      <w:r>
        <w:t xml:space="preserve">. Urgency marketing research describes how time based notifications are deliberately scheduled around perceived windows of lowered self control. Bansal’s interviews with executives indicate that late night targeting and high frequency mobile notifications are seen as commercially advantageous because managers assume that consumers are more responsive or less deliberative at particular hours. While this study does not experimentally measure cognitive depletion, the perception itself is analytically significant: assumptions about temporal vulnerability become operational inputs into messaging systems that push expiring discounts or "last chance" alerts at times when refusal is expected to be less likely</w:t>
      </w:r>
      <w:r>
        <w:t xml:space="preserve"> </w:t>
      </w:r>
      <w:r>
        <w:t xml:space="preserve">(Bansal, 2026, p. 138; 2026, p. 8745065)</w:t>
      </w:r>
      <w:r>
        <w:t xml:space="preserve">. In practice, these notifications both bring users back into the app and compress deliberation windows, especially when combined with one click checkout and already stored payment data. Regulatory responses increasingly treat such designs as matters of platform accountability rather than individual self discipline. Khare et al. document that India’s Central Consumer Protection Authority issued an advisory under section 18(1) of the Consumer Protection Act mandating internal audits for dark pattern detection and explicitly referencing rules that require clear and affirmative consent through explicit user action rather than pre checked defaults or implied agreement. The same guidance points toward a shift from complaint driven enforcement to preventive design regulation that targets "sludge architecture at its source," including mandatory UX design audits and algorithmic transparency requirements for dominant platforms</w:t>
      </w:r>
      <w:r>
        <w:t xml:space="preserve"> </w:t>
      </w:r>
      <w:r>
        <w:t xml:space="preserve">(Khare et al., 2026, p. 6; 2026, p. 12)</w:t>
      </w:r>
      <w:r>
        <w:t xml:space="preserve">. Within this thesis working taxonomy, high frequency, behaviourally targeted notifications in obstructive cancellation or consent flows are therefore coded as high risk manipulative return incentives. Table </w:t>
      </w:r>
      <w:hyperlink w:anchor="tab:notif_patterns">
        <w:r>
          <w:rPr>
            <w:rStyle w:val="Hyperlink"/>
          </w:rPr>
          <w:t xml:space="preserve">4</w:t>
        </w:r>
      </w:hyperlink>
      <w:r>
        <w:t xml:space="preserve"> </w:t>
      </w:r>
      <w:r>
        <w:t xml:space="preserve">synthesises notification related patterns that function as return incentives in the sources.</w:t>
      </w:r>
    </w:p>
    <w:bookmarkStart w:id="98" w:name="tab:notif_patterns"/>
    <w:p>
      <w:pPr>
        <w:pStyle w:val="TableCaption"/>
      </w:pPr>
      <w:r>
        <w:t xml:space="preserve">Notification related patterns functioning as return incentives</w:t>
      </w:r>
    </w:p>
    <w:tbl>
      <w:tblPr>
        <w:tblStyle w:val="Table"/>
        <w:tblW w:type="auto" w:w="0"/>
        <w:jc w:val="left"/>
        <w:tblLook w:firstRow="1" w:lastRow="0" w:firstColumn="0" w:lastColumn="0" w:noHBand="0" w:noVBand="0" w:val="0020"/>
        <w:tblCaption w:val="Notification related patterns functioning as return incentives"/>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Mechanism</w:t>
            </w:r>
          </w:p>
        </w:tc>
        <w:tc>
          <w:tcPr/>
          <w:p>
            <w:pPr>
              <w:pStyle w:val="Compact"/>
              <w:jc w:val="left"/>
            </w:pPr>
            <w:r>
              <w:t xml:space="preserve">Documented effects</w:t>
            </w:r>
          </w:p>
        </w:tc>
      </w:tr>
      <w:tr>
        <w:tc>
          <w:tcPr/>
          <w:p>
            <w:pPr>
              <w:pStyle w:val="Compact"/>
              <w:jc w:val="left"/>
            </w:pPr>
            <w:r>
              <w:t xml:space="preserve">Nagging notifications</w:t>
            </w:r>
          </w:p>
        </w:tc>
        <w:tc>
          <w:tcPr/>
          <w:p>
            <w:pPr>
              <w:pStyle w:val="Compact"/>
              <w:jc w:val="left"/>
            </w:pPr>
            <w:r>
              <w:t xml:space="preserve">Repeated prompts after refusal, often via app alerts</w:t>
            </w:r>
          </w:p>
        </w:tc>
        <w:tc>
          <w:tcPr/>
          <w:p>
            <w:pPr>
              <w:pStyle w:val="Compact"/>
              <w:jc w:val="left"/>
            </w:pPr>
            <w:r>
              <w:t xml:space="preserve">Wear down effect, decision fatigue, coerced consent</w:t>
            </w:r>
            <w:r>
              <w:t xml:space="preserve"> </w:t>
            </w:r>
            <w:r>
              <w:t xml:space="preserve">(Khare et al., 2026, p. 8)</w:t>
            </w:r>
          </w:p>
        </w:tc>
      </w:tr>
      <w:tr>
        <w:tc>
          <w:tcPr/>
          <w:p>
            <w:pPr>
              <w:pStyle w:val="Compact"/>
              <w:jc w:val="left"/>
            </w:pPr>
            <w:r>
              <w:t xml:space="preserve">Late night urgency messages</w:t>
            </w:r>
          </w:p>
        </w:tc>
        <w:tc>
          <w:tcPr/>
          <w:p>
            <w:pPr>
              <w:pStyle w:val="Compact"/>
              <w:jc w:val="left"/>
            </w:pPr>
            <w:r>
              <w:t xml:space="preserve">Time based push for expiring discounts or offers</w:t>
            </w:r>
          </w:p>
        </w:tc>
        <w:tc>
          <w:tcPr/>
          <w:p>
            <w:pPr>
              <w:pStyle w:val="Compact"/>
              <w:jc w:val="left"/>
            </w:pPr>
            <w:r>
              <w:t xml:space="preserve">Executives perceive higher responsiveness in "low control" windows</w:t>
            </w:r>
            <w:r>
              <w:t xml:space="preserve"> </w:t>
            </w:r>
            <w:r>
              <w:t xml:space="preserve">(Bansal, 2026, p. 138)</w:t>
            </w:r>
          </w:p>
        </w:tc>
      </w:tr>
      <w:tr>
        <w:tc>
          <w:tcPr/>
          <w:p>
            <w:pPr>
              <w:pStyle w:val="Compact"/>
              <w:jc w:val="left"/>
            </w:pPr>
            <w:r>
              <w:t xml:space="preserve">Subscription renewal prompts inside obstructive flows</w:t>
            </w:r>
          </w:p>
        </w:tc>
        <w:tc>
          <w:tcPr/>
          <w:p>
            <w:pPr>
              <w:pStyle w:val="Compact"/>
              <w:jc w:val="left"/>
            </w:pPr>
            <w:r>
              <w:t xml:space="preserve">Notifications point to renewal while exit paths remain complex</w:t>
            </w:r>
          </w:p>
        </w:tc>
        <w:tc>
          <w:tcPr/>
          <w:p>
            <w:pPr>
              <w:pStyle w:val="Compact"/>
              <w:jc w:val="left"/>
            </w:pPr>
            <w:r>
              <w:t xml:space="preserve">Forced continuation of paid services, recurring unwanted payments</w:t>
            </w:r>
            <w:r>
              <w:t xml:space="preserve"> </w:t>
            </w:r>
            <w:r>
              <w:t xml:space="preserve">(Khare et al., 2026, p. 8)</w:t>
            </w:r>
          </w:p>
        </w:tc>
      </w:tr>
      <w:tr>
        <w:tc>
          <w:tcPr/>
          <w:p>
            <w:pPr>
              <w:pStyle w:val="Compact"/>
              <w:jc w:val="left"/>
            </w:pPr>
            <w:r>
              <w:t xml:space="preserve">"Dark pattern free" self declarations</w:t>
            </w:r>
          </w:p>
        </w:tc>
        <w:tc>
          <w:tcPr/>
          <w:p>
            <w:pPr>
              <w:pStyle w:val="Compact"/>
              <w:jc w:val="left"/>
            </w:pPr>
            <w:r>
              <w:t xml:space="preserve">Internal audits and voluntary declarations without effective external verification</w:t>
            </w:r>
          </w:p>
        </w:tc>
        <w:tc>
          <w:tcPr/>
          <w:p>
            <w:pPr>
              <w:pStyle w:val="Compact"/>
              <w:jc w:val="left"/>
            </w:pPr>
            <m:oMath>
              <m:r>
                <m:t>81</m:t>
              </m:r>
              <m:r>
                <m:rPr>
                  <m:sty m:val="p"/>
                </m:rPr>
                <m:t>%</m:t>
              </m:r>
            </m:oMath>
            <w:r>
              <w:t xml:space="preserve"> </w:t>
            </w:r>
            <w:r>
              <w:t xml:space="preserve">of platforms self declared dark pattern free despite persistent complaints, 28% resolution rate</w:t>
            </w:r>
            <w:r>
              <w:t xml:space="preserve"> </w:t>
            </w:r>
            <w:r>
              <w:t xml:space="preserve">(Khare et al., 2026, p. 12)</w:t>
            </w:r>
          </w:p>
        </w:tc>
      </w:tr>
    </w:tbl>
    <w:bookmarkEnd w:id="98"/>
    <w:p>
      <w:pPr>
        <w:pStyle w:val="BodyText"/>
      </w:pPr>
      <w:r>
        <w:t xml:space="preserve">These patterns interact directly with the multi layer behavioural architecture Bansal synthesises for algorithmic advertising. A "cognitive trigger layer" uses scarcity cues and loss framed notifications to increase the perceived importance of a decision, an "algorithmic personalization layer" tailors timing and content based on behavioural histories, and a "temporal and friction reduction layer" decreases steps to purchase while amplifying urgency. Within this stack, notifications are the delivery channel that binds layers together: they inject loss framed, personalised cues into the user’s off platform environment and then route returning users into low friction, high urgency flows. Exploitative impulse buying is therefore better conceptualised as an architectural phenomenon spanning notification design, not as isolated pop up messages</w:t>
      </w:r>
      <w:r>
        <w:t xml:space="preserve"> </w:t>
      </w:r>
      <w:r>
        <w:t xml:space="preserve">(Bansal, 2026, p. 139)</w:t>
      </w:r>
      <w:r>
        <w:t xml:space="preserve">. The same architectural logic has clear implications for social recommender systems even though direct platform telemetry is unavailable in this study. When infinite scroll, auto play and highly personalised feeds are already under DSA investigation as "systematic manipulative design" on TikTok, adding high frequency, behaviourally tuned notifications that invite re entry into these feeds would align closely with the dark patterns documented in e commerce</w:t>
      </w:r>
      <w:r>
        <w:t xml:space="preserve"> </w:t>
      </w:r>
      <w:r>
        <w:t xml:space="preserve">(Khare et al., 2026, p. 8; Li, 2026, p. 2)</w:t>
      </w:r>
      <w:r>
        <w:t xml:space="preserve">. Within this report’s working taxonomy, such notification strategies are therefore classified as Code Category C in two cases: where they are embedded in obstructive exit flows or subscription traps, and where they combine temporal vulnerability assumptions with high urgency messaging and compressed deliberation, given the documented harms in adjacent retail contexts</w:t>
      </w:r>
      <w:r>
        <w:t xml:space="preserve"> </w:t>
      </w:r>
      <w:r>
        <w:t xml:space="preserve">(Bansal, 2026, p. 138; Khare et al., 2026, p. 8)</w:t>
      </w:r>
      <w:r>
        <w:t xml:space="preserve">.</w:t>
      </w:r>
    </w:p>
    <w:bookmarkEnd w:id="99"/>
    <w:bookmarkEnd w:id="100"/>
    <w:bookmarkStart w:id="107" w:name="Xbb653c564177c42bcb46e7a5ec5a6d9e73afcfb"/>
    <w:p>
      <w:pPr>
        <w:pStyle w:val="Heading2"/>
      </w:pPr>
      <w:r>
        <w:rPr>
          <w:rStyle w:val="SectionNumber"/>
        </w:rPr>
        <w:t xml:space="preserve">7.3</w:t>
      </w:r>
      <w:r>
        <w:tab/>
      </w:r>
      <w:r>
        <w:t xml:space="preserve">Psychological Trigger Mapping by Platform</w:t>
      </w:r>
    </w:p>
    <w:bookmarkStart w:id="102" w:name="sec:variable_rewards_intermittent"/>
    <w:p>
      <w:pPr>
        <w:pStyle w:val="Heading3"/>
      </w:pPr>
      <w:r>
        <w:rPr>
          <w:rStyle w:val="SectionNumber"/>
        </w:rPr>
        <w:t xml:space="preserve">7.3.1</w:t>
      </w:r>
      <w:r>
        <w:tab/>
      </w:r>
      <w:r>
        <w:t xml:space="preserve">Variable Rewards and Intermittent Reinforcement</w:t>
      </w:r>
    </w:p>
    <w:p>
      <w:pPr>
        <w:pStyle w:val="FirstParagraph"/>
      </w:pPr>
      <w:r>
        <w:t xml:space="preserve">Short form social platforms make intermittent reinforcement a default interaction pattern rather than an occasional design choice. Li describes how neural network based short video recommenders, combined with 15–60 second clips and swipe based feeds, run on variable reward schedules that trigger dopamine release during the moment of expectancy before the next video appears, not only when a clip is actually enjoyed</w:t>
      </w:r>
      <w:r>
        <w:t xml:space="preserve"> </w:t>
      </w:r>
      <w:r>
        <w:t xml:space="preserve">(Li, 2026, p. 2; 2026, p. 3)</w:t>
      </w:r>
      <w:r>
        <w:t xml:space="preserve">. Users execute an effortless downward swipe and face an uncertain payoff: the next item may be highly engaging or dull. This probabilistic structure mirrors slot machine style variable rewards and, over repeated cycles, propels users into an "auto pilot mode" of persistent scrolling that is strongly associated with diminished academic concentration, weakened social skills, and heightened anxiety and depression among college students</w:t>
      </w:r>
      <w:r>
        <w:t xml:space="preserve"> </w:t>
      </w:r>
      <w:r>
        <w:t xml:space="preserve">(Li, 2026, p. 2; 2026, p. 6)</w:t>
      </w:r>
      <w:r>
        <w:t xml:space="preserve">. Hu’s work on "algorithm driven engagement worship" generalises this pattern beyond a single app. Infinite scrolling interfaces and variable reward schedules are identified as core features of platforms "like TikTok," and empirical validations show that users of algorithmically curated feeds exhibit</w:t>
      </w:r>
      <w:r>
        <w:t xml:space="preserve"> </w:t>
      </w:r>
      <m:oMath>
        <m:r>
          <m:t>22</m:t>
        </m:r>
        <m:r>
          <m:rPr>
            <m:sty m:val="p"/>
          </m:rPr>
          <m:t>%</m:t>
        </m:r>
      </m:oMath>
      <w:r>
        <w:t xml:space="preserve"> </w:t>
      </w:r>
      <w:r>
        <w:t xml:space="preserve">higher rates of compulsive checking behaviour than users of non algorithmic interfaces</w:t>
      </w:r>
      <w:r>
        <w:t xml:space="preserve"> </w:t>
      </w:r>
      <w:r>
        <w:t xml:space="preserve">(Hu, 2025, p. 2)</w:t>
      </w:r>
      <w:r>
        <w:t xml:space="preserve">. Longitudinal evidence from the Social Media and Wellbeing Study, cited in the same analysis, indicates that hyper personalised feeds are associated with a</w:t>
      </w:r>
      <w:r>
        <w:t xml:space="preserve"> </w:t>
      </w:r>
      <m:oMath>
        <m:r>
          <m:t>23</m:t>
        </m:r>
        <m:r>
          <m:rPr>
            <m:sty m:val="p"/>
          </m:rPr>
          <m:t>%</m:t>
        </m:r>
      </m:oMath>
      <w:r>
        <w:t xml:space="preserve"> </w:t>
      </w:r>
      <w:r>
        <w:t xml:space="preserve">higher incidence of depressive symptoms compared to chronological content, and that algorithmically amplified "doomscrolling" correlates with reduced prefrontal cortex activity and reduced gray matter density in regions governing impulse control</w:t>
      </w:r>
      <w:r>
        <w:t xml:space="preserve"> </w:t>
      </w:r>
      <w:r>
        <w:t xml:space="preserve">(Hu, 2025, p. 20)</w:t>
      </w:r>
      <w:r>
        <w:t xml:space="preserve">. Variable reinforcement is therefore not only a behavioural phenomenon but a mechanism tied to neurocognitive change. Table </w:t>
      </w:r>
      <w:hyperlink w:anchor="tab:vr_patterns">
        <w:r>
          <w:rPr>
            <w:rStyle w:val="Hyperlink"/>
          </w:rPr>
          <w:t xml:space="preserve">5</w:t>
        </w:r>
      </w:hyperlink>
      <w:r>
        <w:t xml:space="preserve"> </w:t>
      </w:r>
      <w:r>
        <w:t xml:space="preserve">summarises how the report’s working Code B categories capture these documented triggers across platform types.</w:t>
      </w:r>
    </w:p>
    <w:bookmarkStart w:id="101" w:name="tab:vr_patterns"/>
    <w:p>
      <w:pPr>
        <w:pStyle w:val="TableCaption"/>
      </w:pPr>
      <w:r>
        <w:t xml:space="preserve">Variable reward patterns and intermittent reinforcement across platforms (working Code B mapping)</w:t>
      </w:r>
    </w:p>
    <w:tbl>
      <w:tblPr>
        <w:tblStyle w:val="Table"/>
        <w:tblW w:type="auto" w:w="0"/>
        <w:jc w:val="left"/>
        <w:tblLook w:firstRow="1" w:lastRow="0" w:firstColumn="0" w:lastColumn="0" w:noHBand="0" w:noVBand="0" w:val="0020"/>
        <w:tblCaption w:val="Variable reward patterns and intermittent reinforcement across platforms (working Code B mapping)"/>
      </w:tblPr>
      <w:tblGrid>
        <w:gridCol w:w="2640"/>
        <w:gridCol w:w="2640"/>
        <w:gridCol w:w="2640"/>
      </w:tblGrid>
      <w:tr>
        <w:trPr>
          <w:tblHeader w:val="on"/>
        </w:trPr>
        <w:tc>
          <w:tcPr/>
          <w:p>
            <w:pPr>
              <w:pStyle w:val="Compact"/>
              <w:jc w:val="left"/>
            </w:pPr>
            <w:r>
              <w:t xml:space="preserve">Platform type</w:t>
            </w:r>
          </w:p>
        </w:tc>
        <w:tc>
          <w:tcPr/>
          <w:p>
            <w:pPr>
              <w:pStyle w:val="Compact"/>
              <w:jc w:val="left"/>
            </w:pPr>
            <w:r>
              <w:t xml:space="preserve">Variable reward mechanic</w:t>
            </w:r>
          </w:p>
        </w:tc>
        <w:tc>
          <w:tcPr/>
          <w:p>
            <w:pPr>
              <w:pStyle w:val="Compact"/>
              <w:jc w:val="left"/>
            </w:pPr>
            <w:r>
              <w:t xml:space="preserve">Documented effects</w:t>
            </w:r>
          </w:p>
        </w:tc>
      </w:tr>
      <w:tr>
        <w:tc>
          <w:tcPr/>
          <w:p>
            <w:pPr>
              <w:pStyle w:val="Compact"/>
              <w:jc w:val="left"/>
            </w:pPr>
            <w:r>
              <w:t xml:space="preserve">Short video feeds</w:t>
            </w:r>
          </w:p>
        </w:tc>
        <w:tc>
          <w:tcPr/>
          <w:p>
            <w:pPr>
              <w:pStyle w:val="Compact"/>
              <w:jc w:val="left"/>
            </w:pPr>
            <w:r>
              <w:t xml:space="preserve">Swipe to next clip with unpredictable quality; infinite scroll; default auto play</w:t>
            </w:r>
          </w:p>
        </w:tc>
        <w:tc>
          <w:tcPr/>
          <w:p>
            <w:pPr>
              <w:pStyle w:val="Compact"/>
              <w:jc w:val="left"/>
            </w:pPr>
            <w:r>
              <w:t xml:space="preserve">"Auto pilot" scrolling, behavioural addiction, impaired study performance in students</w:t>
            </w:r>
            <w:r>
              <w:t xml:space="preserve"> </w:t>
            </w:r>
            <w:r>
              <w:t xml:space="preserve">(Li, 2026, p. 2; 2026, p. 6)</w:t>
            </w:r>
          </w:p>
        </w:tc>
      </w:tr>
      <w:tr>
        <w:tc>
          <w:tcPr/>
          <w:p>
            <w:pPr>
              <w:pStyle w:val="Compact"/>
              <w:jc w:val="left"/>
            </w:pPr>
            <w:r>
              <w:t xml:space="preserve">Algorithmic social feeds</w:t>
            </w:r>
          </w:p>
        </w:tc>
        <w:tc>
          <w:tcPr/>
          <w:p>
            <w:pPr>
              <w:pStyle w:val="Compact"/>
              <w:jc w:val="left"/>
            </w:pPr>
            <w:r>
              <w:t xml:space="preserve">Engagement ranking that privileges emotionally charged content; irregular delivery of highly salient posts</w:t>
            </w:r>
          </w:p>
        </w:tc>
        <w:tc>
          <w:tcPr/>
          <w:p>
            <w:pPr>
              <w:pStyle w:val="Compact"/>
              <w:jc w:val="left"/>
            </w:pPr>
            <m:oMath>
              <m:r>
                <m:t>22</m:t>
              </m:r>
              <m:r>
                <m:rPr>
                  <m:sty m:val="p"/>
                </m:rPr>
                <m:t>%</m:t>
              </m:r>
            </m:oMath>
            <w:r>
              <w:t xml:space="preserve"> </w:t>
            </w:r>
            <w:r>
              <w:t xml:space="preserve">higher compulsive checking; 23% higher depressive symptoms; reduced prefrontal activity</w:t>
            </w:r>
            <w:r>
              <w:t xml:space="preserve"> </w:t>
            </w:r>
            <w:r>
              <w:t xml:space="preserve">(Hu, 2025, p. 2; 2025, p. 20)</w:t>
            </w:r>
          </w:p>
        </w:tc>
      </w:tr>
      <w:tr>
        <w:tc>
          <w:tcPr/>
          <w:p>
            <w:pPr>
              <w:pStyle w:val="Compact"/>
              <w:jc w:val="left"/>
            </w:pPr>
            <w:r>
              <w:t xml:space="preserve">E commerce flows</w:t>
            </w:r>
          </w:p>
        </w:tc>
        <w:tc>
          <w:tcPr/>
          <w:p>
            <w:pPr>
              <w:pStyle w:val="Compact"/>
              <w:jc w:val="left"/>
            </w:pPr>
            <w:r>
              <w:t xml:space="preserve">Countdown timers and "only two left" alerts that sometimes expire and sometimes do not</w:t>
            </w:r>
          </w:p>
        </w:tc>
        <w:tc>
          <w:tcPr/>
          <w:p>
            <w:pPr>
              <w:pStyle w:val="Compact"/>
              <w:jc w:val="left"/>
            </w:pPr>
            <w:r>
              <w:t xml:space="preserve">Conversion uplift reported by executives; decision fatigue and regret in consumers</w:t>
            </w:r>
            <w:r>
              <w:t xml:space="preserve"> </w:t>
            </w:r>
            <w:r>
              <w:t xml:space="preserve">(Bansal, 2026, p. 136; Khare et al., 2026, p. 8)</w:t>
            </w:r>
          </w:p>
        </w:tc>
      </w:tr>
    </w:tbl>
    <w:bookmarkEnd w:id="101"/>
    <w:p>
      <w:pPr>
        <w:pStyle w:val="BodyText"/>
      </w:pPr>
      <w:r>
        <w:t xml:space="preserve">Urgency marketing in retail environments shows the same reinforcement logic using different surface cues. Bansal’s interviews with executives describe countdown timers, "only two left" stock flags, and expiring discounts as core elements of campaigns that transform routine purchases into time pressured decisions</w:t>
      </w:r>
      <w:r>
        <w:t xml:space="preserve"> </w:t>
      </w:r>
      <w:r>
        <w:t xml:space="preserve">(Bansal, 2026, p. 136)</w:t>
      </w:r>
      <w:r>
        <w:t xml:space="preserve">. Khare et al. classify "false urgency / scarcity" as a dark pattern where countdowns or stock messages are misleading or artificially generated, producing intermittent confirmation that urgency is real and at other times revealing that nothing happens when the timer expires</w:t>
      </w:r>
      <w:r>
        <w:t xml:space="preserve"> </w:t>
      </w:r>
      <w:r>
        <w:t xml:space="preserve">(Khare et al., 2026, p. 7)</w:t>
      </w:r>
      <w:r>
        <w:t xml:space="preserve">. This inconsistency is itself a variable reward schedule: occasionally, failing to act leads to a missed discount; in other cases, the offer silently renews. Users learn that "sometimes you lose if you wait," which reinforces impulsive action without providing stable informational value. Several sources tie these mechanics to regulatory and ethical boundaries. The European Commission’s DSA proceeding against TikTok explicitly cites infinite scrolling, auto play and push notifications as possible "systematic manipulative design" that impairs free and informed decision making</w:t>
      </w:r>
      <w:r>
        <w:t xml:space="preserve"> </w:t>
      </w:r>
      <w:r>
        <w:t xml:space="preserve">(Li, 2026, p. 2)</w:t>
      </w:r>
      <w:r>
        <w:t xml:space="preserve">. Kostenko’s AI Law Model prohibits AI systems that manipulate behaviour, cause digital addiction, emotional exhaustion or loss of trust and frames an inalienable right to a digital environment free from excessive information flows that create chronic anxiety or distraction without explicit consent</w:t>
      </w:r>
      <w:r>
        <w:t xml:space="preserve"> </w:t>
      </w:r>
      <w:r>
        <w:t xml:space="preserve">(Kostenko, 2025, pp. 61–62; 2025, p. 119)</w:t>
      </w:r>
      <w:r>
        <w:t xml:space="preserve">. Variable reward loops that systematically produce compulsive checking, depressive symptoms, and structural changes in impulse control sit in direct tension with these duties. Audit and governance frameworks offer ways to treat intermittent reinforcement as an assessable risk rather than an abstract concern. Hu’s study constructs an interdisciplinary assessment matrix that causally maps neurocognitive metrics to algorithmic feature vectors and proposes a regulatory toolkit including a dynamic transparency index and an early warning system for addictive interactions, with standardized metrics such as the Algorithmic Impact Assessment Scale (AIAS 5) to quantify emotional volatility, sleep disruption, social cohesion, self esteem variance and compulsive usage patterns</w:t>
      </w:r>
      <w:r>
        <w:t xml:space="preserve"> </w:t>
      </w:r>
      <w:r>
        <w:t xml:space="preserve">(Hu, 2025, p. 19; 2025, p. 20)</w:t>
      </w:r>
      <w:r>
        <w:t xml:space="preserve">. Leon’s AIN framework similarly positions organisations as responsible for continuous impact evaluations, logging recommendations and human decisions, and monitoring emerging risks through periodic audits</w:t>
      </w:r>
      <w:r>
        <w:t xml:space="preserve"> </w:t>
      </w:r>
      <w:r>
        <w:t xml:space="preserve">(Leon, 2026, p. 2742041)</w:t>
      </w:r>
      <w:r>
        <w:t xml:space="preserve">. In revenue audit contexts, Chitturi highlights feedback mechanisms and clearly documented splits between automated detection and human analysis as conditions for dependable oversight</w:t>
      </w:r>
      <w:r>
        <w:t xml:space="preserve"> </w:t>
      </w:r>
      <w:r>
        <w:t xml:space="preserve">(Chitturi, 2025, p. 6539584)</w:t>
      </w:r>
      <w:r>
        <w:t xml:space="preserve">. Within this thesis, these materials justify treating variable rewards and intermittent reinforcement as explicit Code B psychological triggers and as inputs to Code C legal risk classification. Short form video feeds and engagement optimised social streams that combine infinite scroll, default auto play and irregular high arousal content are therefore coded as high risk configurations for algorithmic addiction, particularly when targeted at user groups that survey evidence identifies as confident in basic digital skills yet poor at recognising hidden manipulations such as dark patterns and algorithmic influences</w:t>
      </w:r>
      <w:r>
        <w:t xml:space="preserve"> </w:t>
      </w:r>
      <w:r>
        <w:t xml:space="preserve">(Chukhray &amp; Koval, 2026, p. 10; Hu, 2025, p. 2; Li, 2026, p. 2)</w:t>
      </w:r>
      <w:r>
        <w:t xml:space="preserve">. Recommender systems themselves are engineered to predict and sustain engagement at scale by exploiting large, sparse interaction datasets and probabilistic inference; their capacity to generate rapid, personalized item sequences is enabled by collaborative filtering and network-based models that operate efficiently on millions of observations</w:t>
      </w:r>
      <w:r>
        <w:t xml:space="preserve"> </w:t>
      </w:r>
      <w:r>
        <w:t xml:space="preserve">(Godoy-Lorite et al., 2020, p. 3)</w:t>
      </w:r>
    </w:p>
    <w:bookmarkEnd w:id="102"/>
    <w:bookmarkStart w:id="104" w:name="sec:social_validation_status_fomo"/>
    <w:p>
      <w:pPr>
        <w:pStyle w:val="Heading3"/>
      </w:pPr>
      <w:r>
        <w:rPr>
          <w:rStyle w:val="SectionNumber"/>
        </w:rPr>
        <w:t xml:space="preserve">7.3.2</w:t>
      </w:r>
      <w:r>
        <w:tab/>
      </w:r>
      <w:r>
        <w:t xml:space="preserve">Social Validation, Status Cues and Fear of Missing Out</w:t>
      </w:r>
    </w:p>
    <w:p>
      <w:pPr>
        <w:pStyle w:val="FirstParagraph"/>
      </w:pPr>
      <w:r>
        <w:t xml:space="preserve">Status cues and social validation signals function as high salience triggers across social and commercial platforms, directly shaping engagement and feeding fear of missing out. On Chinese platforms such as Douyin and Xiaohongshu, visible metrics like likes, follower counts and reviews are central to perceived credibility. Wang reports that these cues are easily distorted: fake accounts, bots and paid engagement inflate numbers and fabricate an illusion of popularity. A 2023 China Consumers Association report cited in the same work found that nearly</w:t>
      </w:r>
      <w:r>
        <w:t xml:space="preserve"> </w:t>
      </w:r>
      <m:oMath>
        <m:r>
          <m:t>30</m:t>
        </m:r>
        <m:r>
          <m:rPr>
            <m:sty m:val="p"/>
          </m:rPr>
          <m:t>%</m:t>
        </m:r>
      </m:oMath>
      <w:r>
        <w:t xml:space="preserve"> </w:t>
      </w:r>
      <w:r>
        <w:t xml:space="preserve">of online shoppers had encountered misleading or falsified reviews in the preceding year. What should be an aggregated signal of collective trust is turned into a tool of manipulation, degrading confidence in digital commerce once users can no longer distinguish genuine experiences from fabricated endorsements. Influencer marketing exploits related dynamics. Influencers and KOLs in China wield "immense sway" over consumer decisions, yet their endorsements often blur the line between personal opinion and paid promotion. Regulatory responses, such as SAMR rules requiring clear sponsorship disclosure and prohibition of false claims, have tightened formal expectations, but enforcement remains uneven and many brands continue to trade on the emotional credibility of influencers. Followers interpret endorsements as socially grounded recommendations, which amplifies the persuasive power of likes and comments beneath sponsored posts and embeds status seeking into routine platform use. Algorithmic curation intensifies these validation loops. Wang notes that engagement focused algorithms tend to amplify already popular content, creating cycles where "popularity begets more popularity." This herd reinforcement pressures users to conform to trends, independent of their actual needs or preferences. On Douyin, viral challenges and live streamed sales events create collective buying moments, in which consumers experience social pressure to participate so as not to be left behind. The resulting fear of missing out drives impulsive spending and emotional fatigue and turns feeds into environments where psychological vulnerabilities around belonging and status are repeatedly activated</w:t>
      </w:r>
      <w:r>
        <w:t xml:space="preserve"> </w:t>
      </w:r>
      <w:r>
        <w:t xml:space="preserve">(Wang, 2025, p. 13)</w:t>
      </w:r>
      <w:r>
        <w:t xml:space="preserve">. These observations dovetail with broader analyses of engagement worship in social media. Hu describes how collaborative filtering algorithms systematically amplify high arousal content such as outrage or sensationalism, and how personalised feeds increase compulsive checking and depressive symptoms relative to chronological baselines. Status cues are part of this mechanism: content with strong emotional or identity signalling often garners more reactions, which in turn drives further algorithmic promotion. Empirical work cited in Hu’s study shows that Instagram’s "Explore" page amplified body negative imagery by</w:t>
      </w:r>
      <w:r>
        <w:t xml:space="preserve"> </w:t>
      </w:r>
      <m:oMath>
        <m:r>
          <m:t>23</m:t>
        </m:r>
        <m:r>
          <m:rPr>
            <m:sty m:val="p"/>
          </m:rPr>
          <m:t>%</m:t>
        </m:r>
      </m:oMath>
      <w:r>
        <w:t xml:space="preserve"> </w:t>
      </w:r>
      <w:r>
        <w:t xml:space="preserve">compared with chronological feeds, correlating with statistically significant declines in self esteem among adolescent women of color. This pattern links social validation architecture directly to harm in status sensitive domains such as appearance and identity</w:t>
      </w:r>
      <w:r>
        <w:t xml:space="preserve"> </w:t>
      </w:r>
      <w:r>
        <w:t xml:space="preserve">(Hu, 2025, p. 2; 2025, p. 3)</w:t>
      </w:r>
      <w:r>
        <w:t xml:space="preserve">. Table </w:t>
      </w:r>
      <w:hyperlink w:anchor="tab:status_fomo">
        <w:r>
          <w:rPr>
            <w:rStyle w:val="Hyperlink"/>
          </w:rPr>
          <w:t xml:space="preserve">6</w:t>
        </w:r>
      </w:hyperlink>
      <w:r>
        <w:t xml:space="preserve"> </w:t>
      </w:r>
      <w:r>
        <w:t xml:space="preserve">summarises how social validation and FOMO related triggers appear across the examined settings in this report’s working coding matrix.</w:t>
      </w:r>
    </w:p>
    <w:bookmarkStart w:id="103" w:name="tab:status_fomo"/>
    <w:p>
      <w:pPr>
        <w:pStyle w:val="TableCaption"/>
      </w:pPr>
      <w:r>
        <w:t xml:space="preserve">Working Code B mapping: social validation, status cues and FOMO</w:t>
      </w:r>
    </w:p>
    <w:tbl>
      <w:tblPr>
        <w:tblStyle w:val="Table"/>
        <w:tblW w:type="auto" w:w="0"/>
        <w:jc w:val="left"/>
        <w:tblLook w:firstRow="1" w:lastRow="0" w:firstColumn="0" w:lastColumn="0" w:noHBand="0" w:noVBand="0" w:val="0020"/>
        <w:tblCaption w:val="Working Code B mapping: social validation, status cues and FOMO"/>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Mechanism</w:t>
            </w:r>
          </w:p>
        </w:tc>
        <w:tc>
          <w:tcPr/>
          <w:p>
            <w:pPr>
              <w:pStyle w:val="Compact"/>
              <w:jc w:val="left"/>
            </w:pPr>
            <w:r>
              <w:t xml:space="preserve">Documented effects</w:t>
            </w:r>
          </w:p>
        </w:tc>
      </w:tr>
      <w:tr>
        <w:tc>
          <w:tcPr/>
          <w:p>
            <w:pPr>
              <w:pStyle w:val="Compact"/>
              <w:jc w:val="left"/>
            </w:pPr>
            <w:r>
              <w:t xml:space="preserve">Inflated metrics</w:t>
            </w:r>
          </w:p>
        </w:tc>
        <w:tc>
          <w:tcPr/>
          <w:p>
            <w:pPr>
              <w:pStyle w:val="Compact"/>
              <w:jc w:val="left"/>
            </w:pPr>
            <w:r>
              <w:t xml:space="preserve">Fake likes, followers, paid engagement</w:t>
            </w:r>
          </w:p>
        </w:tc>
        <w:tc>
          <w:tcPr/>
          <w:p>
            <w:pPr>
              <w:pStyle w:val="Compact"/>
              <w:jc w:val="left"/>
            </w:pPr>
            <w:r>
              <w:t xml:space="preserve">Illusion of popularity, weakened trust in reviews and ratings</w:t>
            </w:r>
          </w:p>
        </w:tc>
      </w:tr>
      <w:tr>
        <w:tc>
          <w:tcPr/>
          <w:p>
            <w:pPr>
              <w:pStyle w:val="Compact"/>
              <w:jc w:val="left"/>
            </w:pPr>
            <w:r>
              <w:t xml:space="preserve">Undisclosed sponsorship</w:t>
            </w:r>
          </w:p>
        </w:tc>
        <w:tc>
          <w:tcPr/>
          <w:p>
            <w:pPr>
              <w:pStyle w:val="Compact"/>
              <w:jc w:val="left"/>
            </w:pPr>
            <w:r>
              <w:t xml:space="preserve">Influencer posts that hide commercial nature</w:t>
            </w:r>
          </w:p>
        </w:tc>
        <w:tc>
          <w:tcPr/>
          <w:p>
            <w:pPr>
              <w:pStyle w:val="Compact"/>
              <w:jc w:val="left"/>
            </w:pPr>
            <w:r>
              <w:t xml:space="preserve">Exploitation of emotional credibility, confusion between advertising and opinion</w:t>
            </w:r>
          </w:p>
        </w:tc>
      </w:tr>
      <w:tr>
        <w:tc>
          <w:tcPr/>
          <w:p>
            <w:pPr>
              <w:pStyle w:val="Compact"/>
              <w:jc w:val="left"/>
            </w:pPr>
            <w:r>
              <w:t xml:space="preserve">Algorithmic herd reinforcement</w:t>
            </w:r>
          </w:p>
        </w:tc>
        <w:tc>
          <w:tcPr/>
          <w:p>
            <w:pPr>
              <w:pStyle w:val="Compact"/>
              <w:jc w:val="left"/>
            </w:pPr>
            <w:r>
              <w:t xml:space="preserve">Preferential promotion of already popular content</w:t>
            </w:r>
          </w:p>
        </w:tc>
        <w:tc>
          <w:tcPr/>
          <w:p>
            <w:pPr>
              <w:pStyle w:val="Compact"/>
              <w:jc w:val="left"/>
            </w:pPr>
            <w:r>
              <w:t xml:space="preserve">Pressure to conform to trends, FOMO driven participation in viral challenges and live sales</w:t>
            </w:r>
            <w:r>
              <w:t xml:space="preserve"> </w:t>
            </w:r>
            <w:r>
              <w:t xml:space="preserve">(Wang, 2025, p. 13)</w:t>
            </w:r>
          </w:p>
        </w:tc>
      </w:tr>
      <w:tr>
        <w:tc>
          <w:tcPr/>
          <w:p>
            <w:pPr>
              <w:pStyle w:val="Compact"/>
              <w:jc w:val="left"/>
            </w:pPr>
            <w:r>
              <w:t xml:space="preserve">Body and identity sensitive feeds</w:t>
            </w:r>
          </w:p>
        </w:tc>
        <w:tc>
          <w:tcPr/>
          <w:p>
            <w:pPr>
              <w:pStyle w:val="Compact"/>
              <w:jc w:val="left"/>
            </w:pPr>
            <w:r>
              <w:t xml:space="preserve">Prioritisation of high arousal or body negative imagery</w:t>
            </w:r>
          </w:p>
        </w:tc>
        <w:tc>
          <w:tcPr/>
          <w:p>
            <w:pPr>
              <w:pStyle w:val="Compact"/>
              <w:jc w:val="left"/>
            </w:pPr>
            <w:r>
              <w:t xml:space="preserve">Increased body dissatisfaction and lower self esteem among specific groups</w:t>
            </w:r>
            <w:r>
              <w:t xml:space="preserve"> </w:t>
            </w:r>
            <w:r>
              <w:t xml:space="preserve">(Hu, 2025, p. 3)</w:t>
            </w:r>
          </w:p>
        </w:tc>
      </w:tr>
    </w:tbl>
    <w:bookmarkEnd w:id="103"/>
    <w:p>
      <w:pPr>
        <w:pStyle w:val="BodyText"/>
      </w:pPr>
      <w:r>
        <w:t xml:space="preserve">Status seeking and social proof also interact with ethical consumption and financial decision making. Kishore et al. show that university students’ decisions in digital marketplaces are dominated by price, quality, reviews, urgency and perceived usefulness, while ethical considerations appear intermittently and often as secondary cues. Trust in platform claims and peer reviews becomes a structural bridge between values and action: unverifiable or strategically framed social proof triggers skepticism and disengagement from sustainability considerations, exacerbating the intention behaviour gap. Emotional responses such as guilt, regret and confusion operate as self regulation signals in these contexts, indicating that distorted validation cues affect not only whether people buy but how they experience their own identity as consumers</w:t>
      </w:r>
      <w:r>
        <w:t xml:space="preserve"> </w:t>
      </w:r>
      <w:r>
        <w:t xml:space="preserve">(Raaj S. et al., 2026, p. 2; 2026, p. 4)</w:t>
      </w:r>
      <w:r>
        <w:t xml:space="preserve">. Research on gamification and interaction features extends this picture into participatory environments. Yin reports that TikTok hashtag challenges, framed as community competitions with implicit status rewards, make challengers</w:t>
      </w:r>
      <w:r>
        <w:t xml:space="preserve"> </w:t>
      </w:r>
      <m:oMath>
        <m:r>
          <m:t>62</m:t>
        </m:r>
        <m:r>
          <m:rPr>
            <m:sty m:val="p"/>
          </m:rPr>
          <m:t>%</m:t>
        </m:r>
      </m:oMath>
      <w:r>
        <w:t xml:space="preserve"> </w:t>
      </w:r>
      <w:r>
        <w:t xml:space="preserve">more likely to log in daily than non challengers. Such mechanisms transform users into content co creators while simultaneously tying routine engagement to visible participation in status contests. Although framed positively as community and belonging, these features increase retention by embedding FOMO into user journeys: missing a challenge or failing to contribute content risks social invisibility within the niche community</w:t>
      </w:r>
      <w:r>
        <w:t xml:space="preserve"> </w:t>
      </w:r>
      <w:r>
        <w:t xml:space="preserve">(Yin, 2024, p. 3)</w:t>
      </w:r>
      <w:r>
        <w:t xml:space="preserve">. Across these strands, social validation, status cues and fear of missing out emerge as central psychological targets for engagement optimised design. This comparative audit relies entirely on secondary UX analyses, empirical studies, and regulatory documents rather than internal telemetry, but the converging evidence from Chinese e commerce, global social media research and student behaviour studies is sufficient to justify treating distorted social proof, herd reinforcing algorithms and FOMO amplifying mechanics as high priority risk items in this report’s working Ethical AI Audit Toolkit</w:t>
      </w:r>
      <w:r>
        <w:t xml:space="preserve"> </w:t>
      </w:r>
      <w:r>
        <w:t xml:space="preserve">(Hu, 2025, p. 2; Raaj S. et al., 2026, p. 2; Wang, 2025, p. 13; Yin, 2024, p. 3)</w:t>
      </w:r>
      <w:r>
        <w:t xml:space="preserve">.</w:t>
      </w:r>
    </w:p>
    <w:bookmarkEnd w:id="104"/>
    <w:bookmarkStart w:id="106" w:name="sec:emotional_high_arousal_outrage"/>
    <w:p>
      <w:pPr>
        <w:pStyle w:val="Heading3"/>
      </w:pPr>
      <w:r>
        <w:rPr>
          <w:rStyle w:val="SectionNumber"/>
        </w:rPr>
        <w:t xml:space="preserve">7.3.3</w:t>
      </w:r>
      <w:r>
        <w:tab/>
      </w:r>
      <w:r>
        <w:t xml:space="preserve">Emotional High-Arousal and Outrage Content</w:t>
      </w:r>
    </w:p>
    <w:p>
      <w:pPr>
        <w:pStyle w:val="FirstParagraph"/>
      </w:pPr>
      <w:r>
        <w:t xml:space="preserve">Engagement metrics on major platforms are systematically tuned toward emotionally intense material. Chitra and co authors synthesise experimental work showing that moral emotional language in tweets raises retweet probability by about</w:t>
      </w:r>
      <w:r>
        <w:t xml:space="preserve"> </w:t>
      </w:r>
      <m:oMath>
        <m:r>
          <m:t>20</m:t>
        </m:r>
        <m:r>
          <m:rPr>
            <m:sty m:val="p"/>
          </m:rPr>
          <m:t>%</m:t>
        </m:r>
      </m:oMath>
      <w:r>
        <w:t xml:space="preserve"> </w:t>
      </w:r>
      <w:r>
        <w:t xml:space="preserve">per additional moral emotional word and that content evoking awe, anger, or anxiety is significantly more likely to be shared than content associated with sadness or contentment. Since deep learning ranking stages are trained on engagement signals such as click through rate, watch time, completion, shares and comments, this creates a selection pressure in which outrage maximizing political content outcompetes accurate, nuanced reporting because the loss function contains no term for epistemic quality or civic value</w:t>
      </w:r>
      <w:r>
        <w:t xml:space="preserve"> </w:t>
      </w:r>
      <w:r>
        <w:t xml:space="preserve">(T et al., 2026, p. 7)</w:t>
      </w:r>
      <w:r>
        <w:t xml:space="preserve">. Hu’s analysis of social media feeds shows how this dynamic plays out in curated streams. Algorithmic prioritisation systematically surfaces high arousal items, with Instagram’s "Explore" page amplifying body negative imagery by</w:t>
      </w:r>
      <w:r>
        <w:t xml:space="preserve"> </w:t>
      </w:r>
      <m:oMath>
        <m:r>
          <m:t>23</m:t>
        </m:r>
        <m:r>
          <m:rPr>
            <m:sty m:val="p"/>
          </m:rPr>
          <m:t>%</m:t>
        </m:r>
      </m:oMath>
      <w:r>
        <w:t xml:space="preserve"> </w:t>
      </w:r>
      <w:r>
        <w:t xml:space="preserve">relative to chronological feeds and correlating with a statistically significant decline in self esteem among adolescent women of color (</w:t>
      </w:r>
      <m:oMath>
        <m:r>
          <m:t>β</m:t>
        </m:r>
        <m:r>
          <m:rPr>
            <m:sty m:val="p"/>
          </m:rPr>
          <m:t>=</m:t>
        </m:r>
        <m:r>
          <m:rPr>
            <m:sty m:val="p"/>
          </m:rPr>
          <m:t>−</m:t>
        </m:r>
        <m:r>
          <m:t>0.41</m:t>
        </m:r>
      </m:oMath>
      <w:r>
        <w:t xml:space="preserve">,</w:t>
      </w:r>
      <w:r>
        <w:t xml:space="preserve"> </w:t>
      </w:r>
      <m:oMath>
        <m:r>
          <m:t>p</m:t>
        </m:r>
        <m:r>
          <m:rPr>
            <m:sty m:val="p"/>
          </m:rPr>
          <m:t>&lt;</m:t>
        </m:r>
        <m:r>
          <m:t>0.05</m:t>
        </m:r>
      </m:oMath>
      <w:r>
        <w:t xml:space="preserve">)</w:t>
      </w:r>
      <w:r>
        <w:t xml:space="preserve"> </w:t>
      </w:r>
      <w:r>
        <w:t xml:space="preserve">(Hu, 2025, p. 3)</w:t>
      </w:r>
      <w:r>
        <w:t xml:space="preserve">. Sentiment analysis in the same work finds that algorithmically prioritised content exhibits</w:t>
      </w:r>
      <w:r>
        <w:t xml:space="preserve"> </w:t>
      </w:r>
      <m:oMath>
        <m:r>
          <m:t>31</m:t>
        </m:r>
        <m:r>
          <m:rPr>
            <m:sty m:val="p"/>
          </m:rPr>
          <m:t>%</m:t>
        </m:r>
      </m:oMath>
      <w:r>
        <w:t xml:space="preserve"> </w:t>
      </w:r>
      <w:r>
        <w:t xml:space="preserve">higher negative affect than baseline, aligning with Alter’s model of dopamine driven feedback loops where intermittent reinforcement of emotionally charged content conditions users neurologically</w:t>
      </w:r>
      <w:r>
        <w:t xml:space="preserve"> </w:t>
      </w:r>
      <w:r>
        <w:t xml:space="preserve">(Hu, 2025, p. 3; 2025, p. 2)</w:t>
      </w:r>
      <w:r>
        <w:t xml:space="preserve">. High arousal content interacts with viral mechanics to reshape social norms. Yin documents that viral posts and hashtags can reconfigure cultural spaces in real time, citing Black Lives Matter as an example where online virality catalysed global protest waves, but also noting that quick fire phenomena like the "Harlem Shake" displace sustained discussion and contribute to information fatigue. Viral misinformation during the early COVID 19 pandemic illustrates the darker side: phishing stories, misleading headlines and doctored videos about cures and conspiracy theories spread faster than verification or retraction, aided by algorithms that promote "racy" posts with high interaction, thereby embedding users in echo chambers and misrepresenting public opinion. Creators and viewers both experience psychological strain in this environment: content producers risk harassment and burnout, while viewers report emotional distress when repeatedly exposed to polarising or harmful material</w:t>
      </w:r>
      <w:r>
        <w:t xml:space="preserve"> </w:t>
      </w:r>
      <w:r>
        <w:t xml:space="preserve">(Yin, 2024, p. 2)</w:t>
      </w:r>
      <w:r>
        <w:t xml:space="preserve">. Table </w:t>
      </w:r>
      <w:hyperlink w:anchor="tab:high_arousal_mapping">
        <w:r>
          <w:rPr>
            <w:rStyle w:val="Hyperlink"/>
          </w:rPr>
          <w:t xml:space="preserve">7</w:t>
        </w:r>
      </w:hyperlink>
      <w:r>
        <w:t xml:space="preserve"> </w:t>
      </w:r>
      <w:r>
        <w:t xml:space="preserve">aligns these observations with this report’s working coding matrix.</w:t>
      </w:r>
    </w:p>
    <w:bookmarkStart w:id="105" w:name="tab:high_arousal_mapping"/>
    <w:p>
      <w:pPr>
        <w:pStyle w:val="TableCaption"/>
      </w:pPr>
      <w:r>
        <w:t xml:space="preserve">High arousal and outrage content: working Code B mapping</w:t>
      </w:r>
    </w:p>
    <w:tbl>
      <w:tblPr>
        <w:tblStyle w:val="Table"/>
        <w:tblW w:type="auto" w:w="0"/>
        <w:jc w:val="left"/>
        <w:tblLook w:firstRow="1" w:lastRow="0" w:firstColumn="0" w:lastColumn="0" w:noHBand="0" w:noVBand="0" w:val="0020"/>
        <w:tblCaption w:val="High arousal and outrage content: working Code B mapping"/>
      </w:tblPr>
      <w:tblGrid>
        <w:gridCol w:w="2640"/>
        <w:gridCol w:w="2640"/>
        <w:gridCol w:w="2640"/>
      </w:tblGrid>
      <w:tr>
        <w:trPr>
          <w:tblHeader w:val="on"/>
        </w:trPr>
        <w:tc>
          <w:tcPr/>
          <w:p>
            <w:pPr>
              <w:pStyle w:val="Compact"/>
              <w:jc w:val="left"/>
            </w:pPr>
            <w:r>
              <w:t xml:space="preserve">Coding slot</w:t>
            </w:r>
          </w:p>
        </w:tc>
        <w:tc>
          <w:tcPr/>
          <w:p>
            <w:pPr>
              <w:pStyle w:val="Compact"/>
              <w:jc w:val="left"/>
            </w:pPr>
            <w:r>
              <w:t xml:space="preserve">Mechanism</w:t>
            </w:r>
          </w:p>
        </w:tc>
        <w:tc>
          <w:tcPr/>
          <w:p>
            <w:pPr>
              <w:pStyle w:val="Compact"/>
              <w:jc w:val="left"/>
            </w:pPr>
            <w:r>
              <w:t xml:space="preserve">Empirical or conceptual anchor</w:t>
            </w:r>
          </w:p>
        </w:tc>
      </w:tr>
      <w:tr>
        <w:tc>
          <w:tcPr/>
          <w:p>
            <w:pPr>
              <w:pStyle w:val="Compact"/>
              <w:jc w:val="left"/>
            </w:pPr>
            <w:r>
              <w:t xml:space="preserve">B1: Moral emotional amplification</w:t>
            </w:r>
          </w:p>
        </w:tc>
        <w:tc>
          <w:tcPr/>
          <w:p>
            <w:pPr>
              <w:pStyle w:val="Compact"/>
              <w:jc w:val="left"/>
            </w:pPr>
            <w:r>
              <w:t xml:space="preserve">Moral emotional wording boosts sharing, driving outrage selection</w:t>
            </w:r>
          </w:p>
        </w:tc>
        <w:tc>
          <w:tcPr/>
          <w:p>
            <w:pPr>
              <w:pStyle w:val="Compact"/>
              <w:jc w:val="left"/>
            </w:pPr>
            <w:r>
              <w:t xml:space="preserve">Moral emotional words increase retweets by</w:t>
            </w:r>
            <w:r>
              <w:t xml:space="preserve"> </w:t>
            </w:r>
            <m:oMath>
              <m:r>
                <m:rPr>
                  <m:sty m:val="p"/>
                </m:rPr>
                <m:t>≈</m:t>
              </m:r>
              <m:r>
                <m:t>20</m:t>
              </m:r>
              <m:r>
                <m:rPr>
                  <m:sty m:val="p"/>
                </m:rPr>
                <m:t>%</m:t>
              </m:r>
            </m:oMath>
            <w:r>
              <w:t xml:space="preserve"> </w:t>
            </w:r>
            <w:r>
              <w:t xml:space="preserve">per word</w:t>
            </w:r>
            <w:r>
              <w:t xml:space="preserve"> </w:t>
            </w:r>
            <w:r>
              <w:t xml:space="preserve">(T et al., 2026, p. 7)</w:t>
            </w:r>
          </w:p>
        </w:tc>
      </w:tr>
      <w:tr>
        <w:tc>
          <w:tcPr/>
          <w:p>
            <w:pPr>
              <w:pStyle w:val="Compact"/>
              <w:jc w:val="left"/>
            </w:pPr>
            <w:r>
              <w:t xml:space="preserve">B2: Negative affect bias</w:t>
            </w:r>
          </w:p>
        </w:tc>
        <w:tc>
          <w:tcPr/>
          <w:p>
            <w:pPr>
              <w:pStyle w:val="Compact"/>
              <w:jc w:val="left"/>
            </w:pPr>
            <w:r>
              <w:t xml:space="preserve">Ranking favours high negative affect content</w:t>
            </w:r>
          </w:p>
        </w:tc>
        <w:tc>
          <w:tcPr/>
          <w:p>
            <w:pPr>
              <w:pStyle w:val="Compact"/>
              <w:jc w:val="left"/>
            </w:pPr>
            <w:r>
              <w:t xml:space="preserve">Algorithmic feeds show</w:t>
            </w:r>
            <w:r>
              <w:t xml:space="preserve"> </w:t>
            </w:r>
            <m:oMath>
              <m:r>
                <m:t>31</m:t>
              </m:r>
              <m:r>
                <m:rPr>
                  <m:sty m:val="p"/>
                </m:rPr>
                <m:t>%</m:t>
              </m:r>
            </m:oMath>
            <w:r>
              <w:t xml:space="preserve"> </w:t>
            </w:r>
            <w:r>
              <w:t xml:space="preserve">higher negative affect,</w:t>
            </w:r>
            <w:r>
              <w:t xml:space="preserve"> </w:t>
            </w:r>
            <m:oMath>
              <m:r>
                <m:t>23</m:t>
              </m:r>
              <m:r>
                <m:rPr>
                  <m:sty m:val="p"/>
                </m:rPr>
                <m:t>%</m:t>
              </m:r>
            </m:oMath>
            <w:r>
              <w:t xml:space="preserve"> </w:t>
            </w:r>
            <w:r>
              <w:t xml:space="preserve">more body negative imagery</w:t>
            </w:r>
            <w:r>
              <w:t xml:space="preserve"> </w:t>
            </w:r>
            <w:r>
              <w:t xml:space="preserve">(Hu, 2025, p. 3)</w:t>
            </w:r>
          </w:p>
        </w:tc>
      </w:tr>
      <w:tr>
        <w:tc>
          <w:tcPr/>
          <w:p>
            <w:pPr>
              <w:pStyle w:val="Compact"/>
              <w:jc w:val="left"/>
            </w:pPr>
            <w:r>
              <w:t xml:space="preserve">B3: Viral echo chamber reinforcement</w:t>
            </w:r>
          </w:p>
        </w:tc>
        <w:tc>
          <w:tcPr/>
          <w:p>
            <w:pPr>
              <w:pStyle w:val="Compact"/>
              <w:jc w:val="left"/>
            </w:pPr>
            <w:r>
              <w:t xml:space="preserve">Viral, racy posts amplified into cohesive cliques</w:t>
            </w:r>
          </w:p>
        </w:tc>
        <w:tc>
          <w:tcPr/>
          <w:p>
            <w:pPr>
              <w:pStyle w:val="Compact"/>
              <w:jc w:val="left"/>
            </w:pPr>
            <w:r>
              <w:t xml:space="preserve">Viral misinformation and doctored videos deepen echo chambers and division</w:t>
            </w:r>
          </w:p>
        </w:tc>
      </w:tr>
      <w:tr>
        <w:tc>
          <w:tcPr/>
          <w:p>
            <w:pPr>
              <w:pStyle w:val="Compact"/>
              <w:jc w:val="left"/>
            </w:pPr>
            <w:r>
              <w:t xml:space="preserve">B4: Emotional fatigue and distress</w:t>
            </w:r>
          </w:p>
        </w:tc>
        <w:tc>
          <w:tcPr/>
          <w:p>
            <w:pPr>
              <w:pStyle w:val="Compact"/>
              <w:jc w:val="left"/>
            </w:pPr>
            <w:r>
              <w:t xml:space="preserve">Repeated exposure to polarising material harms creators and viewers</w:t>
            </w:r>
          </w:p>
        </w:tc>
        <w:tc>
          <w:tcPr/>
          <w:p>
            <w:pPr>
              <w:pStyle w:val="Compact"/>
              <w:jc w:val="left"/>
            </w:pPr>
            <w:r>
              <w:t xml:space="preserve">Harassment, burnout, information fatigue and emotional distress reported</w:t>
            </w:r>
            <w:r>
              <w:t xml:space="preserve"> </w:t>
            </w:r>
            <w:r>
              <w:t xml:space="preserve">(Yin, 2024, p. 2)</w:t>
            </w:r>
          </w:p>
        </w:tc>
      </w:tr>
    </w:tbl>
    <w:bookmarkEnd w:id="105"/>
    <w:p>
      <w:pPr>
        <w:pStyle w:val="BodyText"/>
      </w:pPr>
      <w:r>
        <w:t xml:space="preserve">Technical accounts of recommendation architecture clarify why these emotional biases persist. Candidate generation and deep learning ranking stages are optimised over behavioural datasets, using multi task objectives that weight click through, completion, watch time, share rate and comment rate by commercial value. Content that reliably triggers anger, anxiety or awe scores highly on these metrics and is therefore repeatedly selected, while there is no explicit optimisation term for psychological wellbeing. Reinforcement learning layers that optimise for return rate or session length intensify this effect: YouTube’s "radicalization pipeline" is interpreted as an RL agent discovering that escalating content intensity is an effective strategy for maintaining attention, gradually steering users from moderate to more extreme material even when they would prefer balanced content if asked directly</w:t>
      </w:r>
      <w:r>
        <w:t xml:space="preserve"> </w:t>
      </w:r>
      <w:r>
        <w:t xml:space="preserve">(T et al., 2026, p. 7)</w:t>
      </w:r>
      <w:r>
        <w:t xml:space="preserve">. Concerns about outrage amplification intersect with broader debates on democratic rights. Chitra and colleagues frame algorithmic manipulation of political information as threatening freedom of expression, the right to receive diverse viewpoints and electoral rights, because ranking that systematically suppresses certain perspectives or amplifies disinformation undermines free and fair elections and privacy through behavioural surveillance. Digital constitutionalist proposals call for transparency about ranking principles, audit trails, independent oversight with enforcement powers, due process for users, and non discrimination in the distribution of political information, treating systematic political amplification asymmetries as direct violations of constitutional norms</w:t>
      </w:r>
      <w:r>
        <w:t xml:space="preserve"> </w:t>
      </w:r>
      <w:r>
        <w:t xml:space="preserve">(T et al., 2026, p. 11)</w:t>
      </w:r>
      <w:r>
        <w:t xml:space="preserve">. These dynamics are assessed here under strict methodological limits. Internal loss functions, feature weights and reinforcement learning policies of commercial platforms are not observable in this project; analysis relies on published descriptions of architectures, empirical studies of content effects, and qualitative accounts of virality and emotional impact rather than direct inspection of proprietary code or telemetry</w:t>
      </w:r>
      <w:r>
        <w:t xml:space="preserve"> </w:t>
      </w:r>
      <w:r>
        <w:t xml:space="preserve">(Hu, 2025, p. 3; T et al., 2026, p. 7; Yin, 2024, p. 2)</w:t>
      </w:r>
      <w:r>
        <w:t xml:space="preserve">. Within that constraint, evidence indicates that emotional high arousal and outrage content is not an incidental by product of social recommender systems but a predictable outcome of engagement oriented optimisation, and that any Ethical AI Audit Toolkit aligned with EU digital constitutionalism and a Digital Fairness trajectory must therefore treat such content patterns as central diagnostic signals rather than peripheral content moderation issues</w:t>
      </w:r>
      <w:r>
        <w:t xml:space="preserve"> </w:t>
      </w:r>
      <w:r>
        <w:t xml:space="preserve">(Hu, 2025, p. 3; T et al., 2026, p. 7; 2026, p. 11)</w:t>
      </w:r>
      <w:r>
        <w:t xml:space="preserve">.</w:t>
      </w:r>
    </w:p>
    <w:bookmarkEnd w:id="106"/>
    <w:bookmarkEnd w:id="107"/>
    <w:bookmarkEnd w:id="108"/>
    <w:bookmarkStart w:id="123" w:name="Xdced13b3068f0d0471e5449bbcd2861585c2fec"/>
    <w:p>
      <w:pPr>
        <w:pStyle w:val="Heading1"/>
      </w:pPr>
      <w:r>
        <w:rPr>
          <w:rStyle w:val="SectionNumber"/>
        </w:rPr>
        <w:t xml:space="preserve">8</w:t>
      </w:r>
      <w:r>
        <w:tab/>
      </w:r>
      <w:r>
        <w:t xml:space="preserve">Design of an Ethical AI Audit Toolkit for Social Recommender Systems</w:t>
      </w:r>
    </w:p>
    <w:bookmarkStart w:id="112" w:name="conceptual-design-of-the-audit-toolkit"/>
    <w:p>
      <w:pPr>
        <w:pStyle w:val="Heading2"/>
      </w:pPr>
      <w:r>
        <w:rPr>
          <w:rStyle w:val="SectionNumber"/>
        </w:rPr>
        <w:t xml:space="preserve">8.1</w:t>
      </w:r>
      <w:r>
        <w:tab/>
      </w:r>
      <w:r>
        <w:t xml:space="preserve">Conceptual Design of the Audit Toolkit</w:t>
      </w:r>
    </w:p>
    <w:bookmarkStart w:id="109" w:name="sec:toolkit_objectives_users_governance"/>
    <w:p>
      <w:pPr>
        <w:pStyle w:val="Heading3"/>
      </w:pPr>
      <w:r>
        <w:rPr>
          <w:rStyle w:val="SectionNumber"/>
        </w:rPr>
        <w:t xml:space="preserve">8.1.1</w:t>
      </w:r>
      <w:r>
        <w:tab/>
      </w:r>
      <w:r>
        <w:t xml:space="preserve">Objectives, Users and Governance of the Toolkit</w:t>
      </w:r>
    </w:p>
    <w:p>
      <w:pPr>
        <w:pStyle w:val="FirstParagraph"/>
      </w:pPr>
      <w:r>
        <w:t xml:space="preserve">Audit design in this project pursues three linked objectives: translate legal and ethical duties on AI into operational control points, create artefacts that are auditable by external actors, and embed those controls into organisational governance rather than treating them as one off assessments. Catapang’s triple gate architecture illustrates the first aim: data, training, deployment and monitoring stages are each subject to Governance, Metric and Eco gates, mapped to AI Act obligations such as data governance, human oversight, transparency and post market monitoring, and to NIST AI RMF functions like Map, Measure and Govern. Gate outcomes are not reports but blocking or throttling decisions whose logs become audit artefacts, which aligns directly with this thesis intent to move from ethical "principles" toward enforceable checkpoints in recommender pipelines</w:t>
      </w:r>
      <w:r>
        <w:t xml:space="preserve"> </w:t>
      </w:r>
      <w:r>
        <w:t xml:space="preserve">(Catapang, 2026, p. 24)</w:t>
      </w:r>
      <w:r>
        <w:t xml:space="preserve">. Kostenko’s AI Law Model complements this by specifying mandatory procedures for ethical admissibility, including notification of AI use, explainability of conclusions, revision of data sources, guarantees of human control over critical automated decisions, and counteraction to manipulative practices that harm vulnerable groups</w:t>
      </w:r>
      <w:r>
        <w:t xml:space="preserve"> </w:t>
      </w:r>
      <w:r>
        <w:t xml:space="preserve">(Kostenko, 2025, p. 9)</w:t>
      </w:r>
      <w:r>
        <w:t xml:space="preserve">. The toolkit is therefore oriented to operationalise these procedures at concrete decision gates: for instance, preventing releases of feed ranking changes that worsen addiction indicators or fairness metrics beyond predefined thresholds. Multiple user groups are envisioned. Inside organisations, product teams and engineering leadership need controls that integrate with CI/CD practices. Catapang shows that embedding Governance, Metric and Eco gates into CI/CD and runtime serving paths allows each promotion or rollback decision to generate logs suitable for conformity assessment, with Eco gates treated as first class blockers when emissions budgets are exceeded</w:t>
      </w:r>
      <w:r>
        <w:t xml:space="preserve"> </w:t>
      </w:r>
      <w:r>
        <w:t xml:space="preserve">(Catapang, 2026, p. 24)</w:t>
      </w:r>
      <w:r>
        <w:t xml:space="preserve">. Translating this pattern to social recommenders implies dashboards and gate checks that product owners can use during experimentation, with pass or fail statuses aligned to DSA obligations on non profiled options and systemic risk mitigation as interpreted in prior sections</w:t>
      </w:r>
      <w:r>
        <w:t xml:space="preserve"> </w:t>
      </w:r>
      <w:r>
        <w:t xml:space="preserve">(T et al., 2026, p. 12)</w:t>
      </w:r>
      <w:r>
        <w:t xml:space="preserve">. Risk, compliance and audit functions form a second user group. Sebastian anticipates algorithmic impact assessments for high risk credit AI that mirror environmental impact reviews, with standardised fairness metrics, documentation structures and transparency reports detailing model types, data sources, validation methods, demographic performance and governance arrangements</w:t>
      </w:r>
      <w:r>
        <w:t xml:space="preserve"> </w:t>
      </w:r>
      <w:r>
        <w:t xml:space="preserve">(Sebastian, 2025, p. 15)</w:t>
      </w:r>
      <w:r>
        <w:t xml:space="preserve">. Mutawa et al.’s Algorithmic Governance Assessment Matrix similarly evaluates transparency, accountability, explainability, data integrity and normative alignment using coding sheets over institutional documents and performance indicators</w:t>
      </w:r>
      <w:r>
        <w:t xml:space="preserve"> </w:t>
      </w:r>
      <w:r>
        <w:t xml:space="preserve">(Mutawa et al., 2025, p. 59)</w:t>
      </w:r>
      <w:r>
        <w:t xml:space="preserve">. The audit toolkit in this thesis is designed to produce comparable documentation and scoring outputs that these functions can interpret without needing access to source code. External stakeholders also have identified roles. Regulators under the AI Law Model and EU regimes are expected to supervise high risk systems through registers, inspections and independent audits, yet Kostenko notes systemic gaps in many jurisdictions: weak oversight mechanisms, insufficient institutional capacity for independent auditing, lack of unified impact assessment procedures and absence of public registers</w:t>
      </w:r>
      <w:r>
        <w:t xml:space="preserve"> </w:t>
      </w:r>
      <w:r>
        <w:t xml:space="preserve">(Kostenko, 2025, p. 9)</w:t>
      </w:r>
      <w:r>
        <w:t xml:space="preserve">. Bahangulu and Owusu Berko argue that businesses should adopt independent AI audits and external oversight committees to complement regulatory enforcement, given the difficulty regulators face with black box models and the complexity of auditing for fairness and transparency</w:t>
      </w:r>
      <w:r>
        <w:t xml:space="preserve"> </w:t>
      </w:r>
      <w:r>
        <w:t xml:space="preserve">(Bahangulu &amp; Owusu-Berko, 2025, p. 8; 2025, p. 9)</w:t>
      </w:r>
      <w:r>
        <w:t xml:space="preserve">. The toolkit is therefore conceived as a bridge artefact that can be used both by internal teams and by independent auditors or supervisory authorities to interrogate recommender configurations through observable outputs, logs and documented gate decisions, in line with this thesis methodological constraint that black box systems are assessed only via published or logged behaviour, not internal telemetry. Governance of the toolkit itself must mirror the hybrid models that comparative case studies find most effective. Alrwili and Kantharia classify AI governance into self regulatory, co regulatory and statutory models, and their cross case synthesis of healthcare, civil service HR and municipal DSS deployments finds that hybrid governance combining internal ethics boards, external oversight and statutory frameworks yields bias reduction, faster appeal resolution and higher audit compliance than self regulation alone</w:t>
      </w:r>
      <w:r>
        <w:t xml:space="preserve"> </w:t>
      </w:r>
      <w:r>
        <w:t xml:space="preserve">(Alrwili &amp; Kantharia, 2025, p. 2)</w:t>
      </w:r>
      <w:r>
        <w:t xml:space="preserve">. In the mental health domain, Malachi et al. show that Pastoral Data Trust governance, mixed audit circles and ethics escrows are critical for maintaining trust and preventing "digital colonialism" when AI systems operate in fragile communities</w:t>
      </w:r>
      <w:r>
        <w:t xml:space="preserve"> </w:t>
      </w:r>
      <w:r>
        <w:t xml:space="preserve">(Grace Malachi et al., 2025, p. 11; 2025, p. 13)</w:t>
      </w:r>
      <w:r>
        <w:t xml:space="preserve">. Drawing on these findings, this thesis situates toolkit governance in co regulatory arrangements: internal AI ethics or CSR committees manage gate configurations and monitor override and incident logs, while independent auditors and, where applicable, national registers under AI Act style regimes obtain access to gate artefacts, model cards and risk assessments. Finally, sustainability of the toolkit depends on formal institutionalisation. Selvam and González Vallejo stress the need for academic oversight committees in HITL grading responsible for rubric standardisation, override log analysis and periodic model recalibration, and advocate alignment with accrediting agencies and policy frameworks</w:t>
      </w:r>
      <w:r>
        <w:t xml:space="preserve"> </w:t>
      </w:r>
      <w:r>
        <w:t xml:space="preserve">(Selvam &amp; González Vallejo, 2025, p. 21)</w:t>
      </w:r>
      <w:r>
        <w:t xml:space="preserve">. Catapang’s distinction between organisational framing and control architecture reinforces that many ethical failures are failures of control rather than of principle</w:t>
      </w:r>
      <w:r>
        <w:t xml:space="preserve"> </w:t>
      </w:r>
      <w:r>
        <w:t xml:space="preserve">(Catapang, 2026, p. 24)</w:t>
      </w:r>
      <w:r>
        <w:t xml:space="preserve">. For social recommender audits, this implies that the toolkit must be anchored in documented policies, shared taxonomies and scheduled review cycles, with clear ownership at board and management level, if it is to withstand commercial pressure toward unchecked engagement optimisation while meeting emerging EU expectations around AI audits, transparency and fairness</w:t>
      </w:r>
      <w:r>
        <w:t xml:space="preserve"> </w:t>
      </w:r>
      <w:r>
        <w:t xml:space="preserve">(Bahangulu &amp; Owusu-Berko, 2025, p. 9; Kostenko, 2025, p. 26; T et al., 2026, p. 12)</w:t>
      </w:r>
      <w:r>
        <w:t xml:space="preserve">.</w:t>
      </w:r>
    </w:p>
    <w:bookmarkEnd w:id="109"/>
    <w:bookmarkStart w:id="110" w:name="sec:audit_typologies_recommenders"/>
    <w:p>
      <w:pPr>
        <w:pStyle w:val="Heading3"/>
      </w:pPr>
      <w:r>
        <w:rPr>
          <w:rStyle w:val="SectionNumber"/>
        </w:rPr>
        <w:t xml:space="preserve">8.1.2</w:t>
      </w:r>
      <w:r>
        <w:tab/>
      </w:r>
      <w:r>
        <w:t xml:space="preserve">Audit Typologies Relevant for Recommender Systems</w:t>
      </w:r>
    </w:p>
    <w:p>
      <w:pPr>
        <w:pStyle w:val="FirstParagraph"/>
      </w:pPr>
      <w:r>
        <w:t xml:space="preserve">Audit work on social recommender systems can draw on several distinct but complementary typologies that already exist in adjacent domains. Me</w:t>
      </w:r>
      <w:r>
        <w:t xml:space="preserve">ß</w:t>
      </w:r>
      <w:r>
        <w:t xml:space="preserve">mer and Degeling distinguish clearly between DSA compliance audits under Article 37, which primarily check whether very large online platforms have conducted and documented the required systemic risk assessments, and risk or impact assessments that interrogate concrete risk scenarios for specific recommender architectures. Their proposal imports the ISO five step audit process planning, risk assessment, audit strategy, evidence gathering and reporting into a socio technical audit that examines ranking behaviour under defined scenarios, for example recommendation of self harm or radicalising content</w:t>
      </w:r>
      <w:r>
        <w:t xml:space="preserve"> </w:t>
      </w:r>
      <w:r>
        <w:t xml:space="preserve">(Meßmer &amp; Degeling, 2023, p. 21)</w:t>
      </w:r>
      <w:r>
        <w:t xml:space="preserve">. In this report’s working taxonomy, this yields one axis of audit types: formal compliance audits versus scenario based risk audits targeted at engagement and addiction dynamics. Empirical work using archetype or "blank account" methodologies suggests these scenario tests can reveal rapid algorithmic drift toward more extreme or harmful material: in one study, carefully constructed archetype accounts running only passive viewing showed algorithmic saturation in content typologies within about five days, with clear amplification of misogynistic and radical material as viewing continued</w:t>
      </w:r>
      <w:r>
        <w:t xml:space="preserve"> </w:t>
      </w:r>
      <w:r>
        <w:t xml:space="preserve">(Regehr et al., 2025, p. 4)</w:t>
      </w:r>
      <w:r>
        <w:t xml:space="preserve">. Such findings imply that short, repeatable behavioural probes may be sufficient to surface harmful ranking dynamics for the kinds of scenario based risk audits discussed above</w:t>
      </w:r>
      <w:r>
        <w:t xml:space="preserve"> </w:t>
      </w:r>
      <w:r>
        <w:t xml:space="preserve">(Regehr et al., 2025, p. 4)</w:t>
      </w:r>
      <w:r>
        <w:t xml:space="preserve">. A second typology is emerging around algorithmic impact assessments for high risk systems. Sebastian anticipates legally required impact assessments for credit AI, comparable to environmental impact reviews, that test fairness across groups, accuracy and calibration, robustness, privacy, and systemic effects before deployment and on an ongoing basis. These assessments combine quantitative outcome differentials, qualitative analysis of discrimination mechanisms, stakeholder engagement, and risk mitigation planning, and they are expected to be standardised so results become comparable across institutions and over time</w:t>
      </w:r>
      <w:r>
        <w:t xml:space="preserve"> </w:t>
      </w:r>
      <w:r>
        <w:t xml:space="preserve">(Sebastian, 2025, p. 15)</w:t>
      </w:r>
      <w:r>
        <w:t xml:space="preserve">. For recommender systems, alignment with such AIA style audits would mean treating engagement optimising feeds as high impact systems subject to pre deployment and periodic assessment on fairness, manipulation and addiction indicators, not only content legality. Sector specific governance matrices add a third perspective. Mutawa et al. construct an Algorithmic Governance Assessment Matrix for zakat institutions that evaluates transparency, accountability, explainability, data integrity and Shariah alignment, based on document analysis and semi structured interviews</w:t>
      </w:r>
      <w:r>
        <w:t xml:space="preserve"> </w:t>
      </w:r>
      <w:r>
        <w:t xml:space="preserve">(Mutawa et al., 2025, p. 4)</w:t>
      </w:r>
      <w:r>
        <w:t xml:space="preserve">. Their empirical results show that transparency scores correlate with clarity of algorithmic documentation and traceability indicators, and that institutions with higher AI readiness display better eligibility accuracy and processing efficiency</w:t>
      </w:r>
      <w:r>
        <w:t xml:space="preserve"> </w:t>
      </w:r>
      <w:r>
        <w:t xml:space="preserve">(Mutawa et al., 2025, p. 4; 2025, p. 8)</w:t>
      </w:r>
      <w:r>
        <w:t xml:space="preserve">. This style of matrix provides a template for recommender audits that rate platform governance arrangements alongside technical performance, for instance scoring explainability and oversight rather than only ranking output statistics. Kostenko’s AI Law Model implicitly defines yet another typology by separating ethical admissibility tests from ongoing supervisory audits. Ethical admissibility is formalised as mandatory procedures: notification of AI use, explainability of algorithmic conclusions, revision of data sources, guarantees of human control over critical decisions, counteraction to manipulative practices, and protection of vulnerable groups</w:t>
      </w:r>
      <w:r>
        <w:t xml:space="preserve"> </w:t>
      </w:r>
      <w:r>
        <w:t xml:space="preserve">(Kostenko, 2025, p. 8)</w:t>
      </w:r>
      <w:r>
        <w:t xml:space="preserve">. Supervisory audits then operate on a risk based taxonomy that distinguishes unacceptable, high, limited and minimal risk, augmented by concepts such as systemic and emergent risk, and are executed by accredited auditors and public councils that can reclassify risk based on operational metrics and prior audit findings</w:t>
      </w:r>
      <w:r>
        <w:t xml:space="preserve"> </w:t>
      </w:r>
      <w:r>
        <w:t xml:space="preserve">(Kostenko, 2025, p. 9)</w:t>
      </w:r>
      <w:r>
        <w:t xml:space="preserve">. Within this thesis, Ethical AI Audit Toolkit components can be mapped to these two layers: design time admissibility checks on manipulative and addictive patterns, and runtime audits tied to risk reclassification. Algorithmic auditing protocols from financial AI provide concrete process patterns. Thaneswaran requires models in a cloud connected financial ecosystem to pass a lifecycle validation pipeline that starts with adversarial pre deployment bias testing, continues with a self audit loop where an Ethical Governance Layer logs SHAP based feature attributions to a write once ledger, and is supplemented by bi annual third party reviews. Circuit breakers automatically switch models into human in the loop fallback modes when drift or disparate impact thresholds are breached</w:t>
      </w:r>
      <w:r>
        <w:t xml:space="preserve"> </w:t>
      </w:r>
      <w:r>
        <w:t xml:space="preserve">(S, 2026, p. 7)</w:t>
      </w:r>
      <w:r>
        <w:t xml:space="preserve">. For social recommenders, analogous typologies would distinguish internal continuous self audits, independent external reviews, and automatic throttling of engagement optimisation when harm indicators breach agreed limits. Human in the loop grading demonstrates a further type: embedded operational audits that are inseparable from day to day workflows. In Selvam and González Vallejo’s four layer framework, every AI score is subject to educator validation, all AI and human actions are dual logged, and institutional oversight committees analyse override logs and recalibrate models. Students respond positively to transparent, dual sourced feedback, and the system aligns with policy frameworks for ethical AI in education</w:t>
      </w:r>
      <w:r>
        <w:t xml:space="preserve"> </w:t>
      </w:r>
      <w:r>
        <w:t xml:space="preserve">(Selvam &amp; González Vallejo, 2025, p. 21)</w:t>
      </w:r>
      <w:r>
        <w:t xml:space="preserve">. This corresponds, in this report’s working classification, to continuous human centric performance audits, where override patterns and user trust metrics are primary objects of analysis. Across these strands, at least four audit typologies emerge that are relevant to recommender systems in a Digital Fairness trajectory: DSA style compliance audits versus scenario based risk audits</w:t>
      </w:r>
      <w:r>
        <w:t xml:space="preserve"> </w:t>
      </w:r>
      <w:r>
        <w:t xml:space="preserve">(Meßmer &amp; Degeling, 2023, p. 21)</w:t>
      </w:r>
      <w:r>
        <w:t xml:space="preserve">; legally mandated AIAs with standardised fairness and impact metrics</w:t>
      </w:r>
      <w:r>
        <w:t xml:space="preserve"> </w:t>
      </w:r>
      <w:r>
        <w:t xml:space="preserve">(Sebastian, 2025, p. 15)</w:t>
      </w:r>
      <w:r>
        <w:t xml:space="preserve">; governance and ethics matrices that rate transparency, accountability and alignment with normative frameworks</w:t>
      </w:r>
      <w:r>
        <w:t xml:space="preserve"> </w:t>
      </w:r>
      <w:r>
        <w:t xml:space="preserve">(Mutawa et al., 2025, p. 4; 2025, p. 8)</w:t>
      </w:r>
      <w:r>
        <w:t xml:space="preserve">; and lifecycle audits combining self auditing telemetry, independent external reviews, and human in the loop operational checks</w:t>
      </w:r>
      <w:r>
        <w:t xml:space="preserve"> </w:t>
      </w:r>
      <w:r>
        <w:t xml:space="preserve">(S, 2026, p. 7; Selvam &amp; González Vallejo, 2025, p. 21)</w:t>
      </w:r>
      <w:r>
        <w:t xml:space="preserve">. The Ethical AI Audit Toolkit proposed later will align its modules explicitly to these audit types, while remaining constrained by the methodological limitation that black box recommenders are evaluated through published behaviour, documentation and secondary audits rather than direct internal access</w:t>
      </w:r>
      <w:r>
        <w:t xml:space="preserve"> </w:t>
      </w:r>
      <w:r>
        <w:t xml:space="preserve">(Bahangulu &amp; Owusu-Berko, 2025, p. 9; Khare et al., 2026, p. 6; Kostenko, 2025, p. 9)</w:t>
      </w:r>
      <w:r>
        <w:t xml:space="preserve">.</w:t>
      </w:r>
    </w:p>
    <w:bookmarkEnd w:id="110"/>
    <w:bookmarkStart w:id="111" w:name="sec:alignment_regulatory_ethical"/>
    <w:p>
      <w:pPr>
        <w:pStyle w:val="Heading3"/>
      </w:pPr>
      <w:r>
        <w:rPr>
          <w:rStyle w:val="SectionNumber"/>
        </w:rPr>
        <w:t xml:space="preserve">8.1.3</w:t>
      </w:r>
      <w:r>
        <w:tab/>
      </w:r>
      <w:r>
        <w:t xml:space="preserve">Alignment with Regulatory and Ethical Requirements</w:t>
      </w:r>
    </w:p>
    <w:p>
      <w:pPr>
        <w:pStyle w:val="FirstParagraph"/>
      </w:pPr>
      <w:r>
        <w:t xml:space="preserve">Design choices in the audit toolkit must map cleanly onto existing hard law and model law obligations rather than free standing ethical aspirations. The EU AI Act provides the first anchor: it classifies AI into unacceptable, high, limited, and minimal risk, bans systems that exploit psychological vulnerabilities, and imposes conformity assessment, documentation, and human oversight requirements for high risk domains such as education, employment and essential services</w:t>
      </w:r>
      <w:r>
        <w:t xml:space="preserve"> </w:t>
      </w:r>
      <w:r>
        <w:t xml:space="preserve">(Kostenko, 2025, p. 10; T et al., 2026, p. 2248)</w:t>
      </w:r>
      <w:r>
        <w:t xml:space="preserve">. Toolkit criteria that flag addictive feeds or behavioural profiling of minors as "Code Category C: Prohibited or Critical Risk" are therefore aligned with the Act’s unacceptable tier and Kostenko’s explicit prohibition of systems that manipulate behaviour, cause digital addiction, emotional exhaustion or loss of trust</w:t>
      </w:r>
      <w:r>
        <w:t xml:space="preserve"> </w:t>
      </w:r>
      <w:r>
        <w:t xml:space="preserve">(Kostenko, 2025, pp. 61–62)</w:t>
      </w:r>
      <w:r>
        <w:t xml:space="preserve">. Platform facing duties under the Digital Services Act form the second anchor. Very large online platforms must offer at least one non profiled recommendation option, conduct annual independent audits, grant data access to vetted researchers, and assess and mitigate systemic risks to civic discourse and electoral processes</w:t>
      </w:r>
      <w:r>
        <w:t xml:space="preserve"> </w:t>
      </w:r>
      <w:r>
        <w:t xml:space="preserve">(T et al., 2026, p. 2248)</w:t>
      </w:r>
      <w:r>
        <w:t xml:space="preserve">. Article 25 DSA bans interface designs that deceive or manipulate users or substantially impair free and informed decisions, including giving undue prominence to specific options and making cancellation harder than subscription</w:t>
      </w:r>
      <w:r>
        <w:t xml:space="preserve"> </w:t>
      </w:r>
      <w:r>
        <w:t xml:space="preserve">(Quinelato, 2024, p. 20)</w:t>
      </w:r>
      <w:r>
        <w:t xml:space="preserve">. Audit checks in this report’s working taxonomy that inspect whether non profiled feeds are genuinely accessible, whether defaults push users into personalised streams, and whether exit flows carry more friction than entry directly operationalise these DSA provisions without claiming internal access to ranking code</w:t>
      </w:r>
      <w:r>
        <w:t xml:space="preserve"> </w:t>
      </w:r>
      <w:r>
        <w:t xml:space="preserve">(Khare et al., 2026, p. 6; Quinelato, 2024, p. 20)</w:t>
      </w:r>
      <w:r>
        <w:t xml:space="preserve">. Model law recommendations extend these hard law duties into a more granular ethical architecture. Kostenko’s AI Law Model formalises ethical admissibility tests as mandatory procedures: notification of AI use, explainability of algorithmic conclusions, revision of data sources for quality and legality, guarantees of human control over critical automated decisions, and counteraction to manipulative practices, especially for vulnerable groups</w:t>
      </w:r>
      <w:r>
        <w:t xml:space="preserve"> </w:t>
      </w:r>
      <w:r>
        <w:t xml:space="preserve">(Kostenko, 2025, p. 8)</w:t>
      </w:r>
      <w:r>
        <w:t xml:space="preserve">. The same text requires detailed technical passports, event logging, and risk management frameworks for high risk systems, with independent audit and public registers overseen by an interdisciplinary AI council</w:t>
      </w:r>
      <w:r>
        <w:t xml:space="preserve"> </w:t>
      </w:r>
      <w:r>
        <w:t xml:space="preserve">(Kostenko, 2025, p. 9; 2025, p. 19.5)</w:t>
      </w:r>
      <w:r>
        <w:t xml:space="preserve">. Audit modules that demand documented explanation interfaces, tamper evident logs, and evidence of human override channels for recommender changes are therefore not discretionary; they are direct translations of these model law expectations into practical checklist items. Ethical governance standards and ISO based risk tools provide a further alignment layer. Sankaran shows that ISO/IEC 5259 on data quality, 24368 on ethical principles, 24027 on bias assessment, and 23894 on AI risk management collectively support EU AI Act requirements on representative datasets, fairness, transparency and human oversight, although they are voluntary outside strict regulatory environments</w:t>
      </w:r>
      <w:r>
        <w:t xml:space="preserve"> </w:t>
      </w:r>
      <w:r>
        <w:t xml:space="preserve">(Sankaran, 2025, p. 4)</w:t>
      </w:r>
      <w:r>
        <w:t xml:space="preserve">. Sebastian anticipates that credit AI will be subject to standardised fairness tests, documentation of performance by demographic group, and continuous monitoring of disparate impact as part of algorithmic impact assessments</w:t>
      </w:r>
      <w:r>
        <w:t xml:space="preserve"> </w:t>
      </w:r>
      <w:r>
        <w:t xml:space="preserve">(Sebastian, 2025, p. 15)</w:t>
      </w:r>
      <w:r>
        <w:t xml:space="preserve">. The toolkit can therefore adopt ISO style bias and risk controls as internal metrics and evidence artefacts, then explicitly crosswalk them to AI Act and AI Law Model criteria, echoing Catapang’s regulatory mapping of triple gates to EU AI Act and NIST AI RMF obligations</w:t>
      </w:r>
      <w:r>
        <w:t xml:space="preserve"> </w:t>
      </w:r>
      <w:r>
        <w:t xml:space="preserve">(Catapang, 2026, p. 23)</w:t>
      </w:r>
      <w:r>
        <w:t xml:space="preserve">. Typologies of AI governance clarify which organisational structures the toolkit should treat as compliant. Comparative case studies of healthcare, civil service HR and municipal DSS show that hybrid governance combining internal ethics boards, external oversight and statutory frameworks produces measurable improvements in bias reduction, appeal resolution times and audit compliance scores, while pure self regulation risks insufficient accountability</w:t>
      </w:r>
      <w:r>
        <w:t xml:space="preserve"> </w:t>
      </w:r>
      <w:r>
        <w:t xml:space="preserve">(Alrwili &amp; Kantharia, 2025, p. 2)</w:t>
      </w:r>
      <w:r>
        <w:t xml:space="preserve">. Bahangulu and Owusu Berko argue that businesses must adopt independent AI audits, external oversight committees and policies aligned with the EU AI Act and GDPR, because regulators struggle with black box models and require better auditing techniques and collaboration to enforce fairness and transparency</w:t>
      </w:r>
      <w:r>
        <w:t xml:space="preserve"> </w:t>
      </w:r>
      <w:r>
        <w:t xml:space="preserve">(Bahangulu &amp; Owusu-Berko, 2025, p. 9)</w:t>
      </w:r>
      <w:r>
        <w:t xml:space="preserve">. Governance sections of the toolkit therefore align with these findings by treating the presence of co regulatory or statutory style oversight, documented audit trails and independent review as positive Code C signals, and by explicitly acknowledging that black box recommenders can only be evaluated here via published reports, external audits and observable UX behaviour</w:t>
      </w:r>
      <w:r>
        <w:t xml:space="preserve"> </w:t>
      </w:r>
      <w:r>
        <w:t xml:space="preserve">(Bahangulu &amp; Owusu-Berko, 2025, p. 9; Khare et al., 2026, p. 6)</w:t>
      </w:r>
      <w:r>
        <w:t xml:space="preserve">. Finally, ethical documentation and communication practices drawn from HITL grading and educational AI provide concrete design patterns consistent with UNESCO and EU expectations. Selvam and González Vallejo demonstrate that four layer HITL grading, with SHAP based explainability, human confirmation, dual logging and explicit tagging of AI versus instructor feedback, aligns with transparency and human oversight principles and increases student trust</w:t>
      </w:r>
      <w:r>
        <w:t xml:space="preserve"> </w:t>
      </w:r>
      <w:r>
        <w:t xml:space="preserve">(Selvam &amp; González Vallejo, 2025, p. 6805789; 2025, p. 20)</w:t>
      </w:r>
      <w:r>
        <w:t xml:space="preserve">. Mogoi et al. argue that AI powered mobile proctoring must integrate privacy by design, informed consent, ethical auditing mechanisms and transparent communication about how AI decisions are made</w:t>
      </w:r>
      <w:r>
        <w:t xml:space="preserve"> </w:t>
      </w:r>
      <w:r>
        <w:t xml:space="preserve">(Mogoi et al., 2025, p. 9)</w:t>
      </w:r>
      <w:r>
        <w:t xml:space="preserve">. These practices inform audit items requiring clear user facing disclosure of AI involvement in recommendation decisions, accessible appeal procedures, and explicit tagging of personalised versus non personalised content. Aligning toolkit components with these concrete regulatory and ethical requirements maintains congruence with EU AI Act and DSA obligations, emerging Digital Fairness directions, and AI Law Model principles, while staying within the evidentiary limits of qualitative secondary research on black box social platforms</w:t>
      </w:r>
      <w:r>
        <w:t xml:space="preserve"> </w:t>
      </w:r>
      <w:r>
        <w:t xml:space="preserve">(Kostenko, 2025, p. 8; Mogoi et al., 2025, p. 9; Quinelato, 2024, p. 20; T et al., 2026, p. 2248)</w:t>
      </w:r>
      <w:r>
        <w:t xml:space="preserve">.</w:t>
      </w:r>
    </w:p>
    <w:bookmarkEnd w:id="111"/>
    <w:bookmarkEnd w:id="112"/>
    <w:bookmarkStart w:id="118" w:name="audit-preparation-and-scoping-modules"/>
    <w:p>
      <w:pPr>
        <w:pStyle w:val="Heading2"/>
      </w:pPr>
      <w:r>
        <w:rPr>
          <w:rStyle w:val="SectionNumber"/>
        </w:rPr>
        <w:t xml:space="preserve">8.2</w:t>
      </w:r>
      <w:r>
        <w:tab/>
      </w:r>
      <w:r>
        <w:t xml:space="preserve">Audit Preparation and Scoping Modules</w:t>
      </w:r>
    </w:p>
    <w:bookmarkStart w:id="114" w:name="sec:defining_system_boundaries_use_cases"/>
    <w:p>
      <w:pPr>
        <w:pStyle w:val="Heading3"/>
      </w:pPr>
      <w:r>
        <w:rPr>
          <w:rStyle w:val="SectionNumber"/>
        </w:rPr>
        <w:t xml:space="preserve">8.2.1</w:t>
      </w:r>
      <w:r>
        <w:tab/>
      </w:r>
      <w:r>
        <w:t xml:space="preserve">Defining System Boundaries and Use Cases</w:t>
      </w:r>
    </w:p>
    <w:p>
      <w:pPr>
        <w:pStyle w:val="FirstParagraph"/>
      </w:pPr>
      <w:r>
        <w:t xml:space="preserve">Scoping an ethical audit begins with drawing clear boundaries around which socio technical artefact is being examined. In this thesis, recommender systems are treated as black box services whose internal model weights and proprietary training pipelines cannot be inspected directly; assessment instead relies on observable interface behaviour, published technical descriptions, regulatory records, and secondary empirical studies</w:t>
      </w:r>
      <w:r>
        <w:t xml:space="preserve"> </w:t>
      </w:r>
      <w:r>
        <w:t xml:space="preserve">(Hu, 2025, p. 2; Khare et al., 2026, p. 7; Li, 2026, p. 2)</w:t>
      </w:r>
      <w:r>
        <w:t xml:space="preserve">. This constraint mirrors designs in dark pattern research, where qualitative content analysis of regulatory documents, institutional audits, and consumer surveys is used to characterise systemic manipulation without access to platform code or telemetry</w:t>
      </w:r>
      <w:r>
        <w:t xml:space="preserve"> </w:t>
      </w:r>
      <w:r>
        <w:t xml:space="preserve">(Khare et al., 2026, p. 7)</w:t>
      </w:r>
      <w:r>
        <w:t xml:space="preserve">. System boundaries therefore need to be articulated along at least three axes. First, functional scope: which sub systems count as part of the "social recommender" for audit purposes. Inspired by Mutawa et al.’s Algorithmic Governance Assessment Matrix for zakat distribution, which covers transparency, accountability, explainability, data integrity, and Shariah alignment across AI models and organisational processes, this report treats the recommender as comprising ranking logic, data capture and storage, user facing interfaces, and surrounding governance mechanisms</w:t>
      </w:r>
      <w:r>
        <w:t xml:space="preserve"> </w:t>
      </w:r>
      <w:r>
        <w:t xml:space="preserve">(Mutawa et al., 2025, p. 2702055)</w:t>
      </w:r>
      <w:r>
        <w:t xml:space="preserve">. For example, in a SOCIO SPHERE AI style architecture, AI powered recommendation components, sentiment analysis, real time notifications, and AI assisted replies sit alongside content creation tools and moderation functions within a modular three tier system with an additional AI/ML processing layer</w:t>
      </w:r>
      <w:r>
        <w:t xml:space="preserve"> </w:t>
      </w:r>
      <w:r>
        <w:t xml:space="preserve">(Behera, 2026, p. 3413731)</w:t>
      </w:r>
      <w:r>
        <w:t xml:space="preserve">. An audit boundary that included ranking while ignoring AI assisted replies or notification policies would miss key engagement and manipulation channels. Second, institutional scope: which entities carry responsibility for decisions. Kostenko distinguishes AI providers, who create and maintain systems, from AI operators, who integrate and use them in specific contexts, and places legal obligations on both</w:t>
      </w:r>
      <w:r>
        <w:t xml:space="preserve"> </w:t>
      </w:r>
      <w:r>
        <w:t xml:space="preserve">(Kostenko, 2025, p. 20)</w:t>
      </w:r>
      <w:r>
        <w:t xml:space="preserve">. Alrwili and Kantharia’s comparative work on decision support systems shows that governance patterns self regulatory, co regulatory, statutory correlate with different oversight mechanisms and performance outcomes</w:t>
      </w:r>
      <w:r>
        <w:t xml:space="preserve"> </w:t>
      </w:r>
      <w:r>
        <w:t xml:space="preserve">(Alrwili &amp; Kantharia, 2025, p. 2)</w:t>
      </w:r>
      <w:r>
        <w:t xml:space="preserve">. For this toolkit, system boundaries are drawn to include not only technical modules but also the internal ethics boards, audit units, and external auditors that act on recommender outputs, since their presence or absence shapes how risks identified by the audit can be addressed in practice</w:t>
      </w:r>
      <w:r>
        <w:t xml:space="preserve"> </w:t>
      </w:r>
      <w:r>
        <w:t xml:space="preserve">(Alrwili &amp; Kantharia, 2025, p. 2; Mutawa et al., 2025, p. 2702055)</w:t>
      </w:r>
      <w:r>
        <w:t xml:space="preserve">. Third, jurisdictional scope: which legal regimes apply. Kostenko’s technological sovereignty provisions prohibit deployment of AI systems where independent audit is impossible, critical components are outside national control, or hidden behaviour influencing mechanisms exist, and require a special register of prohibited or unwanted AI systems</w:t>
      </w:r>
      <w:r>
        <w:t xml:space="preserve"> </w:t>
      </w:r>
      <w:r>
        <w:t xml:space="preserve">(Kostenko, 2025, p. 108)</w:t>
      </w:r>
      <w:r>
        <w:t xml:space="preserve">. EU instruments such as the AI Act and DSA impose transparency, documentation, data access and systemic risk duties on certain classes of systems, while authors such as Chitra et al. argue that very large platforms should be subject to mandatory algorithmic auditing and researcher access for recommendation algorithms that influence political discourse</w:t>
      </w:r>
      <w:r>
        <w:t xml:space="preserve"> </w:t>
      </w:r>
      <w:r>
        <w:t xml:space="preserve">(T et al., 2026, p. 16)</w:t>
      </w:r>
      <w:r>
        <w:t xml:space="preserve">. In defining system boundaries, the audit must therefore specify which parts of a platform’s stack are subject to EU style duties and which fall under model law style expectations. On that basis, this report adopts a structured use case taxonomy to scope audit engagements. Table </w:t>
      </w:r>
      <w:hyperlink w:anchor="tab:use_cases_scope">
        <w:r>
          <w:rPr>
            <w:rStyle w:val="Hyperlink"/>
          </w:rPr>
          <w:t xml:space="preserve">8</w:t>
        </w:r>
      </w:hyperlink>
      <w:r>
        <w:t xml:space="preserve"> </w:t>
      </w:r>
      <w:r>
        <w:t xml:space="preserve">illustrates three archetypal use cases that will recur in later chapters.</w:t>
      </w:r>
    </w:p>
    <w:bookmarkStart w:id="113" w:name="tab:use_cases_scope"/>
    <w:p>
      <w:pPr>
        <w:pStyle w:val="TableCaption"/>
      </w:pPr>
      <w:r>
        <w:t xml:space="preserve">Illustrative use case archetypes and boundary focus (working taxonomy)</w:t>
      </w:r>
    </w:p>
    <w:tbl>
      <w:tblPr>
        <w:tblStyle w:val="Table"/>
        <w:tblW w:type="auto" w:w="0"/>
        <w:jc w:val="left"/>
        <w:tblLook w:firstRow="1" w:lastRow="0" w:firstColumn="0" w:lastColumn="0" w:noHBand="0" w:noVBand="0" w:val="0020"/>
        <w:tblCaption w:val="Illustrative use case archetypes and boundary focus (working taxonomy)"/>
      </w:tblPr>
      <w:tblGrid>
        <w:gridCol w:w="2640"/>
        <w:gridCol w:w="2640"/>
        <w:gridCol w:w="2640"/>
      </w:tblGrid>
      <w:tr>
        <w:trPr>
          <w:tblHeader w:val="on"/>
        </w:trPr>
        <w:tc>
          <w:tcPr/>
          <w:p>
            <w:pPr>
              <w:pStyle w:val="Compact"/>
              <w:jc w:val="left"/>
            </w:pPr>
            <w:r>
              <w:t xml:space="preserve">Use case archetype</w:t>
            </w:r>
          </w:p>
        </w:tc>
        <w:tc>
          <w:tcPr/>
          <w:p>
            <w:pPr>
              <w:pStyle w:val="Compact"/>
              <w:jc w:val="left"/>
            </w:pPr>
            <w:r>
              <w:t xml:space="preserve">Boundary focus</w:t>
            </w:r>
          </w:p>
        </w:tc>
        <w:tc>
          <w:tcPr/>
          <w:p>
            <w:pPr>
              <w:pStyle w:val="Compact"/>
              <w:jc w:val="left"/>
            </w:pPr>
            <w:r>
              <w:t xml:space="preserve">Primary sources informing scope</w:t>
            </w:r>
          </w:p>
        </w:tc>
      </w:tr>
      <w:tr>
        <w:tc>
          <w:tcPr/>
          <w:p>
            <w:pPr>
              <w:pStyle w:val="Compact"/>
              <w:jc w:val="left"/>
            </w:pPr>
            <w:r>
              <w:t xml:space="preserve">Short form video feed for students</w:t>
            </w:r>
          </w:p>
        </w:tc>
        <w:tc>
          <w:tcPr/>
          <w:p>
            <w:pPr>
              <w:pStyle w:val="Compact"/>
              <w:jc w:val="left"/>
            </w:pPr>
            <w:r>
              <w:t xml:space="preserve">Infinite scroll, auto play, push notifications, personalisation pipeline, child data processing, operator governance</w:t>
            </w:r>
          </w:p>
        </w:tc>
        <w:tc>
          <w:tcPr/>
          <w:p>
            <w:pPr>
              <w:pStyle w:val="Compact"/>
              <w:jc w:val="left"/>
            </w:pPr>
            <w:r>
              <w:t xml:space="preserve">Algorithmic addiction loop, student harms, DSA proceeding against TikTok, age appropriate design and child data processing duties</w:t>
            </w:r>
            <w:r>
              <w:t xml:space="preserve"> </w:t>
            </w:r>
            <w:r>
              <w:t xml:space="preserve">(Hu, 2025, p. 2; Kostenko, 2025, p. 20; Li, 2026, p. 2; 2026, p. 6)</w:t>
            </w:r>
          </w:p>
        </w:tc>
      </w:tr>
      <w:tr>
        <w:tc>
          <w:tcPr/>
          <w:p>
            <w:pPr>
              <w:pStyle w:val="Compact"/>
              <w:jc w:val="left"/>
            </w:pPr>
            <w:r>
              <w:t xml:space="preserve">Image centric social discovery</w:t>
            </w:r>
          </w:p>
        </w:tc>
        <w:tc>
          <w:tcPr/>
          <w:p>
            <w:pPr>
              <w:pStyle w:val="Compact"/>
              <w:jc w:val="left"/>
            </w:pPr>
            <w:r>
              <w:t xml:space="preserve">Explore style ranking, social proof widgets, behavioural advertising modules, bias and body image impacts</w:t>
            </w:r>
          </w:p>
        </w:tc>
        <w:tc>
          <w:tcPr/>
          <w:p>
            <w:pPr>
              <w:pStyle w:val="Compact"/>
              <w:jc w:val="left"/>
            </w:pPr>
            <w:r>
              <w:t xml:space="preserve">Amplification of body negative imagery, negative affect bias, social proof manipulation and its impact on trust and identity</w:t>
            </w:r>
            <w:r>
              <w:t xml:space="preserve"> </w:t>
            </w:r>
            <w:r>
              <w:t xml:space="preserve">(Hu, 2025, p. 3; Wang, 2025, p. 13)</w:t>
            </w:r>
          </w:p>
        </w:tc>
      </w:tr>
      <w:tr>
        <w:tc>
          <w:tcPr/>
          <w:p>
            <w:pPr>
              <w:pStyle w:val="Compact"/>
              <w:jc w:val="left"/>
            </w:pPr>
            <w:r>
              <w:t xml:space="preserve">AI augmented social platform (SOCIO SPHERE AI)</w:t>
            </w:r>
          </w:p>
        </w:tc>
        <w:tc>
          <w:tcPr/>
          <w:p>
            <w:pPr>
              <w:pStyle w:val="Compact"/>
              <w:jc w:val="left"/>
            </w:pPr>
            <w:r>
              <w:t xml:space="preserve">AI recommendation layer, sentiment analysis, AI assisted replies, moderation AI, admin analytics dashboards</w:t>
            </w:r>
          </w:p>
        </w:tc>
        <w:tc>
          <w:tcPr/>
          <w:p>
            <w:pPr>
              <w:pStyle w:val="Compact"/>
              <w:jc w:val="left"/>
            </w:pPr>
            <w:r>
              <w:t xml:space="preserve">Three tier plus AI/ML architecture, AI generated captions and hashtag suggestions, AI based moderation, engagement analytics</w:t>
            </w:r>
            <w:r>
              <w:t xml:space="preserve"> </w:t>
            </w:r>
            <w:r>
              <w:t xml:space="preserve">(Behera, 2026, p. 3413731)</w:t>
            </w:r>
          </w:p>
        </w:tc>
      </w:tr>
    </w:tbl>
    <w:bookmarkEnd w:id="113"/>
    <w:p>
      <w:pPr>
        <w:pStyle w:val="BodyText"/>
      </w:pPr>
      <w:r>
        <w:t xml:space="preserve">Each archetype defines the "system under audit" differently. In the student short video case, child profiling, emotional tracking and predictive "life path" scoring sit at the centre of ethical scrutiny because AI child profiling and processing of children’s data attract enhanced protection and, in some forms, categorical prohibition</w:t>
      </w:r>
      <w:r>
        <w:t xml:space="preserve"> </w:t>
      </w:r>
      <w:r>
        <w:t xml:space="preserve">(Kostenko, 2025, p. 20; 2025, p. 62)</w:t>
      </w:r>
      <w:r>
        <w:t xml:space="preserve">. For SOCIO SPHERE AI, sentiment analysis and AI assisted replies embody higher order capabilities that shape micro interactions and therefore must be included in the audit boundary even if the underlying models are shared across multiple content surfaces</w:t>
      </w:r>
      <w:r>
        <w:t xml:space="preserve"> </w:t>
      </w:r>
      <w:r>
        <w:t xml:space="preserve">(Behera, 2026, p. 3413731)</w:t>
      </w:r>
      <w:r>
        <w:t xml:space="preserve">. Use cases also define which metrics and documents are relevant. Mutawa et al. demonstrate that transparency scores in their matrix correlate with clarity of algorithmic documentation, and that eligibility accuracy and processing time reduction provide a baseline for ethical adoption in zakat institutions</w:t>
      </w:r>
      <w:r>
        <w:t xml:space="preserve"> </w:t>
      </w:r>
      <w:r>
        <w:t xml:space="preserve">(Mutawa et al., 2025, p. 2702055)</w:t>
      </w:r>
      <w:r>
        <w:t xml:space="preserve">. Although this thesis does not have direct access to recommender performance logs, the same logic informs audit scoping: for each use case, the toolkit specifies expected artefacts such as technical passports, audit logs, bias assessments or human rights impact assessments, consistent with Kostenko’s transparency and explainability chapter</w:t>
      </w:r>
      <w:r>
        <w:t xml:space="preserve"> </w:t>
      </w:r>
      <w:r>
        <w:t xml:space="preserve">(Kostenko, 2025, p. 68; 2025, p. 69)</w:t>
      </w:r>
      <w:r>
        <w:t xml:space="preserve">. Finally, defining system boundaries and use cases requires acknowledging what remains out of scope. Internal training corpora, model architectures and real time A/B experiment results are treated here as inaccessible, mirroring the limitations described in dark pattern and AI governance research</w:t>
      </w:r>
      <w:r>
        <w:t xml:space="preserve"> </w:t>
      </w:r>
      <w:r>
        <w:t xml:space="preserve">(Bahangulu &amp; Owusu-Berko, 2025, p. 9; Khare et al., 2026, p. 7)</w:t>
      </w:r>
      <w:r>
        <w:t xml:space="preserve">. The Ethical AI Audit Toolkit is therefore scoped as a qualitative and documentation centred instrument: it evaluates social recommender systems through their declared objectives, interface mechanics, governance structures and published or logged outputs, aligned with AI law and platform regulation expectations yet constrained by the absence of internal telemetry</w:t>
      </w:r>
      <w:r>
        <w:t xml:space="preserve"> </w:t>
      </w:r>
      <w:r>
        <w:t xml:space="preserve">(Alrwili &amp; Kantharia, 2025, p. 2; Kostenko, 2025, p. 68; Meßmer &amp; Degeling, 2023, p. 21)</w:t>
      </w:r>
      <w:r>
        <w:t xml:space="preserve">.</w:t>
      </w:r>
    </w:p>
    <w:bookmarkEnd w:id="114"/>
    <w:bookmarkStart w:id="116" w:name="X6045eb55f2a325ecf11ecf9273aff8c8676a6f5"/>
    <w:p>
      <w:pPr>
        <w:pStyle w:val="Heading3"/>
      </w:pPr>
      <w:r>
        <w:rPr>
          <w:rStyle w:val="SectionNumber"/>
        </w:rPr>
        <w:t xml:space="preserve">8.2.2</w:t>
      </w:r>
      <w:r>
        <w:tab/>
      </w:r>
      <w:r>
        <w:t xml:space="preserve">Stakeholder Mapping and Risk Prioritization</w:t>
      </w:r>
    </w:p>
    <w:p>
      <w:pPr>
        <w:pStyle w:val="FirstParagraph"/>
      </w:pPr>
      <w:r>
        <w:t xml:space="preserve">Stakeholder mapping for auditing social recommender systems begins with identifying who carries legal duties and who bears risk. Kostenko distinguishes multiple actor groups in AI lifecycles: developers, implementers, administrators, operators, data controllers, state regulators, and affected individuals, all bound by the principle of ethical responsibility and obliged to operate systems in line with autonomy, non discrimination and psycho emotional safety</w:t>
      </w:r>
      <w:r>
        <w:t xml:space="preserve"> </w:t>
      </w:r>
      <w:r>
        <w:t xml:space="preserve">(Kostenko, 2025, pp. 61–62)</w:t>
      </w:r>
      <w:r>
        <w:t xml:space="preserve">. Leon’s Algorithmic Impact Navigator similarly assigns differentiated roles to organisational leadership, developers, public agencies, end users and civil society, stressing that AI governance is a collective endeavour and that organisations deploying AI are "the first line of accountability"</w:t>
      </w:r>
      <w:r>
        <w:t xml:space="preserve"> </w:t>
      </w:r>
      <w:r>
        <w:t xml:space="preserve">(Leon, 2026, p. 2; 2026, p. 3)</w:t>
      </w:r>
      <w:r>
        <w:t xml:space="preserve">. From an audit design perspective, at least four stakeholder clusters are central. Platform organisations and their internal governance structures sit at the core. Senior leadership is responsible for commissioning impact evaluations, aligning projects with regulatory obligations, and resourcing ethical oversight</w:t>
      </w:r>
      <w:r>
        <w:t xml:space="preserve"> </w:t>
      </w:r>
      <w:r>
        <w:t xml:space="preserve">(Leon, 2026, p. 2)</w:t>
      </w:r>
      <w:r>
        <w:t xml:space="preserve">. Internal roles include product and engineering teams who translate goals into algorithms, risk and compliance units that interpret regulations such as the AI Act and DSA, and ethics committees that implement internal ethical reviews, as required by the AI Law Model</w:t>
      </w:r>
      <w:r>
        <w:t xml:space="preserve"> </w:t>
      </w:r>
      <w:r>
        <w:t xml:space="preserve">(Kostenko, 2025, pp. 61–62)</w:t>
      </w:r>
      <w:r>
        <w:t xml:space="preserve">. External oversight actors form a second cluster: EU regulators enforcing the AI Act and DSA, national authorities envisaged in model law regimes, and accredited auditors and professional bodies in co regulatory or statutory governance models</w:t>
      </w:r>
      <w:r>
        <w:t xml:space="preserve"> </w:t>
      </w:r>
      <w:r>
        <w:t xml:space="preserve">(Alrwili &amp; Kantharia, 2025, p. 2; Kostenko, 2025, p. 10)</w:t>
      </w:r>
      <w:r>
        <w:t xml:space="preserve">. Users and affected communities constitute a third group, including heavy social media users with high basic digital skills but low manipulation awareness</w:t>
      </w:r>
      <w:r>
        <w:t xml:space="preserve"> </w:t>
      </w:r>
      <w:r>
        <w:t xml:space="preserve">(Chukhray &amp; Koval, 2026, p. 10)</w:t>
      </w:r>
      <w:r>
        <w:t xml:space="preserve">, students experiencing algorithmic addiction on short video platforms</w:t>
      </w:r>
      <w:r>
        <w:t xml:space="preserve"> </w:t>
      </w:r>
      <w:r>
        <w:t xml:space="preserve">(Li, 2026, p. 2)</w:t>
      </w:r>
      <w:r>
        <w:t xml:space="preserve">, and communities subject to AI mediated interventions such as mental health programmes audited through Pastoral Data Trust structures</w:t>
      </w:r>
      <w:r>
        <w:t xml:space="preserve"> </w:t>
      </w:r>
      <w:r>
        <w:t xml:space="preserve">(Grace Malachi et al., 2025, p. 13)</w:t>
      </w:r>
      <w:r>
        <w:t xml:space="preserve">. A fourth group comprises epistemic stakeholders: researchers and civil society organisations that rely on data access and transparency to study systemic risks in algorithmic feeds</w:t>
      </w:r>
      <w:r>
        <w:t xml:space="preserve"> </w:t>
      </w:r>
      <w:r>
        <w:t xml:space="preserve">(Meßmer &amp; Degeling, 2023, p. 21)</w:t>
      </w:r>
      <w:r>
        <w:t xml:space="preserve">. Risk prioritisation then hinges on how these groups interact with particular recommender deployments. Leon’s AIN proposes initial screening questions around sociopolitical context, technological opacity and integration with critical infrastructures to decide which projects require full impact assessment</w:t>
      </w:r>
      <w:r>
        <w:t xml:space="preserve"> </w:t>
      </w:r>
      <w:r>
        <w:t xml:space="preserve">(Leon, 2026, p. 3)</w:t>
      </w:r>
      <w:r>
        <w:t xml:space="preserve">. Applying this logic, engagement optimised short video feeds used heavily by students (high vulnerability, opaque deep learning ranking, strong integration into daily routines) rank as high priority targets, while low reach experimental features with minimal autonomy impact might receive lighter scrutiny. Chitra et al. argue that recommendation systems of very large platforms, especially where they affect civic discourse and elections, warrant systemic risk assessment under the DSA, including data access for vetted researchers</w:t>
      </w:r>
      <w:r>
        <w:t xml:space="preserve"> </w:t>
      </w:r>
      <w:r>
        <w:t xml:space="preserve">(T et al., 2026, p. 2248)</w:t>
      </w:r>
      <w:r>
        <w:t xml:space="preserve">. These criteria feed directly into this report’s working taxonomy for risk prioritisation. A structured view of stakeholder specific risk priorities is useful for operational scoping. Table </w:t>
      </w:r>
      <w:hyperlink w:anchor="tab:stakeholder_risk_priorities">
        <w:r>
          <w:rPr>
            <w:rStyle w:val="Hyperlink"/>
          </w:rPr>
          <w:t xml:space="preserve">9</w:t>
        </w:r>
      </w:hyperlink>
      <w:r>
        <w:t xml:space="preserve"> </w:t>
      </w:r>
      <w:r>
        <w:t xml:space="preserve">outlines a working mapping.</w:t>
      </w:r>
    </w:p>
    <w:bookmarkStart w:id="115" w:name="tab:stakeholder_risk_priorities"/>
    <w:p>
      <w:pPr>
        <w:pStyle w:val="TableCaption"/>
      </w:pPr>
      <w:r>
        <w:t xml:space="preserve">Stakeholder centric risk priorities for social recommender audits (working taxonomy)</w:t>
      </w:r>
    </w:p>
    <w:tbl>
      <w:tblPr>
        <w:tblStyle w:val="Table"/>
        <w:tblW w:type="auto" w:w="0"/>
        <w:jc w:val="left"/>
        <w:tblLook w:firstRow="1" w:lastRow="0" w:firstColumn="0" w:lastColumn="0" w:noHBand="0" w:noVBand="0" w:val="0020"/>
        <w:tblCaption w:val="Stakeholder centric risk priorities for social recommender audits (working taxonomy)"/>
      </w:tblPr>
      <w:tblGrid>
        <w:gridCol w:w="2640"/>
        <w:gridCol w:w="2640"/>
        <w:gridCol w:w="2640"/>
      </w:tblGrid>
      <w:tr>
        <w:trPr>
          <w:tblHeader w:val="on"/>
        </w:trPr>
        <w:tc>
          <w:tcPr/>
          <w:p>
            <w:pPr>
              <w:pStyle w:val="Compact"/>
              <w:jc w:val="left"/>
            </w:pPr>
            <w:r>
              <w:t xml:space="preserve">Stakeholder cluster</w:t>
            </w:r>
          </w:p>
        </w:tc>
        <w:tc>
          <w:tcPr/>
          <w:p>
            <w:pPr>
              <w:pStyle w:val="Compact"/>
              <w:jc w:val="left"/>
            </w:pPr>
            <w:r>
              <w:t xml:space="preserve">Primary concern</w:t>
            </w:r>
          </w:p>
        </w:tc>
        <w:tc>
          <w:tcPr/>
          <w:p>
            <w:pPr>
              <w:pStyle w:val="Compact"/>
              <w:jc w:val="left"/>
            </w:pPr>
            <w:r>
              <w:t xml:space="preserve">High priority risk cues</w:t>
            </w:r>
          </w:p>
        </w:tc>
      </w:tr>
      <w:tr>
        <w:tc>
          <w:tcPr/>
          <w:p>
            <w:pPr>
              <w:pStyle w:val="Compact"/>
              <w:jc w:val="left"/>
            </w:pPr>
            <w:r>
              <w:t xml:space="preserve">Platform leadership and boards</w:t>
            </w:r>
          </w:p>
        </w:tc>
        <w:tc>
          <w:tcPr/>
          <w:p>
            <w:pPr>
              <w:pStyle w:val="Compact"/>
              <w:jc w:val="left"/>
            </w:pPr>
            <w:r>
              <w:t xml:space="preserve">Legal compliance, reputation, business continuity</w:t>
            </w:r>
          </w:p>
        </w:tc>
        <w:tc>
          <w:tcPr/>
          <w:p>
            <w:pPr>
              <w:pStyle w:val="Compact"/>
              <w:jc w:val="left"/>
            </w:pPr>
            <w:r>
              <w:t xml:space="preserve">Presence of addictive design patterns under DSA scrutiny; absence of internal ethical review and AI Ethics Impact Reports</w:t>
            </w:r>
            <w:r>
              <w:t xml:space="preserve"> </w:t>
            </w:r>
            <w:r>
              <w:t xml:space="preserve">(Kostenko, 2025, pp. 61–62; Li, 2026, p. 2)</w:t>
            </w:r>
          </w:p>
        </w:tc>
      </w:tr>
      <w:tr>
        <w:tc>
          <w:tcPr/>
          <w:p>
            <w:pPr>
              <w:pStyle w:val="Compact"/>
              <w:jc w:val="left"/>
            </w:pPr>
            <w:r>
              <w:t xml:space="preserve">Engineering and product teams</w:t>
            </w:r>
          </w:p>
        </w:tc>
        <w:tc>
          <w:tcPr/>
          <w:p>
            <w:pPr>
              <w:pStyle w:val="Compact"/>
              <w:jc w:val="left"/>
            </w:pPr>
            <w:r>
              <w:t xml:space="preserve">Technical performance, shipping velocity</w:t>
            </w:r>
          </w:p>
        </w:tc>
        <w:tc>
          <w:tcPr/>
          <w:p>
            <w:pPr>
              <w:pStyle w:val="Compact"/>
              <w:jc w:val="left"/>
            </w:pPr>
            <w:r>
              <w:t xml:space="preserve">Lack of gating controls in CI/CD for fairness, transparency and sustainability; missing logs needed for conformity assessment</w:t>
            </w:r>
            <w:r>
              <w:t xml:space="preserve"> </w:t>
            </w:r>
            <w:r>
              <w:t xml:space="preserve">(Catapang, 2026, p. 24; Kostenko, 2025, p. 19.5)</w:t>
            </w:r>
          </w:p>
        </w:tc>
      </w:tr>
      <w:tr>
        <w:tc>
          <w:tcPr/>
          <w:p>
            <w:pPr>
              <w:pStyle w:val="Compact"/>
              <w:jc w:val="left"/>
            </w:pPr>
            <w:r>
              <w:t xml:space="preserve">Regulators and auditors</w:t>
            </w:r>
          </w:p>
        </w:tc>
        <w:tc>
          <w:tcPr/>
          <w:p>
            <w:pPr>
              <w:pStyle w:val="Compact"/>
              <w:jc w:val="left"/>
            </w:pPr>
            <w:r>
              <w:t xml:space="preserve">Systemic risk, fundamental rights</w:t>
            </w:r>
          </w:p>
        </w:tc>
        <w:tc>
          <w:tcPr/>
          <w:p>
            <w:pPr>
              <w:pStyle w:val="Compact"/>
              <w:jc w:val="left"/>
            </w:pPr>
            <w:r>
              <w:t xml:space="preserve">Inability to obtain technical dossiers and logs; absence of algorithmic impact assessments and standardised fairness metrics</w:t>
            </w:r>
            <w:r>
              <w:t xml:space="preserve"> </w:t>
            </w:r>
            <w:r>
              <w:t xml:space="preserve">(Meßmer &amp; Degeling, 2023, p. 19; Sebastian, 2025, p. 15)</w:t>
            </w:r>
          </w:p>
        </w:tc>
      </w:tr>
      <w:tr>
        <w:tc>
          <w:tcPr/>
          <w:p>
            <w:pPr>
              <w:pStyle w:val="Compact"/>
              <w:jc w:val="left"/>
            </w:pPr>
            <w:r>
              <w:t xml:space="preserve">Users and communities</w:t>
            </w:r>
          </w:p>
        </w:tc>
        <w:tc>
          <w:tcPr/>
          <w:p>
            <w:pPr>
              <w:pStyle w:val="Compact"/>
              <w:jc w:val="left"/>
            </w:pPr>
            <w:r>
              <w:t xml:space="preserve">Autonomy, psycho emotional safety, fairness</w:t>
            </w:r>
          </w:p>
        </w:tc>
        <w:tc>
          <w:tcPr/>
          <w:p>
            <w:pPr>
              <w:pStyle w:val="Compact"/>
              <w:jc w:val="left"/>
            </w:pPr>
            <w:r>
              <w:t xml:space="preserve">Infinite scroll and auto play combined with personalised feeds; documented mental health or discrimination harms</w:t>
            </w:r>
            <w:r>
              <w:t xml:space="preserve"> </w:t>
            </w:r>
            <w:r>
              <w:t xml:space="preserve">(Hu, 2025, p. 2; Li, 2026, p. 2; Raaj S. et al., 2026, p. 4245543)</w:t>
            </w:r>
          </w:p>
        </w:tc>
      </w:tr>
      <w:tr>
        <w:tc>
          <w:tcPr/>
          <w:p>
            <w:pPr>
              <w:pStyle w:val="Compact"/>
              <w:jc w:val="left"/>
            </w:pPr>
            <w:r>
              <w:t xml:space="preserve">Researchers and civil society</w:t>
            </w:r>
          </w:p>
        </w:tc>
        <w:tc>
          <w:tcPr/>
          <w:p>
            <w:pPr>
              <w:pStyle w:val="Compact"/>
              <w:jc w:val="left"/>
            </w:pPr>
            <w:r>
              <w:t xml:space="preserve">Transparency, contestation</w:t>
            </w:r>
          </w:p>
        </w:tc>
        <w:tc>
          <w:tcPr/>
          <w:p>
            <w:pPr>
              <w:pStyle w:val="Compact"/>
              <w:jc w:val="left"/>
            </w:pPr>
            <w:r>
              <w:t xml:space="preserve">Restricted data access under DSA Article 40 analogues; opaque terms and conditions on content and risk management</w:t>
            </w:r>
            <w:r>
              <w:t xml:space="preserve"> </w:t>
            </w:r>
            <w:r>
              <w:t xml:space="preserve">(Meßmer &amp; Degeling, 2023, p. 19; 2023, p. 3195574)</w:t>
            </w:r>
          </w:p>
        </w:tc>
      </w:tr>
    </w:tbl>
    <w:bookmarkEnd w:id="115"/>
    <w:p>
      <w:pPr>
        <w:pStyle w:val="BodyText"/>
      </w:pPr>
      <w:r>
        <w:t xml:space="preserve">Hybrid governance evidence indicates that risk prioritisation should also be sensitive to governance models. Case studies in healthcare, civil service HR and municipal services show that hybrid governance combining internal ethics boards, external regulators and statutory frameworks yields greater bias reduction, faster appeal resolution and higher audit compliance than self regulation alone</w:t>
      </w:r>
      <w:r>
        <w:t xml:space="preserve"> </w:t>
      </w:r>
      <w:r>
        <w:t xml:space="preserve">(Alrwili &amp; Kantharia, 2025, p. 2)</w:t>
      </w:r>
      <w:r>
        <w:t xml:space="preserve">. Mutawa et al. likewise find that zakat institutions with higher AI readiness, better transparency scores and stronger oversight mechanisms achieve higher eligibility accuracy and processing efficiency</w:t>
      </w:r>
      <w:r>
        <w:t xml:space="preserve"> </w:t>
      </w:r>
      <w:r>
        <w:t xml:space="preserve">(Mutawa et al., 2025, p. 2702055)</w:t>
      </w:r>
      <w:r>
        <w:t xml:space="preserve">. Social recommender audits should therefore treat platforms operating under co regulatory or statutory regimes, with documented ethics councils and clear appeal channels, as lower structural risk than services reliant solely on voluntary self assessment. Finally, methodological limits constrain how stake and risk can be evidenced. Khare et al. demonstrate that dark pattern prevalence on Indian platforms had to be assessed via secondary institutional reports, regulatory audits and survey data covering around</w:t>
      </w:r>
      <w:r>
        <w:t xml:space="preserve"> </w:t>
      </w:r>
      <m:oMath>
        <m:r>
          <m:t>30</m:t>
        </m:r>
      </m:oMath>
      <w:r>
        <w:t xml:space="preserve"> </w:t>
      </w:r>
      <w:r>
        <w:t xml:space="preserve">major platforms, because primary experimentation and internal data access were unavailable</w:t>
      </w:r>
      <w:r>
        <w:t xml:space="preserve"> </w:t>
      </w:r>
      <w:r>
        <w:t xml:space="preserve">(Khare et al., 2026, p. 7)</w:t>
      </w:r>
      <w:r>
        <w:t xml:space="preserve">. Hu’s analysis of engagement worship similarly infers algorithmic manipulation and mental health impacts from controlled experiments and neuroimaging studies, not from platform telemetry</w:t>
      </w:r>
      <w:r>
        <w:t xml:space="preserve"> </w:t>
      </w:r>
      <w:r>
        <w:t xml:space="preserve">(Hu, 2025, p. 2)</w:t>
      </w:r>
      <w:r>
        <w:t xml:space="preserve">. This thesis adopts the same stance: stakeholder mapping and risk prioritisation are derived from documentary and empirical sources that describe behaviours and harms external to proprietary systems, and the Ethical AI Audit Toolkit is explicitly framed as a qualitative, documentation centric instrument aligned with AI Act and AI Law Model expectations rather than a substitute for internal model forensics</w:t>
      </w:r>
      <w:r>
        <w:t xml:space="preserve"> </w:t>
      </w:r>
      <w:r>
        <w:t xml:space="preserve">(Bahangulu &amp; Owusu-Berko, 2025, p. 9; Kostenko, 2025, p. 10; Meßmer &amp; Degeling, 2023, p. 21)</w:t>
      </w:r>
      <w:r>
        <w:t xml:space="preserve">.</w:t>
      </w:r>
    </w:p>
    <w:bookmarkEnd w:id="116"/>
    <w:bookmarkStart w:id="117" w:name="sec:doc_data_prechecks"/>
    <w:p>
      <w:pPr>
        <w:pStyle w:val="Heading3"/>
      </w:pPr>
      <w:r>
        <w:rPr>
          <w:rStyle w:val="SectionNumber"/>
        </w:rPr>
        <w:t xml:space="preserve">8.2.3</w:t>
      </w:r>
      <w:r>
        <w:tab/>
      </w:r>
      <w:r>
        <w:t xml:space="preserve">Documentation and Data Access Pre-Checks</w:t>
      </w:r>
    </w:p>
    <w:p>
      <w:pPr>
        <w:pStyle w:val="FirstParagraph"/>
      </w:pPr>
      <w:r>
        <w:t xml:space="preserve">Any serious audit of social recommender systems must begin by checking whether the documentation and data access conditions that regulators expect actually exist. Before scenario based or fairness oriented assessments are attempted, auditors need to know if there is an identifiable AI system with a registrable identity, a technical dossier, and an evidentiary logging setup that can support later scrutiny. Kostenko’s AI Law Model provides a concrete checklist. Under the TSAI regime, high risk systems must be registered and assigned a unique identifier, and an algorithmic passport must be available as the official digital identity. This passport must at least specify owner and authorised representative, base jurisdiction, assigned risk class, purpose and scope of use, model architecture description, data sources and legal grounds, update and versioning procedures, human oversight channels and appeal mechanisms, modes of event logging with storage periods, and information on prior audits and trust markings. A documentation pre check in the present toolkit therefore first asks whether an equivalent passport exists for the recommender under review, even if platforms are not yet formally bound by TSAI. Absence of such a dossier signals that later audit steps will face serious traceability gaps. Data access duties for regulators and researchers need to be anticipated next. Under TSAI, owners or deployers must ensure human supervision, preserve and provide event logs, conduct audits, and comply with data protection, non discrimination and transparency requirements, with failure triggering orders, restrictions, suspension of identifiers, fines, blocking of access and compensation obligations</w:t>
      </w:r>
      <w:r>
        <w:t xml:space="preserve"> </w:t>
      </w:r>
      <w:r>
        <w:t xml:space="preserve">(Kostenko, 2025, p. 244)</w:t>
      </w:r>
      <w:r>
        <w:t xml:space="preserve">. Me</w:t>
      </w:r>
      <w:r>
        <w:t xml:space="preserve">ß</w:t>
      </w:r>
      <w:r>
        <w:t xml:space="preserve">mer and Degeling show how, under the DSA, Article 40 data access for Digital Services Coordinators and vetted researchers is central to systemic risk audits of recommender systems</w:t>
      </w:r>
      <w:r>
        <w:t xml:space="preserve"> </w:t>
      </w:r>
      <w:r>
        <w:t xml:space="preserve">(Meßmer &amp; Degeling, 2023, p. 32)</w:t>
      </w:r>
      <w:r>
        <w:t xml:space="preserve">. A pre check must therefore determine whether event logs are kept in a form that can be shared with authorities and external auditors, whether log retention meets minimum periods (for example at least</w:t>
      </w:r>
      <w:r>
        <w:t xml:space="preserve"> </w:t>
      </w:r>
      <m:oMath>
        <m:r>
          <m:t>12</m:t>
        </m:r>
      </m:oMath>
      <w:r>
        <w:t xml:space="preserve"> </w:t>
      </w:r>
      <w:r>
        <w:t xml:space="preserve">months in the AI Law Model) and whether there are clear internal procedures for supplying logs and technical materials on request. Information about logging practices must go beyond a binary yes or no. Kostenko requires that logs record decisions and key events and be stored for defined periods, extended automatically in case of disputes or inspections, and coupled to multi channel appeal mechanisms where execution of disputed automated decisions is suspended if significant harm to rights is at stake</w:t>
      </w:r>
      <w:r>
        <w:t xml:space="preserve"> </w:t>
      </w:r>
      <w:r>
        <w:t xml:space="preserve">(Kostenko, 2025, p. 191)</w:t>
      </w:r>
      <w:r>
        <w:t xml:space="preserve">. In parallel, the HITL grading case study shows what detailed logging looks like in practice: every AI and instructor decision is time stamped, linked to reviewer identifiers, and stored as an audit trail that can be inspected to understand override patterns and rubric level performance</w:t>
      </w:r>
      <w:r>
        <w:t xml:space="preserve"> </w:t>
      </w:r>
      <w:r>
        <w:t xml:space="preserve">(Selvam &amp; González Vallejo, 2025, p. 16; 2025, p. 17)</w:t>
      </w:r>
      <w:r>
        <w:t xml:space="preserve">. During pre checks, auditors should therefore verify whether recommender platforms maintain comparably granular decision logs and whether affected users can access the materials on which relevant automated decisions are based, as required in labour contexts by the AI Law Model</w:t>
      </w:r>
      <w:r>
        <w:t xml:space="preserve"> </w:t>
      </w:r>
      <w:r>
        <w:t xml:space="preserve">(Kostenko, 2025, p. 191)</w:t>
      </w:r>
      <w:r>
        <w:t xml:space="preserve">. Documentation quality also depends on internal governance instruments. Mutawa et al. construct an Algorithmic Governance Assessment Matrix for zakat institutions in which transparency scores correlate with the clarity of algorithmic documentation and oversight mechanisms reported in annual reports and digital transformation audits</w:t>
      </w:r>
      <w:r>
        <w:t xml:space="preserve"> </w:t>
      </w:r>
      <w:r>
        <w:t xml:space="preserve">(Mutawa et al., 2025, p. 59)</w:t>
      </w:r>
      <w:r>
        <w:t xml:space="preserve">. Asante and Adeoba, using Reflexive Thematic Analysis on CSR and ethical AI marketing literature, emphasise that trustworthiness in qualitative audit work requires a clearly documented audit trail of selection and analysis procedures</w:t>
      </w:r>
      <w:r>
        <w:t xml:space="preserve"> </w:t>
      </w:r>
      <w:r>
        <w:t xml:space="preserve">(Asante &amp; Adeoba, 2026, p. 10)</w:t>
      </w:r>
      <w:r>
        <w:t xml:space="preserve">. Analogously, documentation pre checks for social recommenders should confirm whether platforms maintain model cards, change logs and internal release notes describing date, responsible person, nature of changes, expected effects on accuracy and fairness, and results of revalidation tests, as required in Kostenko’s model risk management provisions</w:t>
      </w:r>
      <w:r>
        <w:t xml:space="preserve"> </w:t>
      </w:r>
      <w:r>
        <w:t xml:space="preserve">(Kostenko, 2025, p. 191)</w:t>
      </w:r>
      <w:r>
        <w:t xml:space="preserve">. These pre checks occur under a pronounced methodological limitation. Black box recommender algorithms used by social platforms are not directly observable in this thesis. Khare et al. explicitly adopt a secondary qualitative design relying on regulatory documents, institutional reports and survey data to study dark patterns because direct access to proprietary systems is lacking</w:t>
      </w:r>
      <w:r>
        <w:t xml:space="preserve"> </w:t>
      </w:r>
      <w:r>
        <w:t xml:space="preserve">(Khare et al., 2026, p. 7)</w:t>
      </w:r>
      <w:r>
        <w:t xml:space="preserve">. Bahangulu and Owusu Berko likewise argue that regulators struggle with opaque models and call for improved auditing techniques and collaboration between regulators and industry</w:t>
      </w:r>
      <w:r>
        <w:t xml:space="preserve"> </w:t>
      </w:r>
      <w:r>
        <w:t xml:space="preserve">(Bahangulu &amp; Owusu-Berko, 2025, p. 9)</w:t>
      </w:r>
      <w:r>
        <w:t xml:space="preserve">. The present audit toolkit follows the same constraint: documentation and data access are assessed through what platforms, regulators and independent researchers publish, not through internal telemetry. Given this constraint, structured pre check tables become practical instruments. For each audited recommender, auditors can populate a grid that records existence and quality of algorithmic passports, event logs, appeal channels, and external audit histories, using criteria derived from TSAI, AI impact assessment proposals and governance matrices</w:t>
      </w:r>
      <w:r>
        <w:t xml:space="preserve"> </w:t>
      </w:r>
      <w:r>
        <w:t xml:space="preserve">(Kostenko, 2025, p. 244; Mutawa et al., 2025, p. 59; Sebastian, 2025, p. 15)</w:t>
      </w:r>
      <w:r>
        <w:t xml:space="preserve">. Where these artefacts are missing or clearly inadequate, the system is flagged in this report’s working taxonomy as Code Category C: "Critical Traceability Failure," signalling that any subsequent thematic or scenario based analysis will rest on incomplete evidence and that, under AI Law Model expectations, such a system would not qualify for high risk deployment</w:t>
      </w:r>
      <w:r>
        <w:t xml:space="preserve"> </w:t>
      </w:r>
      <w:r>
        <w:t xml:space="preserve">(Kostenko, 2025, p. 244)</w:t>
      </w:r>
      <w:r>
        <w:t xml:space="preserve">.</w:t>
      </w:r>
    </w:p>
    <w:bookmarkEnd w:id="117"/>
    <w:bookmarkEnd w:id="118"/>
    <w:bookmarkStart w:id="122" w:name="Xa77547b1bbc6e74a0707fc4d74be0464485b8b4"/>
    <w:p>
      <w:pPr>
        <w:pStyle w:val="Heading2"/>
      </w:pPr>
      <w:r>
        <w:rPr>
          <w:rStyle w:val="SectionNumber"/>
        </w:rPr>
        <w:t xml:space="preserve">8.3</w:t>
      </w:r>
      <w:r>
        <w:tab/>
      </w:r>
      <w:r>
        <w:t xml:space="preserve">Interface and Choice Architecture Audit Checklists</w:t>
      </w:r>
    </w:p>
    <w:bookmarkStart w:id="119" w:name="X1c889f6217cd3af103bc761e50d66c3f0203623"/>
    <w:p>
      <w:pPr>
        <w:pStyle w:val="Heading3"/>
      </w:pPr>
      <w:r>
        <w:rPr>
          <w:rStyle w:val="SectionNumber"/>
        </w:rPr>
        <w:t xml:space="preserve">8.3.1</w:t>
      </w:r>
      <w:r>
        <w:tab/>
      </w:r>
      <w:r>
        <w:t xml:space="preserve">Assessment of Feed Mechanics and Session Design</w:t>
      </w:r>
    </w:p>
    <w:p>
      <w:pPr>
        <w:pStyle w:val="FirstParagraph"/>
      </w:pPr>
      <w:r>
        <w:t xml:space="preserve">Feed mechanics sit at the heart of algorithmic addiction: infinite scroll, default auto play, and personalised landing views determine how easily users slip into extended sessions and how hard it is to stop. Short video platforms exemplify this pattern. Li describes feeds in which micro duration clips of</w:t>
      </w:r>
      <w:r>
        <w:t xml:space="preserve"> </w:t>
      </w:r>
      <m:oMath>
        <m:r>
          <m:t>15</m:t>
        </m:r>
      </m:oMath>
      <w:r>
        <w:t xml:space="preserve">–</w:t>
      </w:r>
      <m:oMath>
        <m:r>
          <m:t>60</m:t>
        </m:r>
      </m:oMath>
      <w:r>
        <w:t xml:space="preserve"> </w:t>
      </w:r>
      <w:r>
        <w:t xml:space="preserve">seconds are chained into an endless vertical stream, with each swipe loading the next item selected by a neural network based recommendation engine, creating a closed loop of "personalized</w:t>
      </w:r>
      <w:r>
        <w:t xml:space="preserve"> </w:t>
      </w:r>
      <m:oMath>
        <m:r>
          <m:rPr>
            <m:sty m:val="p"/>
          </m:rPr>
          <m:t>→</m:t>
        </m:r>
      </m:oMath>
      <w:r>
        <w:t xml:space="preserve"> </w:t>
      </w:r>
      <w:r>
        <w:t xml:space="preserve">user need satisfaction</w:t>
      </w:r>
      <w:r>
        <w:t xml:space="preserve"> </w:t>
      </w:r>
      <m:oMath>
        <m:r>
          <m:rPr>
            <m:sty m:val="p"/>
          </m:rPr>
          <m:t>→</m:t>
        </m:r>
      </m:oMath>
      <w:r>
        <w:t xml:space="preserve"> </w:t>
      </w:r>
      <w:r>
        <w:t xml:space="preserve">behavioural data accumulation</w:t>
      </w:r>
      <w:r>
        <w:t xml:space="preserve"> </w:t>
      </w:r>
      <m:oMath>
        <m:r>
          <m:rPr>
            <m:sty m:val="p"/>
          </m:rPr>
          <m:t>→</m:t>
        </m:r>
      </m:oMath>
      <w:r>
        <w:t xml:space="preserve"> </w:t>
      </w:r>
      <w:r>
        <w:t xml:space="preserve">algorithm optimization</w:t>
      </w:r>
      <w:r>
        <w:t xml:space="preserve"> </w:t>
      </w:r>
      <m:oMath>
        <m:r>
          <m:rPr>
            <m:sty m:val="p"/>
          </m:rPr>
          <m:t>→</m:t>
        </m:r>
      </m:oMath>
      <w:r>
        <w:t xml:space="preserve"> </w:t>
      </w:r>
      <w:r>
        <w:t xml:space="preserve">re push"</w:t>
      </w:r>
      <w:r>
        <w:t xml:space="preserve"> </w:t>
      </w:r>
      <w:r>
        <w:t xml:space="preserve">(Li, 2026, p. 2; 2026, p. 3)</w:t>
      </w:r>
      <w:r>
        <w:t xml:space="preserve">. Hu characterises similar interfaces as "infinite scrolling" and "variable reward schedules" on platforms like TikTok and reports that users of such algorithmically curated feeds exhibit</w:t>
      </w:r>
      <w:r>
        <w:t xml:space="preserve"> </w:t>
      </w:r>
      <m:oMath>
        <m:r>
          <m:t>22</m:t>
        </m:r>
        <m:r>
          <m:rPr>
            <m:sty m:val="p"/>
          </m:rPr>
          <m:t>%</m:t>
        </m:r>
      </m:oMath>
      <w:r>
        <w:t xml:space="preserve"> </w:t>
      </w:r>
      <w:r>
        <w:t xml:space="preserve">higher rates of compulsive checking compared with non algorithmic interfaces, with prolonged exposure correlating with reduced gray matter density and diminished prefrontal cortex activity in impulse control regions</w:t>
      </w:r>
      <w:r>
        <w:t xml:space="preserve"> </w:t>
      </w:r>
      <w:r>
        <w:t xml:space="preserve">(Hu, 2025, p. 2; 2025, p. 20)</w:t>
      </w:r>
      <w:r>
        <w:t xml:space="preserve">. For an Ethical AI Audit Toolkit, these observations translate into explicit feed level checks. Session design should be reviewed for:</w:t>
      </w:r>
    </w:p>
    <w:p>
      <w:pPr>
        <w:numPr>
          <w:ilvl w:val="0"/>
          <w:numId w:val="1004"/>
        </w:numPr>
      </w:pPr>
      <w:r>
        <w:t xml:space="preserve">default entry point (personalised feed versus neutral view);</w:t>
      </w:r>
    </w:p>
    <w:p>
      <w:pPr>
        <w:numPr>
          <w:ilvl w:val="0"/>
          <w:numId w:val="1004"/>
        </w:numPr>
      </w:pPr>
      <w:r>
        <w:t xml:space="preserve">presence of infinite scroll or pagination;</w:t>
      </w:r>
    </w:p>
    <w:p>
      <w:pPr>
        <w:numPr>
          <w:ilvl w:val="0"/>
          <w:numId w:val="1004"/>
        </w:numPr>
      </w:pPr>
      <w:r>
        <w:t xml:space="preserve">auto play behaviour after each item;</w:t>
      </w:r>
    </w:p>
    <w:p>
      <w:pPr>
        <w:numPr>
          <w:ilvl w:val="0"/>
          <w:numId w:val="1004"/>
        </w:numPr>
      </w:pPr>
      <w:r>
        <w:t xml:space="preserve">existence and accessibility of non personalised feed options.</w:t>
      </w:r>
    </w:p>
    <w:p>
      <w:pPr>
        <w:pStyle w:val="FirstParagraph"/>
      </w:pPr>
      <w:r>
        <w:t xml:space="preserve">Me</w:t>
      </w:r>
      <w:r>
        <w:t xml:space="preserve">ß</w:t>
      </w:r>
      <w:r>
        <w:t xml:space="preserve">mer and Degeling note that TikTok opens on the personalised "For You" page, and that YouTube’s auto play function, enabled by default, starts a new video when the current one ends, reinforcing algorithmic curation even when the user has not explicitly requested additional content</w:t>
      </w:r>
      <w:r>
        <w:t xml:space="preserve"> </w:t>
      </w:r>
      <w:r>
        <w:t xml:space="preserve">(Meßmer &amp; Degeling, 2023, p. 42)</w:t>
      </w:r>
      <w:r>
        <w:t xml:space="preserve">. Under the Digital Services Act, the Commission has already opened proceedings into TikTok’s recommendation mechanisms and interface features, including infinite scrolling, auto play and push notifications, indicating that these mechanics can qualify as "systematic manipulative design" that impairs free and informed decision making</w:t>
      </w:r>
      <w:r>
        <w:t xml:space="preserve"> </w:t>
      </w:r>
      <w:r>
        <w:t xml:space="preserve">(Li, 2026, p. 2; Meßmer &amp; Degeling, 2023, p. 42)</w:t>
      </w:r>
      <w:r>
        <w:t xml:space="preserve">. A feed mechanics checklist in this report’s working taxonomy should therefore classify configurations as higher risk where:</w:t>
      </w:r>
    </w:p>
    <w:p>
      <w:pPr>
        <w:numPr>
          <w:ilvl w:val="0"/>
          <w:numId w:val="1005"/>
        </w:numPr>
      </w:pPr>
      <w:r>
        <w:t xml:space="preserve">the app always launches directly into a personalised stream;</w:t>
      </w:r>
    </w:p>
    <w:p>
      <w:pPr>
        <w:numPr>
          <w:ilvl w:val="0"/>
          <w:numId w:val="1005"/>
        </w:numPr>
      </w:pPr>
      <w:r>
        <w:t xml:space="preserve">infinite scroll is combined with default auto play;</w:t>
      </w:r>
    </w:p>
    <w:p>
      <w:pPr>
        <w:numPr>
          <w:ilvl w:val="0"/>
          <w:numId w:val="1005"/>
        </w:numPr>
      </w:pPr>
      <w:r>
        <w:t xml:space="preserve">no clearly accessible non profiled recommendation option exists.</w:t>
      </w:r>
    </w:p>
    <w:p>
      <w:pPr>
        <w:pStyle w:val="FirstParagraph"/>
      </w:pPr>
      <w:r>
        <w:t xml:space="preserve">Short video usage metrics underline why such combinations matter. Li reports that Douyin once recorded average daily usage exceeding 21 sessions and nearly</w:t>
      </w:r>
      <w:r>
        <w:t xml:space="preserve"> </w:t>
      </w:r>
      <m:oMath>
        <m:r>
          <m:t>60</m:t>
        </m:r>
      </m:oMath>
      <w:r>
        <w:t xml:space="preserve"> </w:t>
      </w:r>
      <w:r>
        <w:t xml:space="preserve">minutes, with</w:t>
      </w:r>
      <w:r>
        <w:t xml:space="preserve"> </w:t>
      </w:r>
      <m:oMath>
        <m:r>
          <m:t>41.3</m:t>
        </m:r>
        <m:r>
          <m:rPr>
            <m:sty m:val="p"/>
          </m:rPr>
          <m:t>%</m:t>
        </m:r>
      </m:oMath>
      <w:r>
        <w:t xml:space="preserve"> </w:t>
      </w:r>
      <w:r>
        <w:t xml:space="preserve">of users engaging multiple times daily and</w:t>
      </w:r>
      <w:r>
        <w:t xml:space="preserve"> </w:t>
      </w:r>
      <m:oMath>
        <m:r>
          <m:t>56.9</m:t>
        </m:r>
        <m:r>
          <m:rPr>
            <m:sty m:val="p"/>
          </m:rPr>
          <m:t>%</m:t>
        </m:r>
      </m:oMath>
      <w:r>
        <w:t xml:space="preserve"> </w:t>
      </w:r>
      <w:r>
        <w:t xml:space="preserve">using the app for over</w:t>
      </w:r>
      <w:r>
        <w:t xml:space="preserve"> </w:t>
      </w:r>
      <m:oMath>
        <m:r>
          <m:t>60</m:t>
        </m:r>
      </m:oMath>
      <w:r>
        <w:t xml:space="preserve"> </w:t>
      </w:r>
      <w:r>
        <w:t xml:space="preserve">minutes, particularly among adolescents with relatively weak self control</w:t>
      </w:r>
      <w:r>
        <w:t xml:space="preserve"> </w:t>
      </w:r>
      <w:r>
        <w:t xml:space="preserve">(Li, 2026, p. 3)</w:t>
      </w:r>
      <w:r>
        <w:t xml:space="preserve">. Hu synthesises evidence that hyper personalised feeds are associated with a</w:t>
      </w:r>
      <w:r>
        <w:t xml:space="preserve"> </w:t>
      </w:r>
      <m:oMath>
        <m:r>
          <m:t>23</m:t>
        </m:r>
        <m:r>
          <m:rPr>
            <m:sty m:val="p"/>
          </m:rPr>
          <m:t>%</m:t>
        </m:r>
      </m:oMath>
      <w:r>
        <w:t xml:space="preserve"> </w:t>
      </w:r>
      <w:r>
        <w:t xml:space="preserve">higher incidence of depressive symptoms compared with chronological content, especially in adolescents and individuals prone to social comparison</w:t>
      </w:r>
      <w:r>
        <w:t xml:space="preserve"> </w:t>
      </w:r>
      <w:r>
        <w:t xml:space="preserve">(Hu, 2025, p. 20)</w:t>
      </w:r>
      <w:r>
        <w:t xml:space="preserve">. These findings justify treating certain session designs as Code Category C in this report’s working risk taxonomy: "addiction enabling feed mechanics." Audit instruments should not only flag harmful patterns but also document mitigating structures. Human in the loop grading offers an example of how continuous streams can be structured without undermining autonomy. Selvam and González Vallejo describe a four layer HITL architecture where AI generated scores are always subject to educator validation, dual logging records both AI and human actions, and student facing reports clearly tag feedback by source. Case study results show reduced grading time,</w:t>
      </w:r>
      <w:r>
        <w:t xml:space="preserve"> </w:t>
      </w:r>
      <m:oMath>
        <m:r>
          <m:t>87</m:t>
        </m:r>
        <m:r>
          <m:rPr>
            <m:sty m:val="p"/>
          </m:rPr>
          <m:t>%</m:t>
        </m:r>
      </m:oMath>
      <w:r>
        <w:t xml:space="preserve"> </w:t>
      </w:r>
      <w:r>
        <w:t xml:space="preserve">of AI scores accepted with minor edits,</w:t>
      </w:r>
      <w:r>
        <w:t xml:space="preserve"> </w:t>
      </w:r>
      <m:oMath>
        <m:r>
          <m:t>13</m:t>
        </m:r>
        <m:r>
          <m:rPr>
            <m:sty m:val="p"/>
          </m:rPr>
          <m:t>%</m:t>
        </m:r>
      </m:oMath>
      <w:r>
        <w:t xml:space="preserve"> </w:t>
      </w:r>
      <w:r>
        <w:t xml:space="preserve">fully overridden, and higher student trust attributable to transparent dual sourced feedback</w:t>
      </w:r>
      <w:r>
        <w:t xml:space="preserve"> </w:t>
      </w:r>
      <w:r>
        <w:t xml:space="preserve">(Selvam &amp; González Vallejo, 2025, p. 6805789; 2025, p. 19)</w:t>
      </w:r>
      <w:r>
        <w:t xml:space="preserve">. Translating this pattern, social recommender audits should ask whether feeds expose explanation overlays (for example "why am I seeing this") and whether humans can intervene in ranking policies with traceable, logged effects. Documentation pre checks are crucial because this thesis assesses black box algorithms only through secondary outputs. Kostenko’s AI Law Model requires high risk systems to maintain technical passports, decision logs and human intervention procedures, and to submit to audits that can lead to suspension where ethical responsibility is breached</w:t>
      </w:r>
      <w:r>
        <w:t xml:space="preserve"> </w:t>
      </w:r>
      <w:r>
        <w:t xml:space="preserve">(Kostenko, 2025, p. 19.5; 2025, pp. 61–62)</w:t>
      </w:r>
      <w:r>
        <w:t xml:space="preserve">. Mutawa et al. demonstrate in zakat distribution that transparency scores correlate with the clarity of algorithmic documentation and governance oversight, based on annual reports and digital transformation audits</w:t>
      </w:r>
      <w:r>
        <w:t xml:space="preserve"> </w:t>
      </w:r>
      <w:r>
        <w:t xml:space="preserve">(Mutawa et al., 2025, p. 2702055)</w:t>
      </w:r>
      <w:r>
        <w:t xml:space="preserve">. Feed and session design audits must therefore begin by asking whether platforms can provide such passports and logs for their recommendation modules; if not, configurations with addictive mechanics should be flagged as "critical traceability failures" in the working taxonomy. This section’s approach remains constrained by the absence of internal telemetry or model artefacts. As in dark pattern research, where Khare et al. rely on regulatory documents and consumer surveys to characterise manipulation in the absence of proprietary access</w:t>
      </w:r>
      <w:r>
        <w:t xml:space="preserve"> </w:t>
      </w:r>
      <w:r>
        <w:t xml:space="preserve">(Khare et al., 2026, p. 7)</w:t>
      </w:r>
      <w:r>
        <w:t xml:space="preserve">, this thesis evaluates feed mechanics and session design solely via documented UX behaviour, regulatory investigations and empirical studies of usage and harm</w:t>
      </w:r>
      <w:r>
        <w:t xml:space="preserve"> </w:t>
      </w:r>
      <w:r>
        <w:t xml:space="preserve">(Hu, 2025, p. 2; Li, 2026, p. 2; Meßmer &amp; Degeling, 2023, p. 42)</w:t>
      </w:r>
      <w:r>
        <w:t xml:space="preserve">.</w:t>
      </w:r>
    </w:p>
    <w:bookmarkEnd w:id="119"/>
    <w:bookmarkStart w:id="120" w:name="sec:evaluation_friction_defaults_optout"/>
    <w:p>
      <w:pPr>
        <w:pStyle w:val="Heading3"/>
      </w:pPr>
      <w:r>
        <w:rPr>
          <w:rStyle w:val="SectionNumber"/>
        </w:rPr>
        <w:t xml:space="preserve">8.3.2</w:t>
      </w:r>
      <w:r>
        <w:tab/>
      </w:r>
      <w:r>
        <w:t xml:space="preserve">Evaluation of Friction, Defaults and Opt-Out Channels</w:t>
      </w:r>
    </w:p>
    <w:p>
      <w:pPr>
        <w:pStyle w:val="FirstParagraph"/>
      </w:pPr>
      <w:r>
        <w:t xml:space="preserve">Defaults, friction, and opt out design jointly determine whether users can exercise meaningful control over algorithmic environments or remain trapped in engagement optimising states. Dark pattern research in India shows that interface interference and obstruction based designs appear on approximately</w:t>
      </w:r>
      <w:r>
        <w:t xml:space="preserve"> </w:t>
      </w:r>
      <m:oMath>
        <m:r>
          <m:t>70</m:t>
        </m:r>
        <m:r>
          <m:rPr>
            <m:sty m:val="p"/>
          </m:rPr>
          <m:t>%</m:t>
        </m:r>
      </m:oMath>
      <w:r>
        <w:t xml:space="preserve"> </w:t>
      </w:r>
      <w:r>
        <w:t xml:space="preserve">and</w:t>
      </w:r>
      <w:r>
        <w:t xml:space="preserve"> </w:t>
      </w:r>
      <m:oMath>
        <m:r>
          <m:t>63</m:t>
        </m:r>
        <m:r>
          <m:rPr>
            <m:sty m:val="p"/>
          </m:rPr>
          <m:t>%</m:t>
        </m:r>
      </m:oMath>
      <w:r>
        <w:t xml:space="preserve"> </w:t>
      </w:r>
      <w:r>
        <w:t xml:space="preserve">of major platforms, with practices such as pre selected options, misleading hierarchies, and elongated cancellation flows used to exploit default bias and inertia</w:t>
      </w:r>
      <w:r>
        <w:t xml:space="preserve"> </w:t>
      </w:r>
      <w:r>
        <w:t xml:space="preserve">(Khare et al., 2026, p. 2)</w:t>
      </w:r>
      <w:r>
        <w:t xml:space="preserve">. Survey evidence indicates that</w:t>
      </w:r>
      <w:r>
        <w:t xml:space="preserve"> </w:t>
      </w:r>
      <m:oMath>
        <m:r>
          <m:t>55</m:t>
        </m:r>
        <m:r>
          <m:rPr>
            <m:sty m:val="p"/>
          </m:rPr>
          <m:t>%</m:t>
        </m:r>
      </m:oMath>
      <w:r>
        <w:t xml:space="preserve"> </w:t>
      </w:r>
      <w:r>
        <w:t xml:space="preserve">of consumers experienced unexpected charges and</w:t>
      </w:r>
      <w:r>
        <w:t xml:space="preserve"> </w:t>
      </w:r>
      <m:oMath>
        <m:r>
          <m:t>47</m:t>
        </m:r>
        <m:r>
          <m:rPr>
            <m:sty m:val="p"/>
          </m:rPr>
          <m:t>%</m:t>
        </m:r>
      </m:oMath>
      <w:r>
        <w:t xml:space="preserve"> </w:t>
      </w:r>
      <w:r>
        <w:t xml:space="preserve">struggled to cancel subscriptions, while awareness of "dark patterns" remained low at</w:t>
      </w:r>
      <w:r>
        <w:t xml:space="preserve"> </w:t>
      </w:r>
      <m:oMath>
        <m:r>
          <m:t>39</m:t>
        </m:r>
        <m:r>
          <m:rPr>
            <m:sty m:val="p"/>
          </m:rPr>
          <m:t>%</m:t>
        </m:r>
      </m:oMath>
      <w:r>
        <w:t xml:space="preserve">, revealing that friction and defaults systematically erode autonomy precisely where digital literacy is weakest</w:t>
      </w:r>
      <w:r>
        <w:t xml:space="preserve"> </w:t>
      </w:r>
      <w:r>
        <w:t xml:space="preserve">(Chukhray &amp; Koval, 2026, p. 10; Khare et al., 2026, p. 2)</w:t>
      </w:r>
      <w:r>
        <w:t xml:space="preserve">. Audit preparation therefore needs explicit checks on how default configurations and friction costs are distributed across the journey. Hermansyah’s analysis of the Digital Markets Act emphasises that behaviourally informed choice screens and interoperability mandates can reduce switching frictions and default bias, but only if enforcement can counter manipulative design practices that recreate lock in</w:t>
      </w:r>
      <w:r>
        <w:t xml:space="preserve"> </w:t>
      </w:r>
      <w:r>
        <w:t xml:space="preserve">(Hermansyah, 2025, p. 10)</w:t>
      </w:r>
      <w:r>
        <w:t xml:space="preserve">. Khare et al. argue for bright line prohibitions, mandatory UX audits and algorithmic transparency, highlighting that complaint driven enforcement is structurally inadequate where sludge architectures make protective choices hard to execute</w:t>
      </w:r>
      <w:r>
        <w:t xml:space="preserve"> </w:t>
      </w:r>
      <w:r>
        <w:t xml:space="preserve">(Khare et al., 2026, p. 13; 2026, p. 14)</w:t>
      </w:r>
      <w:r>
        <w:t xml:space="preserve">. This report’s working taxonomy consequently treats combinations of asymmetric defaults and obstructive flows as Code Category C: "high risk friction and default configurations," particularly where they interact with addictive feed mechanics identified earlier. A practical checklist can focus on three loci: consent and personalisation settings, subscription and account management, and notification controls. On consent, the Central Consumer Protection Authority’s advisory under section 18(1) requires "clear and affirmative consent through explicit user action rather than pre checked defaults or implied agreement," signalling that pre selected tracking or personalisation options are unacceptable. Audit questions should ask whether cookie banners, recommendation settings, or profiling toggles use equal effort for accept and refuse, or instead present acceptance as a single click and refusal as a multi step path. Evidence from India shows that many platforms still rely on interface interference in consent flows despite self declarations of being "dark pattern free," with</w:t>
      </w:r>
      <w:r>
        <w:t xml:space="preserve"> </w:t>
      </w:r>
      <m:oMath>
        <m:r>
          <m:t>81</m:t>
        </m:r>
        <m:r>
          <m:rPr>
            <m:sty m:val="p"/>
          </m:rPr>
          <m:t>%</m:t>
        </m:r>
      </m:oMath>
      <w:r>
        <w:t xml:space="preserve"> </w:t>
      </w:r>
      <w:r>
        <w:t xml:space="preserve">of platforms claiming compliance in self audits while national complaint resolution remains at</w:t>
      </w:r>
      <w:r>
        <w:t xml:space="preserve"> </w:t>
      </w:r>
      <m:oMath>
        <m:r>
          <m:t>28</m:t>
        </m:r>
        <m:r>
          <m:rPr>
            <m:sty m:val="p"/>
          </m:rPr>
          <m:t>%</m:t>
        </m:r>
      </m:oMath>
      <w:r>
        <w:t xml:space="preserve"> </w:t>
      </w:r>
      <w:r>
        <w:t xml:space="preserve">(Khare et al., 2026, p. 12)</w:t>
      </w:r>
      <w:r>
        <w:t xml:space="preserve">. Such discrepancies warrant Code C flagging even where formal notices exist. Subscription and exit flows require similar scrutiny. Roach motel and subscription trap patterns combine easy entry with difficult exit, using obstruction and forced action to increase friction for cancellation</w:t>
      </w:r>
      <w:r>
        <w:t xml:space="preserve"> </w:t>
      </w:r>
      <w:r>
        <w:t xml:space="preserve">(Khare et al., 2026, p. 4)</w:t>
      </w:r>
      <w:r>
        <w:t xml:space="preserve">. Policy recommendations in the same study call for compulsory UI/UX audits and operational freezes when violations are detected, underscoring that regulators view obstructive exits as systemic risks rather than minor usability flaws</w:t>
      </w:r>
      <w:r>
        <w:t xml:space="preserve"> </w:t>
      </w:r>
      <w:r>
        <w:t xml:space="preserve">(Khare et al., 2026, p. 13)</w:t>
      </w:r>
      <w:r>
        <w:t xml:space="preserve">. Under the AI Law Model, manipulative interface practices "dark patterns" are explicitly prohibited in educational AI, with requirements that interfaces avoid intrusive notifications and forced options that make it difficult to refuse or perform human browsing</w:t>
      </w:r>
      <w:r>
        <w:t xml:space="preserve"> </w:t>
      </w:r>
      <w:r>
        <w:t xml:space="preserve">(Kostenko, 2025, p. 207)</w:t>
      </w:r>
      <w:r>
        <w:t xml:space="preserve">. An audit toolkit aligned with these norms must therefore record whether account deletion, subscription termination or deactivation of personalised feeds can be completed in a small, symmetrical number of steps compared with sign up, and whether any penalties or hidden costs are attached to exit. Notification controls are the third friction and default layer. Khare et al. identify "nagging" via repeated prompts as a sludge pattern that wears down user resistance, particularly when deployed through app notifications</w:t>
      </w:r>
      <w:r>
        <w:t xml:space="preserve"> </w:t>
      </w:r>
      <w:r>
        <w:t xml:space="preserve">(Khare et al., 2026, p. 14)</w:t>
      </w:r>
      <w:r>
        <w:t xml:space="preserve">. Kostenko’s age appropriate design principle sharply limits such practices for minors: manipulative and addictive mechanics including endless scrolling, autoplay, streaks and penalties for exiting are banned, and push notifications are to be "limited to a minimum" and only within reasonable need, with visible "no personalization" switches and simple notification limits. Pre checks should document whether platforms provide accessible toggles for disabling behaviourally targeted notifications, whether neutral informational messages are distinguished from engagement prompts, and whether refusal of notifications has any negative effect on core service access, which would contravene the AI Law Model’s requirement that refusal of personalisation not degrade basic access to educational or governmental services</w:t>
      </w:r>
      <w:r>
        <w:t xml:space="preserve"> </w:t>
      </w:r>
      <w:r>
        <w:t xml:space="preserve">(Kostenko, 2025, p. 223)</w:t>
      </w:r>
      <w:r>
        <w:t xml:space="preserve">. Institutional context also matters. Khare et al. show that voluntary self declarations under CCPA guidelines did not eliminate dark patterns and that reactive grievance mechanisms remain fragmented and dependent on consumer awareness</w:t>
      </w:r>
      <w:r>
        <w:t xml:space="preserve"> </w:t>
      </w:r>
      <w:r>
        <w:t xml:space="preserve">(Khare et al., 2026, p. 14)</w:t>
      </w:r>
      <w:r>
        <w:t xml:space="preserve">. Hermansyah concludes that interoperability and DMA style choice architecture reforms only maintain contestability if accompanied by vigilant enforcement against manipulative design</w:t>
      </w:r>
      <w:r>
        <w:t xml:space="preserve"> </w:t>
      </w:r>
      <w:r>
        <w:t xml:space="preserve">(Hermansyah, 2025, p. 10)</w:t>
      </w:r>
      <w:r>
        <w:t xml:space="preserve">. The Ethical AI Audit Toolkit designed in this thesis operates under the same limitation: proprietary black box recommenders are evaluated via published UX audits, regulatory advisories and user survey data, not direct access to internal logs or code</w:t>
      </w:r>
      <w:r>
        <w:t xml:space="preserve"> </w:t>
      </w:r>
      <w:r>
        <w:t xml:space="preserve">(Bahangulu &amp; Owusu-Berko, 2025, p. 9; Khare et al., 2026, p. 7)</w:t>
      </w:r>
      <w:r>
        <w:t xml:space="preserve">. Within that constraint, defaults that silently enable profiling, friction loaded opt out channels and asymmetric notification controls emerge as high salience indicators of manipulation risk that must be coded and prioritised alongside feed mechanics in any Digital Fairness aligned audit</w:t>
      </w:r>
      <w:r>
        <w:t xml:space="preserve"> </w:t>
      </w:r>
      <w:r>
        <w:t xml:space="preserve">(Chukhray &amp; Koval, 2026, p. 31; Khare et al., 2026, p. 2; Kostenko, 2025, p. 223)</w:t>
      </w:r>
      <w:r>
        <w:t xml:space="preserve">.</w:t>
      </w:r>
    </w:p>
    <w:bookmarkEnd w:id="120"/>
    <w:bookmarkStart w:id="121" w:name="sec:classification_nudging_spectrum"/>
    <w:p>
      <w:pPr>
        <w:pStyle w:val="Heading3"/>
      </w:pPr>
      <w:r>
        <w:rPr>
          <w:rStyle w:val="SectionNumber"/>
        </w:rPr>
        <w:t xml:space="preserve">8.3.3</w:t>
      </w:r>
      <w:r>
        <w:tab/>
      </w:r>
      <w:r>
        <w:t xml:space="preserve">Classification of Nudging Practices along an Ethics Spectrum</w:t>
      </w:r>
    </w:p>
    <w:p>
      <w:pPr>
        <w:pStyle w:val="FirstParagraph"/>
      </w:pPr>
      <w:r>
        <w:t xml:space="preserve">Interface elements that guide users along a journey need not be problematic; dark commercial patterns emerge once guidance secures compliance by degrading comprehension, autonomy, transparency, or reversibility. Liu and Keshavarz explicitly distinguish online choice architecture, which unavoidably shapes attention and action, from dark commercial patterns, which "steer, deceive, pressure, or obstruct consumers in ways that impair informed and autonomous choice"</w:t>
      </w:r>
      <w:r>
        <w:t xml:space="preserve"> </w:t>
      </w:r>
      <w:r>
        <w:t xml:space="preserve">(Liu &amp; Keshavarz, 2026, p. 3)</w:t>
      </w:r>
      <w:r>
        <w:t xml:space="preserve">. In this report’s working taxonomy, we therefore classify nudging practices along an ethics spectrum with two core dimensions: support for preference consistent choice and presence of manipulation indicators such as information distortion, interface asymmetry, social or temporal pressure, choice obstruction, and forced action. At the ethically acceptable end sit "assistive nudges" that clarify options without skewing effort asymmetrically. Examples include neutral rankings that surface relevant alternatives while still displaying lower priced options, or consent dialogs where "accept" and "reject" require comparable steps and use equivalent visual prominence. Liu and Keshavarz argue that ethical digital marketing aims to persuade while preserving the consumer’s ability to make an informed, preference consistent choice; designs that improve navigation yet maintain clarity and reversibility fall into this category</w:t>
      </w:r>
      <w:r>
        <w:t xml:space="preserve"> </w:t>
      </w:r>
      <w:r>
        <w:t xml:space="preserve">(Liu &amp; Keshavarz, 2026, p. 33)</w:t>
      </w:r>
      <w:r>
        <w:t xml:space="preserve">. Under this report’s spectrum they are coded as low risk nudges that can support autonomy and trust when combined with transparent CSR governance, cross functional AI ethics committees, and regular algorithm audits recommended by Asante and Adeoba</w:t>
      </w:r>
      <w:r>
        <w:t xml:space="preserve"> </w:t>
      </w:r>
      <w:r>
        <w:t xml:space="preserve">(Asante &amp; Adeoba, 2026, p. 16)</w:t>
      </w:r>
      <w:r>
        <w:t xml:space="preserve">. Mid spectrum practices are "borderline nudges" that exploit some cognitive tendencies but retain basic reversibility. Consent banners that make acceptance slightly easier than refusal or product pages that visually highlight default options more strongly than alternatives fall here. Dark pattern crawls of approximately</w:t>
      </w:r>
      <w:r>
        <w:t xml:space="preserve"> </w:t>
      </w:r>
      <m:oMath>
        <m:r>
          <m:t>11</m:t>
        </m:r>
        <m:r>
          <m:rPr>
            <m:sty m:val="p"/>
          </m:rPr>
          <m:t>,</m:t>
        </m:r>
        <m:r>
          <m:t>000</m:t>
        </m:r>
      </m:oMath>
      <w:r>
        <w:t xml:space="preserve"> </w:t>
      </w:r>
      <w:r>
        <w:t xml:space="preserve">shopping websites identified many cases where cookie notices structured choices asymmetrically, making acceptance easier than refusal, yet still technically offering a decline path. From a marketing perspective, Liu and Keshavarz conceptualise these as information distortion or interface asymmetry that may raise conversion in the short term but risk eroding perceived fairness and trust over time</w:t>
      </w:r>
      <w:r>
        <w:t xml:space="preserve"> </w:t>
      </w:r>
      <w:r>
        <w:t xml:space="preserve">(Liu &amp; Keshavarz, 2026, p. 33)</w:t>
      </w:r>
      <w:r>
        <w:t xml:space="preserve">. In this toolkit they are coded as medium risk nudges that require remediation plans and monitoring of complaint, cancellation and churn metrics rather than immediate prohibition. At the unacceptable end lie "coercive sludge patterns" that combine exploitative nudging with artificial friction. Khare et al. synthesise regulatory and institutional evidence showing that approximately</w:t>
      </w:r>
      <w:r>
        <w:t xml:space="preserve"> </w:t>
      </w:r>
      <m:oMath>
        <m:r>
          <m:t>87</m:t>
        </m:r>
        <m:r>
          <m:rPr>
            <m:sty m:val="p"/>
          </m:rPr>
          <m:t>%</m:t>
        </m:r>
      </m:oMath>
      <w:r>
        <w:t xml:space="preserve"> </w:t>
      </w:r>
      <w:r>
        <w:t xml:space="preserve">of major Indian platforms deploy at least one dark pattern, with drip pricing, false urgency, confirm shaming, roach motels, forced action and basket sneaking as recurring motifs</w:t>
      </w:r>
      <w:r>
        <w:t xml:space="preserve"> </w:t>
      </w:r>
      <w:r>
        <w:t xml:space="preserve">(Khare et al., 2026, p. 7)</w:t>
      </w:r>
      <w:r>
        <w:t xml:space="preserve">. These practices are intentionally embedded strategies that exploit System 1 heuristics such as default bias, scarcity and social pressure while blocking System 2 reflection through complexity and delay</w:t>
      </w:r>
      <w:r>
        <w:t xml:space="preserve"> </w:t>
      </w:r>
      <w:r>
        <w:t xml:space="preserve">(Khare et al., 2026, p. 4)</w:t>
      </w:r>
      <w:r>
        <w:t xml:space="preserve">. Interface interference and obstruction in cancellation flows, subscription traps and forced account creation exemplify sludge by increasing effort costs and discouraging user protective behaviour</w:t>
      </w:r>
      <w:r>
        <w:t xml:space="preserve"> </w:t>
      </w:r>
      <w:r>
        <w:t xml:space="preserve">(Khare et al., 2026, p. 4; 2026, p. 14)</w:t>
      </w:r>
      <w:r>
        <w:t xml:space="preserve">. Under this report’s working taxonomy, these patterns are labelled Code Category C: "Prohibited or Critical Risk Nudges," since they align with manipulative design that EU Digital Fairness discussions and AI law models seek to eliminate</w:t>
      </w:r>
      <w:r>
        <w:t xml:space="preserve"> </w:t>
      </w:r>
      <w:r>
        <w:t xml:space="preserve">(Kostenko, 2025, pp. 61–62; Sanikidze, 2026, p. 390)</w:t>
      </w:r>
      <w:r>
        <w:t xml:space="preserve">. A concise matrix helps operationalise this ethics spectrum inside audits:</w:t>
      </w:r>
    </w:p>
    <w:p>
      <w:pPr>
        <w:pStyle w:val="TableCaption"/>
      </w:pPr>
      <w:r>
        <w:t xml:space="preserve">Working ethics spectrum for nudging practices in interface and choice architecture</w:t>
      </w:r>
    </w:p>
    <w:tbl>
      <w:tblPr>
        <w:tblStyle w:val="Table"/>
        <w:tblW w:type="auto" w:w="0"/>
        <w:jc w:val="left"/>
        <w:tblLook w:firstRow="1" w:lastRow="0" w:firstColumn="0" w:lastColumn="0" w:noHBand="0" w:noVBand="0" w:val="0020"/>
        <w:tblCaption w:val="Working ethics spectrum for nudging practices in interface and choice architecture"/>
      </w:tblPr>
      <w:tblGrid>
        <w:gridCol w:w="2640"/>
        <w:gridCol w:w="2640"/>
        <w:gridCol w:w="2640"/>
      </w:tblGrid>
      <w:tr>
        <w:trPr>
          <w:tblHeader w:val="on"/>
        </w:trPr>
        <w:tc>
          <w:tcPr/>
          <w:p>
            <w:pPr>
              <w:pStyle w:val="Compact"/>
              <w:jc w:val="left"/>
            </w:pPr>
            <w:r>
              <w:t xml:space="preserve">Category (working label)</w:t>
            </w:r>
          </w:p>
        </w:tc>
        <w:tc>
          <w:tcPr/>
          <w:p>
            <w:pPr>
              <w:pStyle w:val="Compact"/>
              <w:jc w:val="left"/>
            </w:pPr>
            <w:r>
              <w:t xml:space="preserve">Typical design attributes</w:t>
            </w:r>
          </w:p>
        </w:tc>
        <w:tc>
          <w:tcPr/>
          <w:p>
            <w:pPr>
              <w:pStyle w:val="Compact"/>
              <w:jc w:val="left"/>
            </w:pPr>
            <w:r>
              <w:t xml:space="preserve">Indicative sources / risk signals</w:t>
            </w:r>
          </w:p>
        </w:tc>
      </w:tr>
      <w:tr>
        <w:tc>
          <w:tcPr/>
          <w:p>
            <w:pPr>
              <w:pStyle w:val="Compact"/>
              <w:jc w:val="left"/>
            </w:pPr>
            <w:r>
              <w:t xml:space="preserve">Assistive nudges (low risk)</w:t>
            </w:r>
          </w:p>
        </w:tc>
        <w:tc>
          <w:tcPr/>
          <w:p>
            <w:pPr>
              <w:pStyle w:val="Compact"/>
              <w:jc w:val="left"/>
            </w:pPr>
            <w:r>
              <w:t xml:space="preserve">Symmetric effort for accept / decline, clear total costs, visible lower priced alternatives, easy reversal</w:t>
            </w:r>
          </w:p>
        </w:tc>
        <w:tc>
          <w:tcPr/>
          <w:p>
            <w:pPr>
              <w:pStyle w:val="Compact"/>
              <w:jc w:val="left"/>
            </w:pPr>
            <w:r>
              <w:t xml:space="preserve">Preserves informed, preference consistent choice; aligns with ethical digital marketing and CSR based AI governance</w:t>
            </w:r>
            <w:r>
              <w:t xml:space="preserve"> </w:t>
            </w:r>
            <w:r>
              <w:t xml:space="preserve">(Asante &amp; Adeoba, 2026, p. 16; Liu &amp; Keshavarz, 2026, p. 33)</w:t>
            </w:r>
          </w:p>
        </w:tc>
      </w:tr>
      <w:tr>
        <w:tc>
          <w:tcPr/>
          <w:p>
            <w:pPr>
              <w:pStyle w:val="Compact"/>
              <w:jc w:val="left"/>
            </w:pPr>
            <w:r>
              <w:t xml:space="preserve">Borderline nudges (medium risk)</w:t>
            </w:r>
          </w:p>
        </w:tc>
        <w:tc>
          <w:tcPr/>
          <w:p>
            <w:pPr>
              <w:pStyle w:val="Compact"/>
              <w:jc w:val="left"/>
            </w:pPr>
            <w:r>
              <w:t xml:space="preserve">Mild interface asymmetry, moderate highlighting of defaults, incomplete but non deceptive urgency messages</w:t>
            </w:r>
          </w:p>
        </w:tc>
        <w:tc>
          <w:tcPr/>
          <w:p>
            <w:pPr>
              <w:pStyle w:val="Compact"/>
              <w:jc w:val="left"/>
            </w:pPr>
            <w:r>
              <w:t xml:space="preserve">Asymmetric cookie banners where refusal is possible but less salient; potential conversion trust trade off</w:t>
            </w:r>
            <w:r>
              <w:t xml:space="preserve"> </w:t>
            </w:r>
            <w:r>
              <w:t xml:space="preserve">(Liu &amp; Keshavarz, 2026, p. 33)</w:t>
            </w:r>
          </w:p>
        </w:tc>
      </w:tr>
      <w:tr>
        <w:tc>
          <w:tcPr/>
          <w:p>
            <w:pPr>
              <w:pStyle w:val="Compact"/>
              <w:jc w:val="left"/>
            </w:pPr>
            <w:r>
              <w:t xml:space="preserve">Coercive sludge patterns (Code C)</w:t>
            </w:r>
          </w:p>
        </w:tc>
        <w:tc>
          <w:tcPr/>
          <w:p>
            <w:pPr>
              <w:pStyle w:val="Compact"/>
              <w:jc w:val="left"/>
            </w:pPr>
            <w:r>
              <w:t xml:space="preserve">Hidden fees, false scarcity, confirm shaming, roach motels, obstructive cancellation, forced action</w:t>
            </w:r>
          </w:p>
        </w:tc>
        <w:tc>
          <w:tcPr/>
          <w:p>
            <w:pPr>
              <w:pStyle w:val="Compact"/>
              <w:jc w:val="left"/>
            </w:pPr>
            <w:r>
              <w:t xml:space="preserve">Documented as structural features on</w:t>
            </w:r>
            <w:r>
              <w:t xml:space="preserve"> </w:t>
            </w:r>
            <m:oMath>
              <m:r>
                <m:rPr>
                  <m:sty m:val="p"/>
                </m:rPr>
                <m:t>≈</m:t>
              </m:r>
              <m:r>
                <m:t>87</m:t>
              </m:r>
              <m:r>
                <m:rPr>
                  <m:sty m:val="p"/>
                </m:rPr>
                <m:t>%</m:t>
              </m:r>
            </m:oMath>
            <w:r>
              <w:t xml:space="preserve"> </w:t>
            </w:r>
            <w:r>
              <w:t xml:space="preserve">of major platforms; linked to autonomy erosion and regulatory calls for bright line bans and UX audits</w:t>
            </w:r>
            <w:r>
              <w:t xml:space="preserve"> </w:t>
            </w:r>
            <w:r>
              <w:t xml:space="preserve">(Khare et al., 2026, p. 7; 2026, p. 14; Sanikidze, 2026, p. 390)</w:t>
            </w:r>
          </w:p>
        </w:tc>
      </w:tr>
    </w:tbl>
    <w:p>
      <w:pPr>
        <w:pStyle w:val="BodyText"/>
      </w:pPr>
      <w:r>
        <w:t xml:space="preserve">Regulatory analysis reinforces this spectrum. Quinelato concludes that effective protection against persuasive and obscure practices on social media requires limiting dark patterns and ensuring valid, explicit consent for data processing, framed within DSA provisions and complementary regimes</w:t>
      </w:r>
      <w:r>
        <w:t xml:space="preserve"> </w:t>
      </w:r>
      <w:r>
        <w:t xml:space="preserve">(Quinelato, 2024, p. 21)</w:t>
      </w:r>
      <w:r>
        <w:t xml:space="preserve">. Sanikidze interprets the planned Digital Fairness Act as targeting "addictive product designs and unfair personalisation," complementing DSA and DMA bans on interface pressure and the AI Act’s prohibition of subliminal or harmful manipulation</w:t>
      </w:r>
      <w:r>
        <w:t xml:space="preserve"> </w:t>
      </w:r>
      <w:r>
        <w:t xml:space="preserve">(Sanikidze, 2026, p. 390)</w:t>
      </w:r>
      <w:r>
        <w:t xml:space="preserve">. In parallel, Kostenko’s confidentiality principle forbids using personal data for advertising, targeted marketing or profiling aimed at influence that restricts or distorts freedom of choice without explicit, informed consent</w:t>
      </w:r>
      <w:r>
        <w:t xml:space="preserve"> </w:t>
      </w:r>
      <w:r>
        <w:t xml:space="preserve">(Kostenko, 2025, p. 44)</w:t>
      </w:r>
      <w:r>
        <w:t xml:space="preserve">. These texts provide legal backing for treating Code C patterns as not merely undesirable but incompatible with emerging EU style digital fairness norms. Methodologically, this classification remains constrained by the absence of proprietary logs or source code for social recommender algorithms. Following Khare et al., who rely on qualitative content analysis of regulatory reports, institutional audits and consumer surveys to map dark patterns, this thesis places nudges on the ethics spectrum based solely on documented interface behaviour, reported consumer harm and explicit regulatory evaluations, not on any internal telemetry</w:t>
      </w:r>
      <w:r>
        <w:t xml:space="preserve"> </w:t>
      </w:r>
      <w:r>
        <w:t xml:space="preserve">(Chukhray &amp; Koval, 2026, p. 10; Khare et al., 2026, p. 7)</w:t>
      </w:r>
      <w:r>
        <w:t xml:space="preserve">. Complementary empirical work suggests that triangulating managerial accounts with large-scale user generated evidence and a transparent scoring rubric can make such externally observable classifications more reliable; this approach may therefore help distinguish between intentional manipulation and incidental design friction in practice</w:t>
      </w:r>
      <w:r>
        <w:t xml:space="preserve"> </w:t>
      </w:r>
      <w:r>
        <w:t xml:space="preserve">(TRAN &amp; PHAN, 2026, p. 5)</w:t>
      </w:r>
      <w:r>
        <w:t xml:space="preserve">.</w:t>
      </w:r>
    </w:p>
    <w:bookmarkEnd w:id="121"/>
    <w:bookmarkEnd w:id="122"/>
    <w:bookmarkEnd w:id="123"/>
    <w:bookmarkStart w:id="137" w:name="X702d74293d660c8aba372216143750011e3876e"/>
    <w:p>
      <w:pPr>
        <w:pStyle w:val="Heading1"/>
      </w:pPr>
      <w:r>
        <w:rPr>
          <w:rStyle w:val="SectionNumber"/>
        </w:rPr>
        <w:t xml:space="preserve">9</w:t>
      </w:r>
      <w:r>
        <w:tab/>
      </w:r>
      <w:r>
        <w:t xml:space="preserve">Pro-Social Design Strategies and Business Model Transformation</w:t>
      </w:r>
    </w:p>
    <w:bookmarkStart w:id="127" w:name="pro-social-choice-architecture-patterns"/>
    <w:p>
      <w:pPr>
        <w:pStyle w:val="Heading2"/>
      </w:pPr>
      <w:r>
        <w:rPr>
          <w:rStyle w:val="SectionNumber"/>
        </w:rPr>
        <w:t xml:space="preserve">9.1</w:t>
      </w:r>
      <w:r>
        <w:tab/>
      </w:r>
      <w:r>
        <w:t xml:space="preserve">Pro-Social Choice Architecture Patterns</w:t>
      </w:r>
    </w:p>
    <w:bookmarkStart w:id="124" w:name="sec:finite_session_break_prompts"/>
    <w:p>
      <w:pPr>
        <w:pStyle w:val="Heading3"/>
      </w:pPr>
      <w:r>
        <w:rPr>
          <w:rStyle w:val="SectionNumber"/>
        </w:rPr>
        <w:t xml:space="preserve">9.1.1</w:t>
      </w:r>
      <w:r>
        <w:tab/>
      </w:r>
      <w:r>
        <w:t xml:space="preserve">Finite Session Design and Break Prompts</w:t>
      </w:r>
    </w:p>
    <w:p>
      <w:pPr>
        <w:pStyle w:val="FirstParagraph"/>
      </w:pPr>
      <w:r>
        <w:t xml:space="preserve">Designing finite sessions and break prompts for social recommenders must respond directly to evidence that infinite scrolling and auto play correlate with compulsive checking, depressive symptoms and diminished impulse control. Short video ecosystems that couple</w:t>
      </w:r>
      <w:r>
        <w:t xml:space="preserve"> </w:t>
      </w:r>
      <m:oMath>
        <m:r>
          <m:t>15</m:t>
        </m:r>
      </m:oMath>
      <w:r>
        <w:t xml:space="preserve">–</w:t>
      </w:r>
      <m:oMath>
        <m:r>
          <m:t>60</m:t>
        </m:r>
      </m:oMath>
      <w:r>
        <w:t xml:space="preserve"> </w:t>
      </w:r>
      <w:r>
        <w:t xml:space="preserve">second clips with swipe based infinite feeds and default auto play create a continuous sequence of personalised stimuli. Users describe being drawn into an "auto pilot mode," and empirical work links this configuration to diminished academic concentration, weakened social skills and heightened anxiety and depression in college populations</w:t>
      </w:r>
      <w:r>
        <w:t xml:space="preserve"> </w:t>
      </w:r>
      <w:r>
        <w:t xml:space="preserve">(Li, 2026, p. 2)</w:t>
      </w:r>
      <w:r>
        <w:t xml:space="preserve">. Parallel analysis of algorithmically curated social feeds reports</w:t>
      </w:r>
      <w:r>
        <w:t xml:space="preserve"> </w:t>
      </w:r>
      <m:oMath>
        <m:r>
          <m:t>22</m:t>
        </m:r>
        <m:r>
          <m:rPr>
            <m:sty m:val="p"/>
          </m:rPr>
          <m:t>%</m:t>
        </m:r>
      </m:oMath>
      <w:r>
        <w:t xml:space="preserve"> </w:t>
      </w:r>
      <w:r>
        <w:t xml:space="preserve">higher rates of compulsive checking and a</w:t>
      </w:r>
      <w:r>
        <w:t xml:space="preserve"> </w:t>
      </w:r>
      <m:oMath>
        <m:r>
          <m:t>23</m:t>
        </m:r>
        <m:r>
          <m:rPr>
            <m:sty m:val="p"/>
          </m:rPr>
          <m:t>%</m:t>
        </m:r>
      </m:oMath>
      <w:r>
        <w:t xml:space="preserve"> </w:t>
      </w:r>
      <w:r>
        <w:t xml:space="preserve">higher incidence of depressive symptoms in personalised streams compared with chronological content, together with neuroimaging evidence of reduced prefrontal activity and gray matter density in impulse control regions</w:t>
      </w:r>
      <w:r>
        <w:t xml:space="preserve"> </w:t>
      </w:r>
      <w:r>
        <w:t xml:space="preserve">(Hu, 2025, p. 2; 2025, p. 20)</w:t>
      </w:r>
      <w:r>
        <w:t xml:space="preserve">. These findings suggest that finite session design and explicit break prompts should be treated as core mitigations rather than optional usability tweaks. Regulatory and model law sources reinforce this orientation. The European Commission’s proceeding against TikTok under the Digital Services Act explicitly singles out infinite scrolling, auto play and push notifications as potential "systematic manipulative design" that can impair users’ capacity for free and informed decisions</w:t>
      </w:r>
      <w:r>
        <w:t xml:space="preserve"> </w:t>
      </w:r>
      <w:r>
        <w:t xml:space="preserve">(Li, 2026, p. 2)</w:t>
      </w:r>
      <w:r>
        <w:t xml:space="preserve">. Kostenko’s AI Law Model goes further for children: endless scrolling, auto play, streaks, forced quests and penalties for exiting are prohibited in systems interacting with minors, and feeds for teenage users are normatively illustrated as operating in "detox mode" by default, without endless scrolling or auto played video and with visible "no personalisation" switches and simple explanations such as "why am I seeing this?"</w:t>
      </w:r>
      <w:r>
        <w:t xml:space="preserve"> </w:t>
      </w:r>
      <w:r>
        <w:t xml:space="preserve">(Kostenko, 2025, p. 223; 2025, p. 221)</w:t>
      </w:r>
      <w:r>
        <w:t xml:space="preserve">. Within this report’s working taxonomy, finite session design is therefore not only a pro social choice architecture pattern but also a direct response to articulated duties of ethical responsibility and digital safety. Auditable finite session patterns can be articulated along three dimensions. First, temporal framing: sessions can be bounded by soft limits that surface timely, neutral prompts once cumulative viewing or scrolling passes a threshold, for example explaining that a user has been in a personalised feed for a given period and presenting a neutral option to pause. Evidence from digital literacy surveys indicates that users feel confident in basic tasks yet score low on recognising hidden manipulations and avoiding fraud, with average ratings of</w:t>
      </w:r>
      <w:r>
        <w:t xml:space="preserve"> </w:t>
      </w:r>
      <m:oMath>
        <m:r>
          <m:t>2.31</m:t>
        </m:r>
      </m:oMath>
      <w:r>
        <w:t xml:space="preserve"> </w:t>
      </w:r>
      <w:r>
        <w:t xml:space="preserve">and</w:t>
      </w:r>
      <w:r>
        <w:t xml:space="preserve"> </w:t>
      </w:r>
      <m:oMath>
        <m:r>
          <m:t>2.13</m:t>
        </m:r>
      </m:oMath>
      <w:r>
        <w:t xml:space="preserve"> </w:t>
      </w:r>
      <w:r>
        <w:t xml:space="preserve">respectively</w:t>
      </w:r>
      <w:r>
        <w:t xml:space="preserve"> </w:t>
      </w:r>
      <w:r>
        <w:t xml:space="preserve">(Chukhray &amp; Koval, 2026, p. 31)</w:t>
      </w:r>
      <w:r>
        <w:t xml:space="preserve">. Break prompts that foreground time spent without using scarcity language or confirm shaming can therefore support reflective awareness rather than reactance. Second, structural exit cues: scrollable feeds can be designed with explicit "natural exits," such as periodic hard stops or interposed configuration panels, instead of endless continuation. In gaming and education, Tokarieva and Chyzhykova show that well designed gamification uses systemic structures to foster intrinsic motivation, with failure treated as a data point rather than a penalty and progression organised through clear stages rather than continuous streams</w:t>
      </w:r>
      <w:r>
        <w:t xml:space="preserve"> </w:t>
      </w:r>
      <w:r>
        <w:t xml:space="preserve">(Tokarieva &amp; Chyzhykova, 2026, p. 9)</w:t>
      </w:r>
      <w:r>
        <w:t xml:space="preserve">. Translating this pattern, finite blocks of content with clear transitions and opportunities to disengage align with human centred design without eliminating engagement altogether. Third, integration with governance and logging. Human in the loop grading demonstrates how session like sequences of AI support can be bounded and audited: every AI decision is subject to educator confirmation, all actions are dual logged, and override patterns are periodically analysed by institutional committees</w:t>
      </w:r>
      <w:r>
        <w:t xml:space="preserve"> </w:t>
      </w:r>
      <w:r>
        <w:t xml:space="preserve">(Selvam &amp; González Vallejo, 2025, p. 20)</w:t>
      </w:r>
      <w:r>
        <w:t xml:space="preserve">. For social recommenders, finite session triggers and break prompts should similarly be logged as events, with technical passports documenting thresholds, prompt content and observed user responses in a way that regulators and independent auditors can inspect, consistent with AI Law Model requirements on event logging, fairness reporting and supervision</w:t>
      </w:r>
      <w:r>
        <w:t xml:space="preserve"> </w:t>
      </w:r>
      <w:r>
        <w:t xml:space="preserve">(Kostenko, 2025, p. 19.5; 2025, p. 228)</w:t>
      </w:r>
      <w:r>
        <w:t xml:space="preserve">. This is particularly relevant under a Digital Fairness trajectory that aims to regulate addictive product designs and unfair personalisation alongside DSA duties on non profiled feeds and systemic risk assessment</w:t>
      </w:r>
      <w:r>
        <w:t xml:space="preserve"> </w:t>
      </w:r>
      <w:r>
        <w:t xml:space="preserve">(Sanikidze, 2026, p. 390; T et al., 2026, p. 2248)</w:t>
      </w:r>
      <w:r>
        <w:t xml:space="preserve">. Methodological constraints remain: proprietary ranking algorithms and internal A/B tests are not observable in this project, so finite session design and break prompts are assessed through documented harms, regulatory signals and governance models rather than direct telemetry</w:t>
      </w:r>
      <w:r>
        <w:t xml:space="preserve"> </w:t>
      </w:r>
      <w:r>
        <w:t xml:space="preserve">(Bahangulu &amp; Owusu-Berko, 2025, p. 9; Khare et al., 2026, p. 7)</w:t>
      </w:r>
      <w:r>
        <w:t xml:space="preserve">. It is worth noting that recommender models which incorporate user-generated text and sequential context may produce more extreme confidence scores and can increase the likelihood of exposing vulnerable users to controversial or harmful communities, a pattern observed in large-scale Reddit modelling experiments</w:t>
      </w:r>
      <w:r>
        <w:t xml:space="preserve"> </w:t>
      </w:r>
      <w:r>
        <w:t xml:space="preserve">(Cheng et al., 2022, p. 4)</w:t>
      </w:r>
      <w:r>
        <w:t xml:space="preserve">. Such empirical tendencies further motivate treating session limits and transparent prompts as auditable safeguards rather than optional interface features</w:t>
      </w:r>
      <w:r>
        <w:t xml:space="preserve"> </w:t>
      </w:r>
      <w:r>
        <w:t xml:space="preserve">(Cheng et al., 2022, p. 4)</w:t>
      </w:r>
      <w:r>
        <w:t xml:space="preserve">. Even within this limitation, evidence on dopamine driven feedback loops, depressive outcomes and regulatory bans on endless scrolling and auto play provides a clear rationale for embedding finite session constraints and transparent break prompts as baseline audit criteria for pro social recommender redesign</w:t>
      </w:r>
      <w:r>
        <w:t xml:space="preserve"> </w:t>
      </w:r>
      <w:r>
        <w:t xml:space="preserve">(Hu, 2025, p. 2; Kostenko, 2025, p. 223; Li, 2026, p. 2; Sanikidze, 2026, p. 390)</w:t>
      </w:r>
      <w:r>
        <w:t xml:space="preserve">.</w:t>
      </w:r>
    </w:p>
    <w:bookmarkEnd w:id="124"/>
    <w:bookmarkStart w:id="125" w:name="sec:batch_feeds_digest_timeboxed"/>
    <w:p>
      <w:pPr>
        <w:pStyle w:val="Heading3"/>
      </w:pPr>
      <w:r>
        <w:rPr>
          <w:rStyle w:val="SectionNumber"/>
        </w:rPr>
        <w:t xml:space="preserve">9.1.2</w:t>
      </w:r>
      <w:r>
        <w:tab/>
      </w:r>
      <w:r>
        <w:t xml:space="preserve">Batch Feeds, Digest Modes and Time-Boxed Usage</w:t>
      </w:r>
    </w:p>
    <w:p>
      <w:pPr>
        <w:pStyle w:val="FirstParagraph"/>
      </w:pPr>
      <w:r>
        <w:t xml:space="preserve">Batch oriented feeds and digest modes offer a structural counterpoint to infinite scroll and default auto play. Short video ecosystems illustrate why such alternatives are needed. Neural network based recommendation engines combined with 15–60 second clips, infinite swipe feeds and auto play induce an "auto pilot mode" of persistent scrolling, with Douyin users averaging more than 21 sessions and nearly 60 minutes per day and over half exceeding 60 minutes, especially adolescents with comparatively weak self control</w:t>
      </w:r>
      <w:r>
        <w:t xml:space="preserve"> </w:t>
      </w:r>
      <w:r>
        <w:t xml:space="preserve">(Li, 2026, p. 2; 2026, p. 3)</w:t>
      </w:r>
      <w:r>
        <w:t xml:space="preserve">. Hyper personalised feeds on broader social platforms correlate with a 23% higher incidence of depressive symptoms and reduced prefrontal activity relative to chronological streams, and algorithmically curated interfaces generate 22% more compulsive checking than non algorithmic counterparts</w:t>
      </w:r>
      <w:r>
        <w:t xml:space="preserve"> </w:t>
      </w:r>
      <w:r>
        <w:t xml:space="preserve">(Hu, 2025, p. 2; 2025, p. 20)</w:t>
      </w:r>
      <w:r>
        <w:t xml:space="preserve">. Within this report’s working taxonomy, continuous, unsegmented streams therefore fall into high risk engagement mechanics that pro social design must replace with bounded, time aware patterns. Finite batches and digest modes can be framed as concrete operationalisations of rights articulated in AI governance texts. Kostenko’s digital ecology chapter recognises an inalienable right to a "psycho emotionally safe digital environment" and prohibits algorithms that cause psychological pressure, impose behavioural patterns, restrict freedom of choice, form addiction or create self replicating digital environments that erode critical thinking</w:t>
      </w:r>
      <w:r>
        <w:t xml:space="preserve"> </w:t>
      </w:r>
      <w:r>
        <w:t xml:space="preserve">(Kostenko, 2025, p. 119)</w:t>
      </w:r>
      <w:r>
        <w:t xml:space="preserve">. For minors, the principle of digital safety of the child specifies that feeds should operate in "detox mode" by default, explicitly "without endless scrolling, autoplay of the video and aggressive return triggers," and with visible "no personalisation" switches and simple explanations such as "why am I seeing this?"</w:t>
      </w:r>
      <w:r>
        <w:t xml:space="preserve"> </w:t>
      </w:r>
      <w:r>
        <w:t xml:space="preserve">(Kostenko, 2025, p. 223; 2025, p. 221)</w:t>
      </w:r>
      <w:r>
        <w:t xml:space="preserve">. Translating these prescriptions, batch feeds present a finite set of items with explicit end points and natural exit cues instead of unending content streams, while digest modes aggregate content into periodic summaries that can be consumed in defined sessions. Evidence on digital literacy and awareness of EU regulation implies that such bounded formats need to be combined with clear signalling. Survey results from Chukhray and Koval show that highly active social network users report strong confidence in everyday digital tasks and online purchases (Likert means</w:t>
      </w:r>
      <w:r>
        <w:t xml:space="preserve"> </w:t>
      </w:r>
      <m:oMath>
        <m:r>
          <m:t>4.40</m:t>
        </m:r>
      </m:oMath>
      <w:r>
        <w:t xml:space="preserve">–</w:t>
      </w:r>
      <m:oMath>
        <m:r>
          <m:t>4.62</m:t>
        </m:r>
      </m:oMath>
      <w:r>
        <w:t xml:space="preserve">) yet score much lower on recognising hidden manipulations (mean</w:t>
      </w:r>
      <w:r>
        <w:t xml:space="preserve"> </w:t>
      </w:r>
      <m:oMath>
        <m:r>
          <m:t>2.31</m:t>
        </m:r>
      </m:oMath>
      <w:r>
        <w:t xml:space="preserve">) and avoiding fraud (</w:t>
      </w:r>
      <m:oMath>
        <m:r>
          <m:t>2.13</m:t>
        </m:r>
      </m:oMath>
      <w:r>
        <w:t xml:space="preserve">), and remain sceptical about the effectiveness of GDPR, the DSA and the AI Act in curbing disinformation and fraud</w:t>
      </w:r>
      <w:r>
        <w:t xml:space="preserve"> </w:t>
      </w:r>
      <w:r>
        <w:t xml:space="preserve">(Chukhray &amp; Koval, 2026, p. 10)</w:t>
      </w:r>
      <w:r>
        <w:t xml:space="preserve">. Digest modes that simply compress engagement into fewer sessions without altering manipulative features would not address this "second level divide." Instead, batching and time boxing need to be accompanied by transparent indicators of session boundaries and neutral language explaining that no content is being hidden for punitive reasons, consistent with the AI Law Model’s requirement for explainability and user friendly communication</w:t>
      </w:r>
      <w:r>
        <w:t xml:space="preserve"> </w:t>
      </w:r>
      <w:r>
        <w:t xml:space="preserve">(Kostenko, 2025, p. 68; 2025, p. 69)</w:t>
      </w:r>
      <w:r>
        <w:t xml:space="preserve">. Session design also interacts with legal risk tiers. Under the AI Law Model’s technological sovereignty principle, systems that cannot be independently audited or that embed hidden mechanisms for influencing behaviour may be prohibited and entered into a register of unwanted AI systems</w:t>
      </w:r>
      <w:r>
        <w:t xml:space="preserve"> </w:t>
      </w:r>
      <w:r>
        <w:t xml:space="preserve">(Kostenko, 2025, p. 108)</w:t>
      </w:r>
      <w:r>
        <w:t xml:space="preserve">. Social recommendations configured as endless, opaque streams that foster addictive use without clear logging of session boundaries and prompts could fall into this category. By contrast, batch feeds and digest modes aligned with algorithmic passports, event logs and documented human oversight channels provide evidence for compliance with TSAI duties such as preserving logs, reporting incidents and ensuring human supervision</w:t>
      </w:r>
      <w:r>
        <w:t xml:space="preserve"> </w:t>
      </w:r>
      <w:r>
        <w:t xml:space="preserve">(Kostenko, 2025, p. 242)</w:t>
      </w:r>
      <w:r>
        <w:t xml:space="preserve">. In this thesis, such configurations are classified in the working Code C taxonomy as "time bounded, audit compatible sessions," distinct from "addiction enabling feed mechanics." Audit preparation steps therefore need to include explicit questions on batching and time boxing. Inspired by Mutawa et al.’s governance matrix, which evaluates transparency and accountability in zakat AI through document analysis and performance indicators</w:t>
      </w:r>
      <w:r>
        <w:t xml:space="preserve"> </w:t>
      </w:r>
      <w:r>
        <w:t xml:space="preserve">(Mutawa et al., 2025, p. 59)</w:t>
      </w:r>
      <w:r>
        <w:t xml:space="preserve">, this report’s toolkit includes pre checks such as: whether the platform documents maximum recommended session lengths, whether break prompts are triggered after defined usage thresholds, whether users can shift from continuous feeds to digest modes, and whether these choices are recorded in logs accessible to regulators under instruments like DSA Article 40</w:t>
      </w:r>
      <w:r>
        <w:t xml:space="preserve"> </w:t>
      </w:r>
      <w:r>
        <w:t xml:space="preserve">(Meßmer &amp; Degeling, 2023, p. 19)</w:t>
      </w:r>
      <w:r>
        <w:t xml:space="preserve">. Given the black box constraint acknowledged earlier, auditors rely on published UX behaviour and regulatory documentation rather than direct telemetry, but can still assess the presence of visible exit cues and digest options in live interfaces</w:t>
      </w:r>
      <w:r>
        <w:t xml:space="preserve"> </w:t>
      </w:r>
      <w:r>
        <w:t xml:space="preserve">(Bahangulu &amp; Owusu-Berko, 2025, p. 9; Khare et al., 2026, p. 7)</w:t>
      </w:r>
      <w:r>
        <w:t xml:space="preserve">. Finally, finite session and digest designs can be framed as pro social choice architecture that still accommodates business interests. Hermansyah’s analysis of DMA interoperability mandates shows that behaviourally informed regulation can reduce default bias and consumer lock in while preserving innovation and competition, provided manipulation via dark patterns is countered through vigilant enforcement</w:t>
      </w:r>
      <w:r>
        <w:t xml:space="preserve"> </w:t>
      </w:r>
      <w:r>
        <w:t xml:space="preserve">(Hermansyah, 2025, p. 10)</w:t>
      </w:r>
      <w:r>
        <w:t xml:space="preserve">. Batch and digest configurations that maintain recommendation quality yet avoid endless scrolling and auto play can be positioned as analogous reforms: they maintain engagement, but within time boxed, transparent sessions that respect emerging Digital Fairness expectations and AI Law Model rights to cyber neutrality and non alienation of digital subjectivity</w:t>
      </w:r>
      <w:r>
        <w:t xml:space="preserve"> </w:t>
      </w:r>
      <w:r>
        <w:t xml:space="preserve">(Kostenko, 2025, p. 148; Sanikidze, 2026, p. 390)</w:t>
      </w:r>
      <w:r>
        <w:t xml:space="preserve">. Empirical work on immersive digital environments suggests a cautious note: strong immersion can both soothe and encourage prolonged disengagement from the offline context, so session boundaries that are explicit and gently enforced may be more protective than merely informative nudges</w:t>
      </w:r>
      <w:r>
        <w:t xml:space="preserve"> </w:t>
      </w:r>
      <w:r>
        <w:t xml:space="preserve">(Kutsal &amp; Turan, 2025, p. 8)</w:t>
      </w:r>
      <w:r>
        <w:t xml:space="preserve">. This research appears to support the idea that design choices which couple containment cues with clear exit affordances are likely to reduce the risk of over-immersion while preserving the experiential value of recommended content</w:t>
      </w:r>
      <w:r>
        <w:t xml:space="preserve"> </w:t>
      </w:r>
      <w:r>
        <w:t xml:space="preserve">(Kutsal &amp; Turan, 2025, p. 8)</w:t>
      </w:r>
      <w:r>
        <w:t xml:space="preserve">.</w:t>
      </w:r>
    </w:p>
    <w:bookmarkEnd w:id="125"/>
    <w:bookmarkStart w:id="126" w:name="sec:user_control_dashboards"/>
    <w:p>
      <w:pPr>
        <w:pStyle w:val="Heading3"/>
      </w:pPr>
      <w:r>
        <w:rPr>
          <w:rStyle w:val="SectionNumber"/>
        </w:rPr>
        <w:t xml:space="preserve">9.1.3</w:t>
      </w:r>
      <w:r>
        <w:tab/>
      </w:r>
      <w:r>
        <w:t xml:space="preserve">User Control Dashboards for Algorithmic Preferences</w:t>
      </w:r>
    </w:p>
    <w:p>
      <w:pPr>
        <w:pStyle w:val="FirstParagraph"/>
      </w:pPr>
      <w:r>
        <w:t xml:space="preserve">Designing user control dashboards for algorithmic preferences requires treating transparency and agency as enforceable rights rather than cosmetic settings. The AI Law Model formulates a human centred principle where people must be able to know about the impact of AI, obtain explanations, and maintain control, and it prohibits full automation of critical decisions without human intervention. Transparency and explainability are defined as access to technical documentation, logs, justifications, and application limits, with all AI systems obliged to inform users about their algorithmic nature and to make results available for auditing</w:t>
      </w:r>
      <w:r>
        <w:t xml:space="preserve"> </w:t>
      </w:r>
      <w:r>
        <w:t xml:space="preserve">(Kostenko, 2025, p. 22)</w:t>
      </w:r>
      <w:r>
        <w:t xml:space="preserve">. Dashboards become the primary interface through which these obligations surface for lay users. Stakeholder oriented governance frameworks reinforce this orientation. The Algorithmic Impact Navigator positions organisations as the first line of accountability and calls for comprehensive impact evaluations, mapping of regulatory duties, and stakeholder engagement throughout the lifecycle, with transparency, fairness and respect for autonomy as constant principles across sectors. Within such a frame, user control dashboards function as operational tools for implementing the AIN: they materialise choices about profiling, recommendation parameters and explanation depth that might otherwise remain buried in internal documentation</w:t>
      </w:r>
      <w:r>
        <w:t xml:space="preserve"> </w:t>
      </w:r>
      <w:r>
        <w:t xml:space="preserve">(Leon, 2026, p. 2)</w:t>
      </w:r>
      <w:r>
        <w:t xml:space="preserve">. Regulatory initiatives on AI driven content curation and platform governance point toward concrete dashboard capabilities. The EU AI Act’s risk based framework requires platforms to ensure that algorithms are transparent, accountable and free from bias and to undergo regular audits, while also emphasising user control over recommendations, including the ability to opt out of personalised feeds</w:t>
      </w:r>
      <w:r>
        <w:t xml:space="preserve"> </w:t>
      </w:r>
      <w:r>
        <w:t xml:space="preserve">(Mariia, 2025, p. 8)</w:t>
      </w:r>
      <w:r>
        <w:t xml:space="preserve">. The Digital Services Act obliges very large online platforms to provide at least one recommendation option not based on profiling and to publish transparency reports, with vetted researchers receiving data access to study systemic risks</w:t>
      </w:r>
      <w:r>
        <w:t xml:space="preserve"> </w:t>
      </w:r>
      <w:r>
        <w:t xml:space="preserve">(T et al., 2026, p. 12)</w:t>
      </w:r>
      <w:r>
        <w:t xml:space="preserve">. Any meaningful dashboard in this context must therefore expose a non profiled feed mode, present it as a first class choice rather than a buried setting, and log user selections so that auditors can verify that the option is more than formal compliance</w:t>
      </w:r>
      <w:r>
        <w:t xml:space="preserve"> </w:t>
      </w:r>
      <w:r>
        <w:t xml:space="preserve">(Meßmer &amp; Degeling, 2023, p. 21; T et al., 2026, p. 12)</w:t>
      </w:r>
      <w:r>
        <w:t xml:space="preserve">. Media diversity and bias work adds further functional requirements. Gerr’s assessment of AI driven curation argues that XAI models can mitigate harms by giving users clear explanations of why specific content is recommended and by allowing them to critically evaluate their feeds and avoid manipulation</w:t>
      </w:r>
      <w:r>
        <w:t xml:space="preserve"> </w:t>
      </w:r>
      <w:r>
        <w:t xml:space="preserve">(Mariia, 2025, p. 8)</w:t>
      </w:r>
      <w:r>
        <w:t xml:space="preserve">. Diversity and bias metrics were applied to curated datasets from Facebook, YouTube and TikTok to measure content homogeneity and ideological skew</w:t>
      </w:r>
      <w:r>
        <w:t xml:space="preserve"> </w:t>
      </w:r>
      <w:r>
        <w:t xml:space="preserve">(Mariia, 2025, p. 5)</w:t>
      </w:r>
      <w:r>
        <w:t xml:space="preserve">. Dashboards that expose simple controls such as "diversity weighting" sliders or toggles for chronological versus engagement ranked ordering, combined with explanation panels that state which factors prior viewing, trending status, geography drove a recommendation, translate these analytical concepts into user facing control points</w:t>
      </w:r>
      <w:r>
        <w:t xml:space="preserve"> </w:t>
      </w:r>
      <w:r>
        <w:t xml:space="preserve">(Hu, 2025, p. 3; Mariia, 2025, p. 8)</w:t>
      </w:r>
      <w:r>
        <w:t xml:space="preserve">. Newer governance proposals for democratic recommendation systems sharpen the link between dashboards and design standards. Chitra et al. recommend value aligned objective functions with explicit diversity incentives and engagement ceilings, and insist that recommendation systems provide user accessible explanations identifying primary factors behind each item. Their framework also calls for mandatory algorithmic auditing and research data access, including representative samples of recommendation sequences, so that external analysts can assess political amplification asymmetries and systemic risks</w:t>
      </w:r>
      <w:r>
        <w:t xml:space="preserve"> </w:t>
      </w:r>
      <w:r>
        <w:t xml:space="preserve">(T et al., 2026, p. 16)</w:t>
      </w:r>
      <w:r>
        <w:t xml:space="preserve">. In this report’s working taxonomy, user control dashboards that expose diversity controls, engagement limit indicators, and a clear "why am I seeing this" explanation channel are treated as evidence of alignment with such emerging norms rather than as mere usability features. AI governance standards underline that dashboards must sit on top of auditable backends. Sankaran shows that ISO/IEC standards on AI risk management, bias assessment and ethical considerations are intended to support AI Act obligations by providing measurable criteria for fairness, transparency and human oversight, yet rely on organisations to implement internal logging and documentation</w:t>
      </w:r>
      <w:r>
        <w:t xml:space="preserve"> </w:t>
      </w:r>
      <w:r>
        <w:t xml:space="preserve">(Sankaran, 2025, p. 2)</w:t>
      </w:r>
      <w:r>
        <w:t xml:space="preserve">. The AI Law Model requires event logging that links inputs, intermediate calculations and outputs, and mandates that logs be preserved and accessible for audit and appeal</w:t>
      </w:r>
      <w:r>
        <w:t xml:space="preserve"> </w:t>
      </w:r>
      <w:r>
        <w:t xml:space="preserve">(Kostenko, 2025, p. 44; 2025, p. 135)</w:t>
      </w:r>
      <w:r>
        <w:t xml:space="preserve">. Dashboards that present explanation and preference controls without underlying log architectures risk becoming performative; audit preparation must therefore verify whether setting changes and recommendation rationales are recorded in machine readable form so regulators and independent auditors can reconstruct decision paths</w:t>
      </w:r>
      <w:r>
        <w:t xml:space="preserve"> </w:t>
      </w:r>
      <w:r>
        <w:t xml:space="preserve">(Kostenko, 2025, p. 44; Meßmer &amp; Degeling, 2023, p. 21)</w:t>
      </w:r>
      <w:r>
        <w:t xml:space="preserve">. HITL deployments demonstrate how such logging can support human authority and user trust. In AI assisted essay grading, instructors receive SHAP based explanations alongside model scores, can override or confirm outputs, and all actions are dual logged, with students seeing clearly which feedback is AI generated and which is instructor reviewed</w:t>
      </w:r>
      <w:r>
        <w:t xml:space="preserve"> </w:t>
      </w:r>
      <w:r>
        <w:t xml:space="preserve">(Selvam &amp; González Vallejo, 2025, p. 20)</w:t>
      </w:r>
      <w:r>
        <w:t xml:space="preserve">. Students reported higher confidence when human validation was visible, and accreditation bodies can inspect logs for quality assurance</w:t>
      </w:r>
      <w:r>
        <w:t xml:space="preserve"> </w:t>
      </w:r>
      <w:r>
        <w:t xml:space="preserve">(Mogoi et al., 2025, p. 2055956; Selvam &amp; González Vallejo, 2025, p. 20)</w:t>
      </w:r>
      <w:r>
        <w:t xml:space="preserve">. User control dashboards for social recommenders that similarly differentiate automated from human curation, expose override events, and provide appeal pathways align with the AI Law Model’s human centred and responsibility principles</w:t>
      </w:r>
      <w:r>
        <w:t xml:space="preserve"> </w:t>
      </w:r>
      <w:r>
        <w:t xml:space="preserve">(Kostenko, 2025, p. 22; 2025, pp. 61–62)</w:t>
      </w:r>
      <w:r>
        <w:t xml:space="preserve">. A final constraint is methodological. Black box recommender algorithms used by commercial platforms are not directly observable in this project. As in dark pattern research and AI proctoring reviews, assessment of user control dashboards must rely on publicly documented UX behaviour, regulatory proceedings and audit reports rather than proprietary telemetry or code</w:t>
      </w:r>
      <w:r>
        <w:t xml:space="preserve"> </w:t>
      </w:r>
      <w:r>
        <w:t xml:space="preserve">(Bahangulu &amp; Owusu-Berko, 2025, p. 9; Khare et al., 2026, p. 7; Mogoi et al., 2025, p. 9)</w:t>
      </w:r>
      <w:r>
        <w:t xml:space="preserve">. Within that limitation, this section treats dashboards that combine non profiled feed selection, intelligible explanations, documented logging, and visible human oversight as key pro social choice architecture patterns and as central artefacts for any Ethical AI Audit Toolkit aligned with AI Act, DSA and AI Law Model principles</w:t>
      </w:r>
      <w:r>
        <w:t xml:space="preserve"> </w:t>
      </w:r>
      <w:r>
        <w:t xml:space="preserve">(Kostenko, 2025, p. 22; Leon, 2026, p. 2; Mariia, 2025, p. 8; T et al., 2026, p. 12)</w:t>
      </w:r>
      <w:r>
        <w:t xml:space="preserve">.</w:t>
      </w:r>
    </w:p>
    <w:bookmarkEnd w:id="126"/>
    <w:bookmarkEnd w:id="127"/>
    <w:bookmarkStart w:id="132" w:name="X023dd5ced4e053e2ae83c70b334d46e6563a1a8"/>
    <w:p>
      <w:pPr>
        <w:pStyle w:val="Heading2"/>
      </w:pPr>
      <w:r>
        <w:rPr>
          <w:rStyle w:val="SectionNumber"/>
        </w:rPr>
        <w:t xml:space="preserve">9.2</w:t>
      </w:r>
      <w:r>
        <w:tab/>
      </w:r>
      <w:r>
        <w:t xml:space="preserve">Recommender System Redesign for Wellbeing</w:t>
      </w:r>
    </w:p>
    <w:bookmarkStart w:id="128" w:name="sec:diversity_ranking_pluralism"/>
    <w:p>
      <w:pPr>
        <w:pStyle w:val="Heading3"/>
      </w:pPr>
      <w:r>
        <w:rPr>
          <w:rStyle w:val="SectionNumber"/>
        </w:rPr>
        <w:t xml:space="preserve">9.2.1</w:t>
      </w:r>
      <w:r>
        <w:tab/>
      </w:r>
      <w:r>
        <w:t xml:space="preserve">Diversity-Oriented Ranking and Content Pluralism</w:t>
      </w:r>
    </w:p>
    <w:p>
      <w:pPr>
        <w:pStyle w:val="FirstParagraph"/>
      </w:pPr>
      <w:r>
        <w:t xml:space="preserve">Evidence on engagement optimised curation shows that current ranking objectives narrow informational variety. Analyses of Facebook, YouTube and TikTok document that algorithmic personalisation steers users toward content aligned with pre existing beliefs and systematically diminishes exposure to diverse viewpoints, reinforcing echo chambers and limiting opportunities for critical thinking and democratic participation</w:t>
      </w:r>
      <w:r>
        <w:t xml:space="preserve"> </w:t>
      </w:r>
      <w:r>
        <w:t xml:space="preserve">(Mariia, 2025, p. 5; 2025, p. 29)</w:t>
      </w:r>
      <w:r>
        <w:t xml:space="preserve">. Case studies during elections and health crises find that YouTube’s watch time driven recommendation system amplified sensationalist vaccine videos, while Facebook disproportionately surfaced far right political content, illustrating how accuracy and attention goals crowd out pluralism</w:t>
      </w:r>
      <w:r>
        <w:t xml:space="preserve"> </w:t>
      </w:r>
      <w:r>
        <w:t xml:space="preserve">(Mariia, 2025, p. 7)</w:t>
      </w:r>
      <w:r>
        <w:t xml:space="preserve">. These patterns position diversity oriented ranking as a necessary redesign axis for wellbeing oriented recommender systems rather than an optional add on. Regulatory and governance proposals already sketch what pluralism aware objectives might entail. Chitra and colleagues call for "value aligned objective functions" in democratic recommendation systems: accuracy weights for fact checked sources, explicit intra session diversity requirements that penalise sequences exposing users exclusively to a narrow ideological spectrum, and an engagement ceiling that caps amplification for individual items to avoid virality premiums that incentivise emotional escalation</w:t>
      </w:r>
      <w:r>
        <w:t xml:space="preserve"> </w:t>
      </w:r>
      <w:r>
        <w:t xml:space="preserve">(T et al., 2026, p. 16)</w:t>
      </w:r>
      <w:r>
        <w:t xml:space="preserve">. Gerr argues that diversity and pluralism benchmarks, supported by metrics such as Shannon entropy and Simpson’s diversity index over curated streams, should become binding design requirements, not only transparency obligations, because technical compliance with DSA reporting has not reduced engagement driven biases on YouTube and TikTok</w:t>
      </w:r>
      <w:r>
        <w:t xml:space="preserve"> </w:t>
      </w:r>
      <w:r>
        <w:t xml:space="preserve">(Mariia, 2025, p. 8; 2025, p. 28)</w:t>
      </w:r>
      <w:r>
        <w:t xml:space="preserve">. In this report’s working taxonomy, these proposals define a "diversity aligned objective" class of rankers that explicitly trade some engagement for content pluralism. Fairness research in recommender systems provides complementary insight into how diversity and equity interact. Deldjoo et al. distinguish exposure and effectiveness as utilities: exposure captures how much visibility items or item groups receive, while effectiveness measures how closely exposure matches user preferences</w:t>
      </w:r>
      <w:r>
        <w:t xml:space="preserve"> </w:t>
      </w:r>
      <w:r>
        <w:t xml:space="preserve">(Deldjoo et al., 2023b, p. 28)</w:t>
      </w:r>
      <w:r>
        <w:t xml:space="preserve">. For consumers, fairness often means equal effectiveness across groups so that historically disadvantaged users are not systematically offered less relevant items. For producers, fairness focuses on exposure equity so that creators from minority countries or unpopular segments are not perpetually hidden by popularity biased algorithms. Metrics such as the Gini index for catalog concentration, group utility differences and relevance disparity quantify when a system over concentrates exposure on a small subset of items or producers</w:t>
      </w:r>
      <w:r>
        <w:t xml:space="preserve"> </w:t>
      </w:r>
      <w:r>
        <w:t xml:space="preserve">(Deldjoo et al., 2023b, p. 30)</w:t>
      </w:r>
      <w:r>
        <w:t xml:space="preserve">. Although these metrics were developed primarily for fairness, they can be repurposed in an audit toolkit as quantitative indicators of content pluralism: lower Gini coefficients and reduced group utility gaps signal more diversified ranking outcomes. Designing diversity oriented ranking involves trade off management rather than simple maximisation. Deldjoo et al. warn that computational metrics may oversimplify real world problems: promoting long tail items without checking their quality risks recommending irrelevant content, and there is often an assumed but unexamined trade off between customer fairness, provider fairness and overall accuracy</w:t>
      </w:r>
      <w:r>
        <w:t xml:space="preserve"> </w:t>
      </w:r>
      <w:r>
        <w:t xml:space="preserve">(Deldjoo et al., 2023b, p. 28; 2023b, p. 30)</w:t>
      </w:r>
      <w:r>
        <w:t xml:space="preserve">. Chitra et al. similarly acknowledge that capping virality and enforcing diversity bands will reduce short term engagement and associated revenue, which creates structural misalignment between platform incentives and democratic goals</w:t>
      </w:r>
      <w:r>
        <w:t xml:space="preserve"> </w:t>
      </w:r>
      <w:r>
        <w:t xml:space="preserve">(T et al., 2026, p. 14)</w:t>
      </w:r>
      <w:r>
        <w:t xml:space="preserve">. An Ethical AI Audit for social recommenders must therefore treat diversity not as a free benefit but as a strategic rebalancing: some engagement metrics will worsen, yet system level wellbeing measures, such as reduced emotional volatility and lower incidence of depressive symptoms associated with hyper personalised feeds, may improve</w:t>
      </w:r>
      <w:r>
        <w:t xml:space="preserve"> </w:t>
      </w:r>
      <w:r>
        <w:t xml:space="preserve">(Hu, 2025, p. 20)</w:t>
      </w:r>
      <w:r>
        <w:t xml:space="preserve">. Governance structures give diversity oriented ranking practical teeth. Gerr calls for mandatory algorithmic auditing that evaluates performance against diversity and pluralism benchmarks, alongside transparency about ranking criteria and data access for vetted researchers to study systemic risks</w:t>
      </w:r>
      <w:r>
        <w:t xml:space="preserve"> </w:t>
      </w:r>
      <w:r>
        <w:t xml:space="preserve">(Mariia, 2025, p. 3; 2025, p. 28)</w:t>
      </w:r>
      <w:r>
        <w:t xml:space="preserve">. The same study recommends applying distributional fairness metrics and diversity indices to curated datasets from Facebook, YouTube and TikTok to detect biases favouring specific ideological perspectives</w:t>
      </w:r>
      <w:r>
        <w:t xml:space="preserve"> </w:t>
      </w:r>
      <w:r>
        <w:t xml:space="preserve">(Mariia, 2025, p. 5)</w:t>
      </w:r>
      <w:r>
        <w:t xml:space="preserve">. Chitra et al. propose that annual independent audits for very large platforms assess evidence of political amplification asymmetries and effectiveness of misinformation mitigation, with methodologies and findings published in aggregated form</w:t>
      </w:r>
      <w:r>
        <w:t xml:space="preserve"> </w:t>
      </w:r>
      <w:r>
        <w:t xml:space="preserve">(T et al., 2026, p. 16)</w:t>
      </w:r>
      <w:r>
        <w:t xml:space="preserve">. These mechanisms align with AI Law Model requirements for technical passports, event logging and public registers for high risk systems and provide a concrete institutional route for enforcing pluralism goals</w:t>
      </w:r>
      <w:r>
        <w:t xml:space="preserve"> </w:t>
      </w:r>
      <w:r>
        <w:t xml:space="preserve">(Kostenko, 2025, p. 19.5)</w:t>
      </w:r>
      <w:r>
        <w:t xml:space="preserve">. Within the pro social pivot strategy in this thesis, diversity oriented ranking and content pluralism therefore become one of the key redesign levers. Audit questions grounded in the cited work ask whether ranking objectives include diversity terms, whether exposure and effectiveness metrics indicate disproportionate concentration, and whether independent audits systematically apply entropy, Simpson index and group utility measures across ideological and cultural categories. Given the methodological limitation that proprietary algorithms are observed only through secondary outputs, these metrics and governance artefacts serve as the primary evidence for assessing whether social recommender systems remain locked in engagement worship, or genuinely shift toward pluralistic, wellbeing compatible curation under an anticipated Digital Fairness regime</w:t>
      </w:r>
      <w:r>
        <w:t xml:space="preserve"> </w:t>
      </w:r>
      <w:r>
        <w:t xml:space="preserve">(Deldjoo et al., 2023b, p. 30; Hu, 2025, p. 2; Mariia, 2025, p. 8; T et al., 2026, p. 16)</w:t>
      </w:r>
      <w:r>
        <w:t xml:space="preserve">.</w:t>
      </w:r>
    </w:p>
    <w:bookmarkEnd w:id="128"/>
    <w:bookmarkStart w:id="130" w:name="sec:downranking_harmful_sensational"/>
    <w:p>
      <w:pPr>
        <w:pStyle w:val="Heading3"/>
      </w:pPr>
      <w:r>
        <w:rPr>
          <w:rStyle w:val="SectionNumber"/>
        </w:rPr>
        <w:t xml:space="preserve">9.2.2</w:t>
      </w:r>
      <w:r>
        <w:tab/>
      </w:r>
      <w:r>
        <w:t xml:space="preserve">Downranking of Harmful and Sensational Content</w:t>
      </w:r>
    </w:p>
    <w:p>
      <w:pPr>
        <w:pStyle w:val="FirstParagraph"/>
      </w:pPr>
      <w:r>
        <w:t xml:space="preserve">Reducing the visibility of high arousal and harmful material requires shifting ranking objectives away from pure engagement and toward pluralism, epistemic quality and wellbeing. Analyses of major platforms illustrate why. Facebook’s engagement based algorithm was internally assessed as a "significant contributor" to political polarisation, with</w:t>
      </w:r>
      <w:r>
        <w:t xml:space="preserve"> </w:t>
      </w:r>
      <m:oMath>
        <m:r>
          <m:t>64</m:t>
        </m:r>
        <m:r>
          <m:rPr>
            <m:sty m:val="p"/>
          </m:rPr>
          <m:t>%</m:t>
        </m:r>
      </m:oMath>
      <w:r>
        <w:t xml:space="preserve"> </w:t>
      </w:r>
      <w:r>
        <w:t xml:space="preserve">of extremist group joins traced to recommendation prompts. YouTube’s recommender systematically amplifies right leaning political content relative to equivalent left leaning material even after controlling for organic popularity, while TikTok accounts that show interest in weight loss or politics are quickly steered toward eating disorder and extremist content</w:t>
      </w:r>
      <w:r>
        <w:t xml:space="preserve"> </w:t>
      </w:r>
      <w:r>
        <w:t xml:space="preserve">(T et al., 2026, p. 2244)</w:t>
      </w:r>
      <w:r>
        <w:t xml:space="preserve">. These findings link engagement optimisation directly to the amplification of sensationalist and harmful streams. Psychological and neurocognitive evidence points in the same direction. Collaborative filtering architectures that weight prior interactions systematically prioritise outrage and sensationalism; on Instagram, the "Explore" page increased exposure to body negative imagery by</w:t>
      </w:r>
      <w:r>
        <w:t xml:space="preserve"> </w:t>
      </w:r>
      <m:oMath>
        <m:r>
          <m:t>23</m:t>
        </m:r>
        <m:r>
          <m:rPr>
            <m:sty m:val="p"/>
          </m:rPr>
          <m:t>%</m:t>
        </m:r>
      </m:oMath>
      <w:r>
        <w:t xml:space="preserve"> </w:t>
      </w:r>
      <w:r>
        <w:t xml:space="preserve">compared with chronological feeds and correlated with a significant decline in self esteem among adolescent women of color</w:t>
      </w:r>
      <w:r>
        <w:t xml:space="preserve"> </w:t>
      </w:r>
      <w:r>
        <w:t xml:space="preserve">(Hu, 2025, p. 3)</w:t>
      </w:r>
      <w:r>
        <w:t xml:space="preserve">. Algorithmically prioritised content shows</w:t>
      </w:r>
      <w:r>
        <w:t xml:space="preserve"> </w:t>
      </w:r>
      <m:oMath>
        <m:r>
          <m:t>31</m:t>
        </m:r>
        <m:r>
          <m:rPr>
            <m:sty m:val="p"/>
          </m:rPr>
          <m:t>%</m:t>
        </m:r>
      </m:oMath>
      <w:r>
        <w:t xml:space="preserve"> </w:t>
      </w:r>
      <w:r>
        <w:t xml:space="preserve">higher negative affect than baseline, and hyper personalised feeds are associated with a</w:t>
      </w:r>
      <w:r>
        <w:t xml:space="preserve"> </w:t>
      </w:r>
      <m:oMath>
        <m:r>
          <m:t>23</m:t>
        </m:r>
        <m:r>
          <m:rPr>
            <m:sty m:val="p"/>
          </m:rPr>
          <m:t>%</m:t>
        </m:r>
      </m:oMath>
      <w:r>
        <w:t xml:space="preserve"> </w:t>
      </w:r>
      <w:r>
        <w:t xml:space="preserve">higher incidence of depressive symptoms and reduced prefrontal activity in impulse control regions</w:t>
      </w:r>
      <w:r>
        <w:t xml:space="preserve"> </w:t>
      </w:r>
      <w:r>
        <w:t xml:space="preserve">(Hu, 2025, p. 3; 2025, p. 20)</w:t>
      </w:r>
      <w:r>
        <w:t xml:space="preserve">. Within this report’s working taxonomy, content that combines high negative affect, ideologically polarising frames and documented mental health harms is treated as a prime target for downranking. Technical and governance proposals already outline levers for such downranking. Chitra et al. recommend "value aligned objective functions" for democratic recommendation systems that explicitly add accuracy weighting, intra session diversity requirements and engagement ceilings to ranking loss functions. Accuracy weighting gives positive bonuses to content from sources with high fact checking scores and negative weights to sources with misinformation patterns, while diversity incentives penalise sequences that expose users exclusively to a narrow ideological spectrum. Engagement ceilings cap amplification of individual items, directly constraining virality premiums that currently reward emotional escalation. These design moves amount to structurally downranking harmful and sensational content by reducing its learned utility in ranking optimisation. A concise mapping of downranking levers and their audit implications is shown in Table </w:t>
      </w:r>
      <w:hyperlink w:anchor="tab:downranking_levers">
        <w:r>
          <w:rPr>
            <w:rStyle w:val="Hyperlink"/>
          </w:rPr>
          <w:t xml:space="preserve">10</w:t>
        </w:r>
      </w:hyperlink>
      <w:r>
        <w:t xml:space="preserve">.</w:t>
      </w:r>
    </w:p>
    <w:bookmarkStart w:id="129" w:name="tab:downranking_levers"/>
    <w:p>
      <w:pPr>
        <w:pStyle w:val="TableCaption"/>
      </w:pPr>
      <w:r>
        <w:t xml:space="preserve">Working mapping: downranking levers for harmful and sensational content</w:t>
      </w:r>
    </w:p>
    <w:tbl>
      <w:tblPr>
        <w:tblStyle w:val="Table"/>
        <w:tblW w:type="auto" w:w="0"/>
        <w:jc w:val="left"/>
        <w:tblLook w:firstRow="1" w:lastRow="0" w:firstColumn="0" w:lastColumn="0" w:noHBand="0" w:noVBand="0" w:val="0020"/>
        <w:tblCaption w:val="Working mapping: downranking levers for harmful and sensational content"/>
      </w:tblPr>
      <w:tblGrid>
        <w:gridCol w:w="2640"/>
        <w:gridCol w:w="2640"/>
        <w:gridCol w:w="2640"/>
      </w:tblGrid>
      <w:tr>
        <w:trPr>
          <w:tblHeader w:val="on"/>
        </w:trPr>
        <w:tc>
          <w:tcPr/>
          <w:p>
            <w:pPr>
              <w:pStyle w:val="Compact"/>
              <w:jc w:val="left"/>
            </w:pPr>
            <w:r>
              <w:t xml:space="preserve">Lever</w:t>
            </w:r>
          </w:p>
        </w:tc>
        <w:tc>
          <w:tcPr/>
          <w:p>
            <w:pPr>
              <w:pStyle w:val="Compact"/>
              <w:jc w:val="left"/>
            </w:pPr>
            <w:r>
              <w:t xml:space="preserve">Mechanism</w:t>
            </w:r>
          </w:p>
        </w:tc>
        <w:tc>
          <w:tcPr/>
          <w:p>
            <w:pPr>
              <w:pStyle w:val="Compact"/>
              <w:jc w:val="left"/>
            </w:pPr>
            <w:r>
              <w:t xml:space="preserve">Audit focus</w:t>
            </w:r>
          </w:p>
        </w:tc>
      </w:tr>
      <w:tr>
        <w:tc>
          <w:tcPr/>
          <w:p>
            <w:pPr>
              <w:pStyle w:val="Compact"/>
              <w:jc w:val="left"/>
            </w:pPr>
            <w:r>
              <w:t xml:space="preserve">Accuracy weighting</w:t>
            </w:r>
          </w:p>
        </w:tc>
        <w:tc>
          <w:tcPr/>
          <w:p>
            <w:pPr>
              <w:pStyle w:val="Compact"/>
              <w:jc w:val="left"/>
            </w:pPr>
            <w:r>
              <w:t xml:space="preserve">Boosts fact checked sources, penalises repeat misinformation</w:t>
            </w:r>
          </w:p>
        </w:tc>
        <w:tc>
          <w:tcPr/>
          <w:p>
            <w:pPr>
              <w:pStyle w:val="Compact"/>
              <w:jc w:val="left"/>
            </w:pPr>
            <w:r>
              <w:t xml:space="preserve">Evidence of source level weights; fact checker integration</w:t>
            </w:r>
            <w:r>
              <w:t xml:space="preserve"> </w:t>
            </w:r>
            <w:r>
              <w:t xml:space="preserve">(T et al., 2026, p. 2252)</w:t>
            </w:r>
          </w:p>
        </w:tc>
      </w:tr>
      <w:tr>
        <w:tc>
          <w:tcPr/>
          <w:p>
            <w:pPr>
              <w:pStyle w:val="Compact"/>
              <w:jc w:val="left"/>
            </w:pPr>
            <w:r>
              <w:t xml:space="preserve">Diversity incentives</w:t>
            </w:r>
          </w:p>
        </w:tc>
        <w:tc>
          <w:tcPr/>
          <w:p>
            <w:pPr>
              <w:pStyle w:val="Compact"/>
              <w:jc w:val="left"/>
            </w:pPr>
            <w:r>
              <w:t xml:space="preserve">Penalises ideologically narrow sequences</w:t>
            </w:r>
          </w:p>
        </w:tc>
        <w:tc>
          <w:tcPr/>
          <w:p>
            <w:pPr>
              <w:pStyle w:val="Compact"/>
              <w:jc w:val="left"/>
            </w:pPr>
            <w:r>
              <w:t xml:space="preserve">Diversity metrics (entropy, Simpson index) over recommendation sessions</w:t>
            </w:r>
            <w:r>
              <w:t xml:space="preserve"> </w:t>
            </w:r>
            <w:r>
              <w:t xml:space="preserve">(Mariia, 2025, p. 6; T et al., 2026, p. 2252)</w:t>
            </w:r>
          </w:p>
        </w:tc>
      </w:tr>
      <w:tr>
        <w:tc>
          <w:tcPr/>
          <w:p>
            <w:pPr>
              <w:pStyle w:val="Compact"/>
              <w:jc w:val="left"/>
            </w:pPr>
            <w:r>
              <w:t xml:space="preserve">Engagement ceilings</w:t>
            </w:r>
          </w:p>
        </w:tc>
        <w:tc>
          <w:tcPr/>
          <w:p>
            <w:pPr>
              <w:pStyle w:val="Compact"/>
              <w:jc w:val="left"/>
            </w:pPr>
            <w:r>
              <w:t xml:space="preserve">Caps exposure of single items</w:t>
            </w:r>
          </w:p>
        </w:tc>
        <w:tc>
          <w:tcPr/>
          <w:p>
            <w:pPr>
              <w:pStyle w:val="Compact"/>
              <w:jc w:val="left"/>
            </w:pPr>
            <w:r>
              <w:t xml:space="preserve">Detection of hard caps on impressions and watch time per item</w:t>
            </w:r>
            <w:r>
              <w:t xml:space="preserve"> </w:t>
            </w:r>
            <w:r>
              <w:t xml:space="preserve">(T et al., 2026, p. 2252)</w:t>
            </w:r>
          </w:p>
        </w:tc>
      </w:tr>
      <w:tr>
        <w:tc>
          <w:tcPr/>
          <w:p>
            <w:pPr>
              <w:pStyle w:val="Compact"/>
              <w:jc w:val="left"/>
            </w:pPr>
            <w:r>
              <w:t xml:space="preserve">Explainable ranking</w:t>
            </w:r>
          </w:p>
        </w:tc>
        <w:tc>
          <w:tcPr/>
          <w:p>
            <w:pPr>
              <w:pStyle w:val="Compact"/>
              <w:jc w:val="left"/>
            </w:pPr>
            <w:r>
              <w:t xml:space="preserve">User facing reasons for each recommendation</w:t>
            </w:r>
          </w:p>
        </w:tc>
        <w:tc>
          <w:tcPr/>
          <w:p>
            <w:pPr>
              <w:pStyle w:val="Compact"/>
              <w:jc w:val="left"/>
            </w:pPr>
            <w:r>
              <w:t xml:space="preserve">Dashboards stating factors such as prior viewing or trending status</w:t>
            </w:r>
            <w:r>
              <w:t xml:space="preserve"> </w:t>
            </w:r>
            <w:r>
              <w:t xml:space="preserve">(Mariia, 2025, p. 6; T et al., 2026, p. 2252)</w:t>
            </w:r>
          </w:p>
        </w:tc>
      </w:tr>
      <w:tr>
        <w:tc>
          <w:tcPr/>
          <w:p>
            <w:pPr>
              <w:pStyle w:val="Compact"/>
              <w:jc w:val="left"/>
            </w:pPr>
            <w:r>
              <w:t xml:space="preserve">Mandatory audits</w:t>
            </w:r>
          </w:p>
        </w:tc>
        <w:tc>
          <w:tcPr/>
          <w:p>
            <w:pPr>
              <w:pStyle w:val="Compact"/>
              <w:jc w:val="left"/>
            </w:pPr>
            <w:r>
              <w:t xml:space="preserve">External checks of amplification asymmetries and pluralism</w:t>
            </w:r>
          </w:p>
        </w:tc>
        <w:tc>
          <w:tcPr/>
          <w:p>
            <w:pPr>
              <w:pStyle w:val="Compact"/>
              <w:jc w:val="left"/>
            </w:pPr>
            <w:r>
              <w:t xml:space="preserve">Published audit summaries assessing political amplification and diversity</w:t>
            </w:r>
            <w:r>
              <w:t xml:space="preserve"> </w:t>
            </w:r>
            <w:r>
              <w:t xml:space="preserve">(T et al., 2026, p. 2252)</w:t>
            </w:r>
          </w:p>
        </w:tc>
      </w:tr>
    </w:tbl>
    <w:bookmarkEnd w:id="129"/>
    <w:p>
      <w:pPr>
        <w:pStyle w:val="BodyText"/>
      </w:pPr>
      <w:r>
        <w:t xml:space="preserve">Regulation reinforces the need for systematic downranking. Chitra et al. argue that value aligned objectives and downranking of inflammatory content will likely reduce engagement and advertising precision yet are necessary to address structural misalignment between platform revenue models and democratic values</w:t>
      </w:r>
      <w:r>
        <w:t xml:space="preserve"> </w:t>
      </w:r>
      <w:r>
        <w:t xml:space="preserve">(T et al., 2026, p. 2250)</w:t>
      </w:r>
      <w:r>
        <w:t xml:space="preserve">. Their governance framework calls for mandatory annual independent audits that assess compliance with content policies, evidence of political amplification asymmetries, and performance against diversity and pluralism benchmarks, with methodologies and findings published in aggregated form</w:t>
      </w:r>
      <w:r>
        <w:t xml:space="preserve"> </w:t>
      </w:r>
      <w:r>
        <w:t xml:space="preserve">(T et al., 2026, p. 2252)</w:t>
      </w:r>
      <w:r>
        <w:t xml:space="preserve">. Platforms that fail to implement required transparency, auditing and mitigation measures could lose liability protection for algorithmically amplified content, linking downranking directly to legal risk under conditional safe harbour regimes</w:t>
      </w:r>
      <w:r>
        <w:t xml:space="preserve"> </w:t>
      </w:r>
      <w:r>
        <w:t xml:space="preserve">(T et al., 2026, p. 2253)</w:t>
      </w:r>
      <w:r>
        <w:t xml:space="preserve">. Model law provisions go further by prohibiting systems that manipulate behaviour, cause digital addiction, emotional exhaustion, loss of trust or suppress autonomy</w:t>
      </w:r>
      <w:r>
        <w:t xml:space="preserve"> </w:t>
      </w:r>
      <w:r>
        <w:t xml:space="preserve">(Kostenko, 2025, pp. 61–62)</w:t>
      </w:r>
      <w:r>
        <w:t xml:space="preserve">. Algorithms that systematically amplify high arousal outrage or body negative imagery despite known harms risk breach of this ethical responsibility principle. The same model recognises a right to a psycho emotionally safe digital environment and forbids AI systems that create self replicating environments leading to loss of critical and autonomous thinking</w:t>
      </w:r>
      <w:r>
        <w:t xml:space="preserve"> </w:t>
      </w:r>
      <w:r>
        <w:t xml:space="preserve">(Kostenko, 2025, p. 119)</w:t>
      </w:r>
      <w:r>
        <w:t xml:space="preserve">. Within this thesis, these clauses anchor Code Category C in the working taxonomy: configurations where ranking criteria demonstrably privilege harmful and sensational content without meaningful mitigation are classified as unacceptable practices under a Digital Fairness trajectory. Downranking needs to be auditable despite black box constraints. Me</w:t>
      </w:r>
      <w:r>
        <w:t xml:space="preserve">ß</w:t>
      </w:r>
      <w:r>
        <w:t xml:space="preserve">mer and Degeling propose scenario based audits in which regulators or independent experts request data on how recommender systems behaved under specific risk narratives, such as eating disorder or extremist political content, using DSA Article 40 data access rights</w:t>
      </w:r>
      <w:r>
        <w:t xml:space="preserve"> </w:t>
      </w:r>
      <w:r>
        <w:t xml:space="preserve">(Meßmer &amp; Degeling, 2023, p. 21)</w:t>
      </w:r>
      <w:r>
        <w:t xml:space="preserve">. Gerr recommends applying diversity and distributional fairness metrics to curated datasets from Facebook, YouTube and TikTok to detect whether harmful narratives receive disproportionate exposure</w:t>
      </w:r>
      <w:r>
        <w:t xml:space="preserve"> </w:t>
      </w:r>
      <w:r>
        <w:t xml:space="preserve">(Mariia, 2025, p. 5; 2025, p. 27)</w:t>
      </w:r>
      <w:r>
        <w:t xml:space="preserve">. Given that this thesis cannot inspect proprietary ranking code, the Ethical AI Audit Toolkit relies on such external audits, transparency dashboards and logged exposure patterns as evidence that harmful and sensational content is being structurally downranked rather than opportunistically demoted. Any pro social pivot that retains engagement while complying with AI Act, DSA and AI Law Model principles will therefore have to demonstrate: value aligned objectives that reduce the learned reward of harmful sensationalism; measurable improvements in diversity and affective balance of feeds; and independent audit trails showing sustained downranking of content associated with mental health harms and democratic risks</w:t>
      </w:r>
      <w:r>
        <w:t xml:space="preserve"> </w:t>
      </w:r>
      <w:r>
        <w:t xml:space="preserve">(Hu, 2025, p. 3; Kostenko, 2025, pp. 61–62; Mariia, 2025, p. 5; T et al., 2026, p. 2252)</w:t>
      </w:r>
      <w:r>
        <w:t xml:space="preserve">.</w:t>
      </w:r>
    </w:p>
    <w:bookmarkEnd w:id="130"/>
    <w:bookmarkStart w:id="131" w:name="sec:explainable_recos_feedback_loops"/>
    <w:p>
      <w:pPr>
        <w:pStyle w:val="Heading3"/>
      </w:pPr>
      <w:r>
        <w:rPr>
          <w:rStyle w:val="SectionNumber"/>
        </w:rPr>
        <w:t xml:space="preserve">9.2.3</w:t>
      </w:r>
      <w:r>
        <w:tab/>
      </w:r>
      <w:r>
        <w:t xml:space="preserve">Explainable Recommendations and User Feedback Loops</w:t>
      </w:r>
    </w:p>
    <w:p>
      <w:pPr>
        <w:pStyle w:val="FirstParagraph"/>
      </w:pPr>
      <w:r>
        <w:t xml:space="preserve">Explainability in recommender systems becomes tangible only when users see, in the interface, why they are being shown certain items and how human oversight operates on top of algorithmic outputs. Human in the loop grading provides a concrete pattern: course syllabi must contain clear disclosure of AI use, specifying which tasks are automated, when educators will review or override AI outputs, and how far final grades depend on human confirmation</w:t>
      </w:r>
      <w:r>
        <w:t xml:space="preserve"> </w:t>
      </w:r>
      <w:r>
        <w:t xml:space="preserve">(Selvam &amp; González Vallejo, 2025, p. 15)</w:t>
      </w:r>
      <w:r>
        <w:t xml:space="preserve">. Feedback reports explicitly tag comments as "AI generated," "human reviewed," or "human added," with colour or icon coding so students grasp the relative authority of each contribution. Internal testing showed that such annotated reports increased satisfaction and trust, especially when students saw that instructors had modified or rejected machine scores</w:t>
      </w:r>
      <w:r>
        <w:t xml:space="preserve"> </w:t>
      </w:r>
      <w:r>
        <w:t xml:space="preserve">(Selvam &amp; González Vallejo, 2025, p. 15; 2025, p. 20)</w:t>
      </w:r>
      <w:r>
        <w:t xml:space="preserve">. This structure points directly to pro social recommender design. Content feeds can mark items as "algorithmically suggested" and, where relevant, "editorially curated" or " friend recommended," instead of presenting all items as opaque output. From an audit perspective, interfaces should expose the source of a suggestion and the extent of human validation, mirroring the three way distinction used in grading dashboards. In HITL grading, reviewers see AI scores, SHAP based explanations, and editable feedback side by side, with every approval, modification, or override logged with timestamps and reviewer identifiers</w:t>
      </w:r>
      <w:r>
        <w:t xml:space="preserve"> </w:t>
      </w:r>
      <w:r>
        <w:t xml:space="preserve">(Selvam &amp; González Vallejo, 2025, p. 11; 2025, p. 17)</w:t>
      </w:r>
      <w:r>
        <w:t xml:space="preserve">. Recommender controls can adopt the same pattern: expose model rationales to internal moderators, allow them to adjust or suppress recommendations, and keep dual logs as evidence of meaningful oversight</w:t>
      </w:r>
      <w:r>
        <w:t xml:space="preserve"> </w:t>
      </w:r>
      <w:r>
        <w:t xml:space="preserve">(Selvam &amp; González Vallejo, 2025, p. 11; 2025, p. 20)</w:t>
      </w:r>
      <w:r>
        <w:t xml:space="preserve">. Legal and ethical frameworks demand this kind of transparency. Kostenko’s transparency principle requires that the architecture, algorithmic logic, data sources, purpose, and potential implications of AI operation be "understood, accessible, verifiable, and explanatory" at every lifecycle stage. Users must be informed before any AI interaction about the algorithmic nature of the process, the limits of autonomy, the level of human control, and available appeal channels, while covert or manipulative use in socially significant contexts is prohibited</w:t>
      </w:r>
      <w:r>
        <w:t xml:space="preserve"> </w:t>
      </w:r>
      <w:r>
        <w:t xml:space="preserve">(Kostenko, 2025, p. 67)</w:t>
      </w:r>
      <w:r>
        <w:t xml:space="preserve">. Explainability is defined as providing meaningful, structured interpretations of decision logic, including variable significance, calculation methods, human influence and uncertainty, adapted to the user’s digital literacy</w:t>
      </w:r>
      <w:r>
        <w:t xml:space="preserve"> </w:t>
      </w:r>
      <w:r>
        <w:t xml:space="preserve">(Kostenko, 2025, p. 68)</w:t>
      </w:r>
      <w:r>
        <w:t xml:space="preserve">. Dashboards that show "why this post" in accessible language, and link to appeal procedures, are therefore not optional enhancements but implementations of this principle. User feedback loops should not stop at passive explanations. Leon’s Algorithmic Impact Navigator positions organisations as the first line of accountability and calls for continuous impact evaluations, stakeholder engagement, and transparent records across the lifecycle</w:t>
      </w:r>
      <w:r>
        <w:t xml:space="preserve"> </w:t>
      </w:r>
      <w:r>
        <w:t xml:space="preserve">(Leon, 2026, p. 2)</w:t>
      </w:r>
      <w:r>
        <w:t xml:space="preserve">. That implies mechanisms through which users and civil society can report harmful recommendations, request clarification, and see systemic corrections over time. HITL grading already integrates such a loop: students are informed of their right to seek clarification or appeal grades, receive information on what documentation will be provided (including AI outputs and audit trails), and are assured that appeals are reviewed solely by human faculty</w:t>
      </w:r>
      <w:r>
        <w:t xml:space="preserve"> </w:t>
      </w:r>
      <w:r>
        <w:t xml:space="preserve">(Selvam &amp; González Vallejo, 2025, p. 15)</w:t>
      </w:r>
      <w:r>
        <w:t xml:space="preserve">. A comparable pattern in social feeds would give users accessible channels to challenge personalised content, with clear statements that appeals about harmful or misleading recommendations are handled by human teams, backed by decision logs. Explainable recommendations also depend on auditable models. Bahangulu and Owusu Berko argue that explainable AI techniques such as SHAP and LIME make models auditable and support compliance with the EU AI Act and GDPR by revealing which features drive predictions</w:t>
      </w:r>
      <w:r>
        <w:t xml:space="preserve"> </w:t>
      </w:r>
      <w:r>
        <w:t xml:space="preserve">(Bahangulu &amp; Owusu-Berko, 2025, p. 11)</w:t>
      </w:r>
      <w:r>
        <w:t xml:space="preserve">. They stress that regulators struggle with black box systems and call for independent AI audits, external oversight committees, and global standards to strengthen accountability</w:t>
      </w:r>
      <w:r>
        <w:t xml:space="preserve"> </w:t>
      </w:r>
      <w:r>
        <w:t xml:space="preserve">(Bahangulu &amp; Owusu-Berko, 2025, p. 9)</w:t>
      </w:r>
      <w:r>
        <w:t xml:space="preserve">. While this thesis cannot access proprietary recommender internals directly, an Ethical AI Audit Toolkit can still require that platforms maintain internal XAI pipelines and expose aggregated explanation summaries to regulators and vetted researchers, consistent with DSA style data access provisions and AI Law Model requirements on audit logs and technical dossiers</w:t>
      </w:r>
      <w:r>
        <w:t xml:space="preserve"> </w:t>
      </w:r>
      <w:r>
        <w:t xml:space="preserve">(Bahangulu &amp; Owusu-Berko, 2025, p. 9; Kostenko, 2025, p. 67; Meßmer &amp; Degeling, 2023, p. 19)</w:t>
      </w:r>
      <w:r>
        <w:t xml:space="preserve">. Finally, feedback loops must be monitored for unequal effects. Hu’s Algorithmic Impact Assessment Scale (AIAS 5) quantifies mental health risks of personalised feeds through dimensions such as emotional volatility, sleep disruption and compulsive usage, and is proposed as part of a regulatory toolkit that includes a dynamic transparency index and early warning system for addictive interactions</w:t>
      </w:r>
      <w:r>
        <w:t xml:space="preserve"> </w:t>
      </w:r>
      <w:r>
        <w:t xml:space="preserve">(Hu, 2025, p. 20; 2025, p. 19)</w:t>
      </w:r>
      <w:r>
        <w:t xml:space="preserve">. Combining such metrics with explainable interfaces and human validated overrides, as in HITL systems, suggests a concrete pro social pathway: design recommendation dashboards that both explain and track impacts, then connect them to user and regulator feedback channels that can trigger model adjustment or throttling when harm indicators rise, within the limits of externally observable behaviour and documentation</w:t>
      </w:r>
      <w:r>
        <w:t xml:space="preserve"> </w:t>
      </w:r>
      <w:r>
        <w:t xml:space="preserve">(Hu, 2025, p. 20; Leon, 2026, p. 2; Selvam &amp; González Vallejo, 2025, p. 11)</w:t>
      </w:r>
      <w:r>
        <w:t xml:space="preserve">.</w:t>
      </w:r>
    </w:p>
    <w:bookmarkEnd w:id="131"/>
    <w:bookmarkEnd w:id="132"/>
    <w:bookmarkStart w:id="136" w:name="Xe216092355b5f591550b6864b52ce262888d048"/>
    <w:p>
      <w:pPr>
        <w:pStyle w:val="Heading2"/>
      </w:pPr>
      <w:r>
        <w:rPr>
          <w:rStyle w:val="SectionNumber"/>
        </w:rPr>
        <w:t xml:space="preserve">9.3</w:t>
      </w:r>
      <w:r>
        <w:tab/>
      </w:r>
      <w:r>
        <w:t xml:space="preserve">Alternative Engagement and Monetization Models</w:t>
      </w:r>
    </w:p>
    <w:bookmarkStart w:id="133" w:name="sec:subscription_freemium_streams"/>
    <w:p>
      <w:pPr>
        <w:pStyle w:val="Heading3"/>
      </w:pPr>
      <w:r>
        <w:rPr>
          <w:rStyle w:val="SectionNumber"/>
        </w:rPr>
        <w:t xml:space="preserve">9.3.1</w:t>
      </w:r>
      <w:r>
        <w:tab/>
      </w:r>
      <w:r>
        <w:t xml:space="preserve">Subscription and Freemium Revenue Streams</w:t>
      </w:r>
    </w:p>
    <w:p>
      <w:pPr>
        <w:pStyle w:val="FirstParagraph"/>
      </w:pPr>
      <w:r>
        <w:t xml:space="preserve">Subscription and freemium revenue designs become ethically charged once they are structurally coupled to dark commercial patterns that exploit cognitive biases rather than informed choice. Empirical work on Indian digital platforms reports that interface interference and obstruction patterns are widely deployed: approximately 87 percent of major platforms examined in one audit used at least one dark pattern, with interface interference present in 70 percent of cases and obstruction patterns in 63 percent, often manifesting in difficult subscription cancellation flows and unexpected charges for ongoing services [6295677]. Consumer survey data from the same study underline how these structures translate into harm: 55 percent of respondents reported unexpected charges and 47 percent experienced difficulty cancelling subscriptions or services, while only 39 percent were familiar with the term "dark patterns," which signals a pronounced information asymmetry between platforms and users [6295677]. Within subscription and freemium funnels, tactics such as "roach motels" and subscription traps operationalise this asymmetry: sign‑up is effortless and optimised, whereas cancellation is deliberately complex and time consuming, creating recurring payments that diverge from users’ initial intentions and eroding autonomy and informed consent [6295677]. Research in marketing and consumer behaviour frames such tactics not simply as UX issues but as a systematic "conversion–trust tradeoff." Liu and Keshavarz argue that dark commercial patterns increase immediate behavioural compliance yet corrode perceived fairness, autonomy and trust, which are essential antecedents of long term relationship quality, loyalty and reduced complaint or churn intentions [6087241]. Their conceptual review, which integrates human–computer interaction taxonomies with persuasion knowledge, reactance and fairness theories, develops a typology of five dark pattern categories: information distortion, interface asymmetry, social and temporal pressure, choice obstruction, and forced action or data extraction [6087241]. Subscription and freemium models that depend on hidden fees, default opt‑ins or opaque auto‑renewal clauses map directly onto information distortion and choice obstruction, while complex cancellation workflows correspond to interface asymmetry and obstruction [6087241][6295677]. Within the conversion–trust framework, a freemium tier that nudges users into paid auto‑renewal through pre‑ticked boxes and dense legal text may show higher short term upgrades but risks heightened reactance, perceived injustice, and ultimately lower customer lifetime value once users recognise the manipulation [6087241]. Evidence from experimental work reinforces this conceptual diagnosis. Luguri and Strahilevitz, cited in both conceptual and regulatory analyses, show that dark patterns can substantially alter subscription decisions, although more aggressive implementations tend to trigger consumer backlash that can damage brand relationships and prompt regulatory scrutiny [6087241][6295677]. In the Indian audit, consumers’ reported experiences of unexpected charges and difficulty cancelling services, in combination with low awareness of dark patterns, illustrate the practical manifestation of this backlash potential: as awareness and regulatory discourse expand, what previously remained latent dissatisfaction can turn into explicit complaints and legal challenges [6295677]. From a pro‑social design perspective, this creates a strategic inflection point: continuing to optimise subscription funnels purely for conversion under increasing dark‑pattern scrutiny becomes commercially precarious once trust and perceived fairness are recognised as key marketing outcomes rather than soft externalities [6087241]. European regulatory trajectories sharpen this inflection point. Gerr’s mixed‑methods assessment of AI‑driven content curation in European social networks analyses the Digital Services Act (DSA), the EU AI Act and complementary national initiatives as a convergent regulatory framework for transparency, accountability and diversity in algorithmic systems [5142478]. While Gerr’s focus is on content diversity and media pluralism, the study stresses that DSA and AI Act regimes are being operationalised through institutions such as the European Centre for Algorithmic Transparency (ECAT), which is tasked with promoting fair algorithmic practices and scrutinising platform compliance [5142478]. Subscription and freemium revenue streams that rely on addictive recommender optimisation and opaque premium features sit within this broader fairness agenda: ECAT’s role in auditing recommendation practices implies that interfaces which obscure the economic terms of engagement or couple access to diverse content with manipulative upselling may attract attention under DSA transparency and accountability themes [5142478]. Policy analysis of democratic AI recommendation governance also signals that European regulation is moving toward explicit requirements for "value‑aligned objective functions" and explainable recommendation criteria [6502223]. Chitra et al propose that recommendation systems should include engagement ceilings and diversity incentives in their objective functions and be required to provide user‑accessible explanations that clarify why content is being recommended, in line with EU AI Act transparency principles [6502223]. In subscription or freemium settings, this has direct implications for premium add‑ons that promise "enhanced" or "ad‑free" feeds: if objective functions and explanation interfaces must become more transparent, hiding aggressive engagement maximisation or discriminatory content exposure behind paid tiers becomes harder to reconcile with fairness‑oriented governance expectations [6502223][5142478]. The DSA model of mandatory audits for very large online platforms, cited by Chitra et al as a precedent for independent assessment of recommendation systems, provides a reference point for similar scrutiny of monetisation‑linked interface choices, including subscription funnels and freemium feature gating [6502223]. Within this report’s working taxonomy, such subscription and freemium designs are classified under Code Category C: "Prohibited or Critical Risk Nudges" when they rely on dark pattern categories identified by Liu and Keshavarz and by regulatory audits, such as information distortion (for instance, obscured pricing or misleading trial terms), interface asymmetry (for instance, multi‑step cancellation paths hidden under vague menu labels), and choice obstruction (for instance, blocking access to basic privacy controls unless users accept bundled subscriptions) [6087241][6295677]. This classification is not an official legal standard but an internal risk lens aligned with the direction of EU digital fairness policy, which increasingly treats manipulative design as a form of deception or unfair practice subject to enforcement [5142478][6502223]. Platforms that keep subscription upgrades decoupled from such patterns and instead provide clear pricing, symmetric consent and equally simple subscription and cancellation flows would fall into lower risk categories within this taxonomy, although definitive compliance assessments would depend on future DFA provisions and ECAT‑led interpretive practice [5142478]. Marketing‑oriented analysis clarifies how a pro‑social pivot in subscription and freemium streams could be structured. Liu and Keshavarz recommend that firms evaluate interface design using an expanded metrics set that includes trust, complaint, refund, cancellation and retention indicators, not only raw conversion [6087241]. Framed as management guidance, this suggests that a subscription funnel designed under a Digital Fairness trajectory should be stress‑tested against multiple questions: does the trial‑to‑paid transition rely on pre‑selected defaults and information hiding, or do users explicitly confirm pricing and renewal conditions; are cancellation pathways symmetric with sign‑up in terms of visibility and number of steps; and do post‑subscription communications avoid social or temporal pressure tactics such as countdown timers and repeated "last chance" notifications that fall under social and temporal pressure dark patterns [6087241]? Replacing such tactics with clear, periodic reminders about upcoming renewals and easy downgrade options would align revenue streams with the conversion–trust framework’s emphasis on long term relationship quality rather than short term compliance [6087241]. A complementary concern relates to the intersection between subscription design and algorithmic content curation. Gerr’s study shows that AI‑driven personalisation has material effects on media diversity and democratic values, and that regulatory debates increasingly focus on exposure to diverse information sources rather than mere content volume [5142478]. When premium subscriptions offer "priority" or "curated" feeds, there is a risk that commercial differentiation undermines diversity goals by amplifying narrow engagement‑maximising content for paying users. Chitra et al’s proposal for explicit diversity incentives and engagement ceilings in recommendation objective functions provides a conceptual basis for auditing such premium tiers: if a paid subscription systematically relaxes diversity constraints in favour of high‑engagement content, it conflicts with both the technical design standards advocated in democratic AI scholarship and the normative expectations embedded in EU AI Act transparency and fairness provisions [6502223][5142478]. A pro‑social subscription model would instead commit to diversity metrics such as Shannon entropy or Simpson’s diversity index, which Gerr applies to curated streams, and ensure that paying for a subscription improves user control and quality without reducing exposure breadth [5142478]. The combined regulatory and marketing evidence supports a reorientation of subscription and freemium strategies away from sludge‑based retention and toward fair design principles. Khare et al document that manipulative interface practices in India are deeply intertwined with behavioural analytics and A/B testing, which have increased the sophistication of dark patterns in subscription contexts [6295677]. Yet the same analysis highlights growing regulatory intervention, such as guidelines from the European Data Protection Board on manipulative consent flows and privacy controls, which signal a broader shift against deceptive choice architecture [6295677]. Liu and Keshavarz argue that marketing scholarship can respond by developing models that treat dark commercial patterns as strategically fragile: gains in sign‑up rates are offset by long term trust erosion, complaint escalation and reputational harm, especially once regulators and consumer advocates begin to name and publicise specific pattern types [6087241]. For an Ethical AI Audit Toolkit focused on algorithmic addiction and social recommender systems, subscription and freemium streams therefore become a central audit object. Relevant audit dimensions, derived from the cited studies, would include: classification of interface elements against the five dark pattern categories [6087241]; measurement of cancellation friction through observable UX steps, mirroring the obstruction metrics reported in Indian platform audits [6295677]; assessment of whether premium tiers modify recommendation objectives in ways that conflict with diversity and engagement ceilings proposed in democratic AI governance frameworks [6502223][5142478]; and evaluation of whether explanatory interfaces for premium benefits satisfy transparency expectations grounded in EU AI Act debates [6502223]. Revenue models that pass this audit would demonstrate that commercial goals can be aligned with trust, fairness and democratic values, whereas models that fail would be flagged under Code Category C as requiring redesign or decommissioning within a Digital Fairness trajectory [6087241][6295677][5142478][6502223]. Methodologically, this section rests entirely on secondary analyses of dark pattern audits, conceptual marketing reviews and regulatory policy studies. There is no access to proprietary billing logs, churn telemetry, or internal objective functions of recommender systems; assessments of subscription and freemium mechanics rely instead on published UX descriptions, survey data and normative proposals about algorithmic governance [6087241][6295677][5142478][6502223]. This limitation reinforces the need for the type of research data access and independent auditing that Chitra et al call for, where platforms above a specified scale are required to provide vetted researchers with data on recommendation sequences and to submit their systems to periodic third‑party audits, echoing the DSA’s approach to algorithmic accountability [6502223]. Within such a regime, future work could empirically test how specific subscription interface changes affect both engagement and trust outcomes, extending the conversion–trust framework from conceptual analysis to operational design benchmarks. It is worth noting that POI and other recommendation literatures have repeatedly raised concerns about opaque, black‑box models and the uneven quality of public datasets, which may limit the external validity of offline audits and complicate claims about harm or responsibility in deployed systems</w:t>
      </w:r>
      <w:r>
        <w:t xml:space="preserve"> </w:t>
      </w:r>
      <w:r>
        <w:t xml:space="preserve">(Sánchez &amp; Bellogín, 2022, p. 3)</w:t>
      </w:r>
    </w:p>
    <w:bookmarkEnd w:id="133"/>
    <w:bookmarkStart w:id="134" w:name="sec:micro_learning_positive_habits"/>
    <w:p>
      <w:pPr>
        <w:pStyle w:val="Heading3"/>
      </w:pPr>
      <w:r>
        <w:rPr>
          <w:rStyle w:val="SectionNumber"/>
        </w:rPr>
        <w:t xml:space="preserve">9.3.2</w:t>
      </w:r>
      <w:r>
        <w:tab/>
      </w:r>
      <w:r>
        <w:t xml:space="preserve">Micro-Learning and Positive Habit Loops</w:t>
      </w:r>
    </w:p>
    <w:p>
      <w:pPr>
        <w:pStyle w:val="FirstParagraph"/>
      </w:pPr>
      <w:r>
        <w:t xml:space="preserve">Replacing infinite scroll with bounded, pedagogically structured sequences requires a different conception of engagement: not maximizing time-on-platform but engineering short, self-contained episodes that build competence and agency. Research on gamified education provides an empirical foundation for this pivot, since platforms such as Legends of Learning, Kahoot! and GradeCraft already operationalise engagement as a series of finite challenges, feedback cycles and progression milestones rather than an endless stream of content [9]. Tokarieva and Chyzhykova report that when gamification is embedded "systemically" in course architecture, with clearly delineated tasks and stages, personalised configurations lead to approximately 35–40 percent higher engagement and 25–30 percent better learning outcomes compared to generic, one-size-fits-all designs [9]. Their comparative analysis underscores that grading, progression and feedback are restructured into transparent goal units where failure becomes diagnostic information instead of a sanction, which is associated with gains in critical thinking and sustained effort [9]. Translating this logic to social recommender systems suggests that engagement loops should be defined as short missions with explicit objectives and closure, not as open-ended recommendation cascades. Short-form educational games that use token economies illustrate how micro learning episodes can be aligned with habit formation without defaulting to compulsive use. Anisa and Maisa’s analysis of Blooket describes a pattern in which students answer compact vocabulary question sets, receive tokens for correct responses, and then allocate these tokens to expand a virtual restaurant [7]. The tokens are not simply shallow points: they function as a "currency for creative agency" embedded in a narrative context that requires planning and strategic decision making [7]. Each loop has a recognisable arc: question batch, instant correctness feedback, token update, then a discrete resource allocation decision. Tokens and immediate responses act as local reinforcers, while the surrounding story scaffold supports longer-term goals and identity ("my restaurant") [7]. The review stresses that such token economies support autonomy and competence only when rewards are embedded in goal oriented, context sensitive sequences rather than generic point schemes that accrue indefinitely [7]. Overly punitive feedback or vague reward contingencies, particularly when combined with infrastructure problems such as disconnected networks or system bugs, generate technostress and can undermine intrinsic motivation through overjustification [7]. This dynamic is directly relevant for social recommender environments where engagement often collapses into opaque like counts or watch metrics, detached from meaningful user goals. Micro structured human‑in‑the‑loop (HITL) grading architectures in higher education offer another template for positive habit loops that avoid continuous surveillance. Selvam and González Vallejo describe a four layer framework that segments assessment into: pre grading configuration, AI pre assessment, human review, and finalisation with feedback [5][9][21]. Students do not experience this as a constant stream of micro notifications. Instead, each assignment forms a bounded episode: it starts with a submission aligned to a rubric, moves through AI-generated suggestions clearly marked as "automated," proceeds to instructor comments explicitly tagged as "final," and concludes with dual score logs that preserve both machine and human evaluations [21]. In the reported university pilot, this structure reduced grading time, improved consistency, and increased student trust, with more than 80 percent of students valuing explicit transparency about AI involvement [21]. From a behavioural perspective, this pattern creates repeated, predictable feedback cycles with clear beginnings and ends, which contrasts sharply with the unstructured monitoring and infinite performance metrics common in social media systems. For pro social recommender design, the implication is that feedback about usage or content quality should arrive in defined sessions, not as continuous engagement pressure. Educational gamification research also points to the importance of systemic progression structures that normalise iteration and remove fear of missing out. Tokarieva and Chyzhykova report that "systemic gamification" across Legends of Learning, Kahoot! and GradeCraft embeds clear stages, criteria and progression paths, so learners understand what constitutes completion and how to move forward [9]. These systems set transparent objectives and treat error as an expected part of the learning cycle, not a reason to lose status [9]. When mapped to social recommender systems, positive habit loops would similarly define finite content batches around user-relevant goals, such as completing a three-clip explainer set or a short reflection activity, then explicitly signal completion. This reconfigures engagement from open-ended scrolling to rhythmical cycles of effort, feedback and rest. Regulatory and governance debates in Europe sharpen the argument that such structured loops are not just pedagogically desirable but may become regulatory expectations under digital fairness regimes. Kostenko’s AI Law Model frames accountability as a "key democratic principle" that requires controlled, verifiable and publicly reviewable impacts of AI systems rather than opaque behavioural steering [25]. The model also introduces digital sovereignty as an obligation for states to maintain control over critical digital infrastructure, data, algorithms and computing power, including localization of training and operational data for educational and other critical sectors [25]. For micro learning oriented social recommenders, this implies auditability of session boundaries, reward structures and feedback mechanisms, as well as clarity about where and how engagement data that shape habit loops are stored and processed. An Ethical AI Audit Toolkit aligned with this governance philosophy would require evidence that engagement is organised into finite modules with natural exit points, along with event logs that document when sessions start and end, when feedback is delivered, and when human oversight intervenes, mirroring the dual logging and segmented feedback in HITL grading environments [21][25]. Broader discussions of AI governance underline that such auditability must not rely solely on corporate self assessment. Bahangulu and Owusu-Berko highlight that while companies such as Google and Meta have adopted internal AI principles and ethics divisions, self regulation is often criticised for limited transparency and inconsistent enforcement [7461574]. Their analysis notes calls for independent AI audits, external oversight committees and alignment with emerging regulatory frameworks such as the EU AI Act and OECD AI Principles to ensure fairness, accountability and trust [7461574]. Enforcing these frameworks is difficult where models are opaque, yet regulators increasingly expect explainability measures and bias audits, accompanied by strict penalties under instruments like the EU AI Act [7461574]. For micro learning and positive habit loops, this governance context suggests that platforms should be prepared to subject engagement architectures to independent review, demonstrating that short-session recommendation patterns do not systematically push users into addictive loops, and that any token or badge system is tied to user relevant outcomes rather than raw watch time. Research on algorithmically mediated short‑video addiction among college students underscores why finite, goal structured loops are ethically salient. Li documents that Chinese short‑video platforms rely on neural network based recommendation systems combined with micro duration stimulus designs and variable reward schedules, which together drive users into an "auto pilot mode" of persistent scrolling [8958037]. Infinite scrolling, auto play and push notifications are explicitly described as interface features that, in combination with personalised recommendations, form an "algorithmic addiction loop" [8958037]. The European Commission’s investigation into TikTok under the Digital Services Act highlights similar concerns, with the DSA inquiry focusing on infinite scroll, autoplay and notifications as manipulative design that impairs users’ ability to make free and informed decisions [8958037]. College students, situated at a developmental stage with unstable self identity and still maturing executive functions, are described as particularly vulnerable to these loops, with excessive use linked to diminished academic concentration, weakened social skills and heightened anxiety and depression [8958037]. Micro learning oriented designs that break continuous engagement into delineated segments, with transparent objectives and explicit stopping cues, directly counter the patterns identified in these studies. Emotional AI safety research adds another dimension: positive habit loops should not only address time allocation but also emotional dependency. Song outlines a "bi‑weekly psychological assessment" module in an emotional AI system that adapts usage based on risk levels [9738431]. For adolescents at high risk of depression, the system enforces this scheduled assessment and restricts late night emotional topics to avoid compounding psychological burdens [9738431]. A dynamic permission model integrates with medical institution data so that when a user is diagnosed with a mental illness, the system switches into a "treatment mode" that limits non professional AI emotional guidance and opens API interfaces to hospital prescription systems, ensuring that users receive professional support rather than unbounded, pseudo therapeutic interaction [9738431]. Before market release, such products must pass a "mental health impact simulation test" that uses generative adversarial networks to model long term effects on vulnerable groups, such as individuals with social anxiety, thereby identifying potential harms pre deployment [9738431]. Although these mechanisms are situated in the domain of emotional AI, they point toward micro learning and habit loops that are explicitly tailored to user risk profiles, include enforced rest or reduced interaction in evenings, and provide escalation paths to human care where necessary. Independent learning among autistic individuals introduces further design constraints on positive habit loops. Adako and colleagues describe how independent learning for persons on the autism spectrum depends on structured tasks, predictable routines, and AI tools that assist with planning, time management and self advocacy [6454369]. Systems must account for sensory overload and executive function challenges, which implies interfaces that allow the configuration of batch sizes, pacing and notification frequencies according to individual preferences and communication needs [6454369]. For social recommender systems, this evidence suggests that micro learning sequences should never be a fixed engagement template. Users, particularly neurodivergent ones, need controls over how many items appear in a batch, how often prompts are delivered, and whether certain sensory or social stimuli are filtered or slowed, so that habit formation aligns with autonomy and comfort rather than generic engagement curves [6454369][7][9]. Research on organisational learning and ethical AI marketing strategy adds a governance layer relevant to how micro learning loops are conceived and managed inside firms. Asante and Adeoba argue that ethical AI practices are context dependent and shaped by organisational cultures, stakeholder expectations and governance structures interpreted through Communities of Practice and corporate social responsibility (CSR) frames [8200246]. Their qualitative, secondary research design shows that collaborative learning within organisations, rather than static rulebooks, supports the development of ethical mechanisms for AI driven marketing [8200246]. Applying this to micro learning and positive habit loops in social recommendation, design teams would need to treat engagement architectures as ongoing sites of organisational reflection, using internal communities of practice to scrutinise whether micro modules genuinely serve user learning and wellbeing or simply repackage engagement optimisation under an ethical vocabulary. Regulatory work on AI in credit scoring, although in a different sector, underscores structural themes that can be transposed to engagement loop auditing. Cao argues that algorithmic fairness should be institutionalised through mandated periodic fairness audits, bias detection tests and corrective actions, supported by inclusive data practices and cross sector collaboration [2855351]. Transparency techniques such as SHAP and LIME are cited as ways to improve stakeholders’ trust and enable meaningful oversight of opaque models [2855351]. While these methods address financial decision making rather than social engagement, the procedural lesson is clear: micro learning loops and token economies within social recommenders should be subjected to regular audits that examine differential impacts across demographic and psychological groups, with explicit remediation when harms are detected. Cross sector and international collaboration is recommended to develop unified standards for fairness, transparency and accountability, which would equally apply to interaction design parameters such as recommended session length or reward contingencies [2855351]. Bringing these threads together, a pro social engagement model grounded in micro learning and positive habit loops would draw on several evidenced design principles: - Finite, goal oriented sequences: Sessions structured as short tasks with explicit objectives, transparent progression criteria and end points, as in systemic gamification and HITL grading [9][21]. - Meaningful rewards and narratives: Token systems that link immediate feedback to creative agency and longer term goals, avoiding indiscriminate point inflation and punitive feedback [7]. - Transparent AI involvement and logs: Clear labelling of automated versus human contributions, dual logging of interactions and outcomes, and documentation of session boundaries to support external audits and accountability in line with AI Law Model expectations [21][25][7461574]. - Risk sensitive modulation: Assessment modules and dynamic permissions that adapt interaction frequency and content restrictions to mental health risks, with escalation to professional care where indicated [9738431]. - User configurable pacing and sensory load: Controls for batch size, pacing and notification patterns, tailored to cognitive and sensory profiles of users, including autistic learners [6454369]. - Independent oversight and standards alignment: External audits, oversight committees and alignment with regional regulatory frameworks such as the EU AI Act and OECD AI Principles, to ensure that engagement patterns do not exploit vulnerabilities in the way short video platforms currently do [7461574][8958037]. Evidence from education, emotional AI, mental health safety, digital governance and organisational learning converges on a core insight: micro learning and positive habit loops can sustain engagement while reducing algorithmic addiction risks if they are designed as bounded, meaningful, audited episodes that respect cognitive limits and democratic accountability [7][9][21][25][6454369][7461574][8958037][9738431][8200246][2855351]. Practical design work should also recognise that social-aware recommendation techniques can exploit network structure and learned edge weights to prioritise items or peers that map neatly onto short sessions; supervised graph-based methods appear to offer higher precision and better ranking metrics in friend and item recommendation tasks, which may help operationalise finite, goal-aligned batches in practice</w:t>
      </w:r>
      <w:r>
        <w:t xml:space="preserve"> </w:t>
      </w:r>
      <w:r>
        <w:t xml:space="preserve">(Campana &amp; Delmastro, 2023, p. 30)</w:t>
      </w:r>
      <w:r>
        <w:t xml:space="preserve">.</w:t>
      </w:r>
    </w:p>
    <w:bookmarkEnd w:id="134"/>
    <w:bookmarkStart w:id="135" w:name="X5c8dc2b66324310ab2b354b4b7072402d65e42c"/>
    <w:p>
      <w:pPr>
        <w:pStyle w:val="Heading3"/>
      </w:pPr>
      <w:r>
        <w:rPr>
          <w:rStyle w:val="SectionNumber"/>
        </w:rPr>
        <w:t xml:space="preserve">9.3.3</w:t>
      </w:r>
      <w:r>
        <w:tab/>
      </w:r>
      <w:r>
        <w:t xml:space="preserve">Advertiser Alignment with Digital Wellbeing</w:t>
      </w:r>
    </w:p>
    <w:p>
      <w:pPr>
        <w:pStyle w:val="FirstParagraph"/>
      </w:pPr>
      <w:r>
        <w:t xml:space="preserve">Advertisers that rely on engagement driven social media environments are increasingly exposed to the same structural conflicts between attention maximisation and mental health that have been documented for recommender systems more broadly. Evidence from qualitative and empirical work shows that algorithmic personalisation tends to concentrate user exposure on emotionally charged and sensational content, which increases time on platform but correlates with depressive symptoms, anxiety and compulsive usage patterns, particularly in adolescents and vulnerable groups [3303310][5142478]. In parallel, dark commercial patterns in e‑commerce and subscription flows exploit cognitive biases to drive conversions and data capture, reinforcing a monetisation logic that depends on friction, opacity and behavioural targeting rather than informed choice [6295677]. Aligning advertising with digital wellbeing within such an environment therefore requires advertisers to reposition themselves away from these exploitative optimisation levers and toward transparent, diversity aware and consent respecting practices that remain commercially viable under the EU’s tightening regulatory regime, including the Digital Services Act and planned Digital Fairness reforms [6502223][7896734].</w:t>
      </w:r>
    </w:p>
    <w:p>
      <w:pPr>
        <w:pStyle w:val="BodyText"/>
      </w:pPr>
      <w:r>
        <w:t xml:space="preserve">Sanikidze’s analysis of the Digital Fairness Act proposal is particularly explicit that "addictive product designs and unfair personalisation" are being targeted as unfair commercial practices, in complement to DSA and DMA provisions on platform responsibility and dark patterns [7896734]. This creates a forward looking constraint on advertisers that still depend on campaigns which are only profitable when embedded in manipulative UX flows or hyper‑personalised feeds optimised solely for engagement. As regulators scrutinise design features that make cancelling subscriptions harder than signing up or that push users through deceptive verification and consent flows, the surfaces through which advertisers previously harvested impressions and data without meaningful consent become legally risky [7896734]. In this regulatory trajectory, advertising strategies that assume limitless tracking, maximised session length and opaque behavioural profiling are exposed as contingent rather than stable business assets.</w:t>
      </w:r>
    </w:p>
    <w:p>
      <w:pPr>
        <w:pStyle w:val="BodyText"/>
      </w:pPr>
      <w:r>
        <w:t xml:space="preserve">Qualitative work on dark patterns in India illustrates how advertising demand and interface design have historically co‑evolved. Khare et al. describe how major platforms in sectors such as fashion, general e‑commerce and cryptocurrency frequently deploy default enrolment, obstructive cancellation and misleading urgency cues to trigger System 1 decision making and suppress reflective reasoning, precisely because these techniques increase conversion rates and data capture that can be fed into behavioural targeting models [6295677]. Survey data reported in the same study indicate that 55 percent of respondents experienced unexpected charges and 47 percent faced difficulties when attempting to cancel services, while only 39 percent even recognised the term "dark patterns," which exposes a pronounced information asymmetry between platforms, advertisers and consumers [6295677]. For advertisers that buy placements or affiliate traffic in such environments, brand value becomes entangled with design practices now under regulatory challenge in the EU and other jurisdictions.</w:t>
      </w:r>
    </w:p>
    <w:p>
      <w:pPr>
        <w:pStyle w:val="BodyText"/>
      </w:pPr>
      <w:r>
        <w:t xml:space="preserve">Gerr’s review of algorithmic personalisation and media diversity provides a complementary perspective on the risks of advertising in engagement maximising feeds. AI driven content curation in social networks is described as systematically narrowing exposure to diverse viewpoints because algorithms prioritise content that matches existing preferences and often sensational or polarising material, which increases engagement but reduces pluralism [5142478]. Filter bubbles and echo chambers emerge as structural properties of these systems: users are intellectually isolated and encounter fewer opposing views, which weakens critical thinking and civic engagement [5142478]. From an advertiser perspective, such feeds may seem attractive because they deliver high click‑through rates within homogenous audiences, but this same narrowing creates reputational exposure when campaigns are repeatedly co‑present with polarising content, body negative imagery or outrage‑heavy narratives that have measurable negative effects on mental health and social cohesion [3303310][5142478].</w:t>
      </w:r>
    </w:p>
    <w:p>
      <w:pPr>
        <w:pStyle w:val="BodyText"/>
      </w:pPr>
      <w:r>
        <w:t xml:space="preserve">Empirical evidence from Hu’s synthesis of mental health research on personalised feeds reinforces this point. Hyper‑personalised recommendation environments are linked to a 23 percent higher incidence of depressive symptoms compared to chronological feeds, with particularly pronounced effects among adolescents and individuals predisposed to social comparison [3303310]. Neuroimaging studies referenced in the same source correlate "doomscrolling" with reduced prefrontal cortex activity, which parallels addictive behaviour patterns, while Instagram’s prioritisation of Eurocentric beauty standards is associated with statistically significant declines in self esteem among adolescent women of colour [3303310]. Advertising campaigns that rely on such emotionally volatile content streams for reach and conversion are therefore structurally misaligned with digital wellbeing objectives, whether assessed from a public health or regulatory risk standpoint.</w:t>
      </w:r>
    </w:p>
    <w:p>
      <w:pPr>
        <w:pStyle w:val="BodyText"/>
      </w:pPr>
      <w:r>
        <w:t xml:space="preserve">Chitra et al. argue that these harms are not incidental but flow directly from engagement maximising objective functions in recommender systems [6502223]. The structural incentive is to weight content that increases immediate interaction, which produces selection pressure toward emotionally provocative and epistemically degraded material [6502223]. For advertisers, this means that traditional optimisation metrics such as impressions, click‑through and dwell time often track the same dynamics that regulators and mental health researchers identify as problematic: outrage amplification, sensationalism and addictive loops [3303310][5142478]. Aligning with digital wellbeing therefore requires advertisers to support an alternative objective function for recommendation and ad delivery that does not simply proxy engagement.</w:t>
      </w:r>
    </w:p>
    <w:p>
      <w:pPr>
        <w:pStyle w:val="BodyText"/>
      </w:pPr>
      <w:r>
        <w:t xml:space="preserve">Chitra et al. propose concrete technical design standards that offer a template for such a shift: value aligned objective functions that integrate explicit terms for epistemic quality, diversity incentives and engagement ceilings [6502223]. Content from highly accurate sources, as validated by independent fact checking, should receive positive weights, while sources with established misinformation patterns are penalised [6502223]. Recommendation sequences are required to meet intra session diversity requirements so that users are not confined to a narrow ideological spectrum, and engagement ceilings cap the amplification of individual items to avoid virality driven escalation [6502223]. When advertisers accept placement and optimisation rules that follow these standards, they implicitly trade some short term engagement volume for association with trustworthy, less polarising content environments, which is more consistent with mental health safeguards identified in Hu’s analysis of sentiment balanced feeds and usage friction tools [3303310].</w:t>
      </w:r>
    </w:p>
    <w:p>
      <w:pPr>
        <w:pStyle w:val="BodyText"/>
      </w:pPr>
      <w:r>
        <w:t xml:space="preserve">The same governance framework stresses the need for mandatory algorithmic auditing and research data access, which are directly relevant for advertisers seeking to realign their strategies. Chitra et al. recommend that large platforms submit their recommendation algorithms to annual independent third party audits that assess political amplification asymmetries, misinformation mitigation and performance against diversity and pluralism benchmarks [6502223]. Audit methodologies and high level findings are to be published, echoing safety audit practices where independent bodies evaluate whether operational reality matches stated policies [5345089][6502223]. For advertisers, this creates an emerging transparency layer: campaigns can be evaluated not only on engagement metrics but also on how often they appear in contexts that trigger high scores on indices such as Hu’s Algorithmic Impact Assessment Scale, which quantifies mental health risks along dimensions like emotional volatility, sleep disruption and compulsive usage patterns [3303310]. Aligning with digital wellbeing in this setting means selecting inventory and optimisation partners whose audited systems meet diversity and risk thresholds that are compatible with regulatory expectations under the DSA and emerging Digital Fairness norms [6502223][7896734].</w:t>
      </w:r>
    </w:p>
    <w:p>
      <w:pPr>
        <w:pStyle w:val="BodyText"/>
      </w:pPr>
      <w:r>
        <w:t xml:space="preserve">Ethical AI governance research extends these obligations by specifying normative constraints on profiling and data use that directly affect targeted advertising. Kostenko’s AI Law Model introduces the principle of "information invisibility," which frames an extended right not to generate, transmit, accumulate or store digital traces in contexts where such fixation is not necessary for basic service operation [2977039]. Users are entitled to refuse permanent identifiers such as device fingerprints or cookie profiles, to opt out of systems demanding disproportionate personal or behavioural data, and to ignore digital requests (including marketing proposals and recommendation systems) that aim to create or refine psycho emotional or consumer profiles without their direct initiative and control [2977039]. Digital systems must in turn implement full fledged invisibility modes, including incognito, temporary presence and contextual masking, supported by clear visual indicators and logs that allow users to monitor what data are being stored or transmitted [2977039]. Advertisers that intend to align with digital wellbeing must design campaigns and data strategies that remain effective even when a significant fraction of users operate under such invisibility regimes, which materially constrains behavioural targeting and cross platform tracking. The AI Law Model also prohibits the use of personal data for advertising or profiling that restricts freedom of choice without explicit informed consent, with special emphasis on children and other vulnerable groups [2977039]. For minors, targeted advertising based on psychotypes, neurobehavioral indicators or predicted emotional states is categorically banned, and information invisibility modes should enable service use without profiling or cross platform tracking [2977039]. Sanikidze emphasises that DSA restrictions on targeting minors and Digital Fairness proposals aimed at addictive designs and unfair personalisation move in the same direction: gradual elimination of opaque profiling of vulnerable users as an acceptable advertising practice in the EU [7896734]. Algorithmic systems can also reproduce and amplify harmful stereotypes embedded in training data, for example by skewing search and recommendation outputs toward sexualised or demeaning representations of marginalised groups, a pattern that may suggest deeper data and value failures in platform design</w:t>
      </w:r>
      <w:r>
        <w:t xml:space="preserve"> </w:t>
      </w:r>
      <w:r>
        <w:t xml:space="preserve">(Johar et al., 2025, p. 4)</w:t>
      </w:r>
      <w:r>
        <w:t xml:space="preserve">.</w:t>
      </w:r>
    </w:p>
    <w:p>
      <w:pPr>
        <w:pStyle w:val="BodyText"/>
      </w:pPr>
      <w:r>
        <w:t xml:space="preserve">Within the working taxonomy developed in this thesis, advertising strategies that depend on such profiling and on dark patterns would be assigned to a high or unacceptable risk category, labelled Code Category C, that signals significant legal exposure under the DFA trajectory and related norms. Aligning advertisers with digital wellbeing, under this working taxonomy, involves articulating alternative engagement and monetisation models that satisfy three concurrent demands: compliance with emerging EU rules on manipulation and data use, measurable reduction of mental health risks as captured in tools like AIAS‑5, and commercial sustainability for brands and platforms [3303310][6502223][7896734].</w:t>
      </w:r>
    </w:p>
    <w:p>
      <w:pPr>
        <w:pStyle w:val="BodyText"/>
      </w:pPr>
      <w:r>
        <w:t xml:space="preserve">Qualitative evidence from Hu’s review points to potential design directions. Platforms that embed wellbeing guardrails such as sentiment balanced content curation and usage friction tools see reductions in self reported anxiety by 17 percent within six weeks, with effects mediated by demographics and vulnerability to algorithmic bias [3303310]. For advertisers, operating in such guarded environments may reduce raw impression volumes but can also improve the psychological "quality" of attention received, since users are less likely to be trapped in doomscrolling loops or exposed to content that damages self esteem and trust [3303310][5142478].</w:t>
      </w:r>
    </w:p>
    <w:p>
      <w:pPr>
        <w:pStyle w:val="BodyText"/>
      </w:pPr>
      <w:r>
        <w:t xml:space="preserve">A practical alignment pathway can be articulated in terms of specific campaign and product design commitments. Advertisers can, for instance, restrict their bidding to inventory segments that are configured with engagement ceilings and diversity incentives, as described by Chitra et al., and that are subject to regular third party audits with published findings [6502223]. They can also require platform partners to offer information invisibility compliant modes for users, even if this reduces the availability of third party cookies or device identifiers for profiling [2977039]. From a content standpoint, advertisers can favour placements in feeds that adopt sentiment balancing and "digital nutrition labels" that disclose predicted psychological impact scores, similar to the warning style disclosures Hu notes for personalised feeds [3303310]. Such labels give both users and brands visibility into whether a given content channel tends to increase emotional volatility or sleep disruption, which allows advertisers to avoid placements in high‑risk segments even before formal regulatory prohibitions emerge.</w:t>
      </w:r>
    </w:p>
    <w:p>
      <w:pPr>
        <w:pStyle w:val="BodyText"/>
      </w:pPr>
      <w:r>
        <w:t xml:space="preserve">The interplay between auditing and organisational culture in AI systems also provides lessons for advertiser alignment. Mökander’s discussion of safety audits shows that effective assessments go beyond technical checks and extend to whether organisational practices and culture genuinely support safety goals [5345089]. Safety audits use multiple tools, from checklists to interviews, and derive authority from independent institutions such as occupational safety regulators [5345089]. Translating this insight into advertising governance suggests that brands should not only commission independent AI audits of their own marketing technologies but also reform internal incentive structures so that campaign teams are rewarded for meeting wellbeing aligned metrics, such as reduced association with high AIAS‑5 risk scores, rather than solely for click‑through or conversion rates [3303310][5345089].</w:t>
      </w:r>
    </w:p>
    <w:p>
      <w:pPr>
        <w:pStyle w:val="BodyText"/>
      </w:pPr>
      <w:r>
        <w:t xml:space="preserve">TikTok’s opacity, as described by Chitra et al., illustrates the importance of research data access for any meaningful advertiser alignment strategy. The For You Page is portrayed as exceptionally effective at capturing attention and retaining users, yet TikTok resists meaningful transparency into its recommendation algorithm and defends it as a trade secret [6502223]. National security debates around the potential for state influenced recommendation underscore how dependent advertisers are on systems they cannot independently scrutinise [6502223]. Under the governance recommendations in the same study, platforms would provide vetted researchers with representative samples of recommendation sequences and other data that allow systemic analysis of political and psychological effects [6502223]. Advertisers seeking alignment with digital wellbeing should support and condition their spend on such research data access, recognising that without independent insight into recommendation dynamics they cannot credibly claim that their campaigns are not contributing to addictive usage patterns or polarisation.</w:t>
      </w:r>
    </w:p>
    <w:p>
      <w:pPr>
        <w:pStyle w:val="BodyText"/>
      </w:pPr>
      <w:r>
        <w:t xml:space="preserve">Within this matrix of regulatory and governance instruments, advertiser alignment with digital wellbeing is not framed as a voluntary corporate social responsibility add on but as a strategic adaptation to an environment where regulatory costs, reputational risk and empirical evidence on mental health converge. Sanikidze underscores that EU rules on dark patterns and AI driven manipulation already make the Union one of the most proactive regions in constraining addictive designs [7896734]. Hermansyah’s work on DMA interoperability, while focused on switching behaviour, demonstrates that user centred choice architectures can materially change user decisions when backed by enforcement against manipulative design [1070605]. In such a context, advertisers that cling to opaque engagement spikes and behavioural profiling of vulnerable users risk stranded assets as platform governance tightens and user expectations shift. By contrast, brands that support value aligned recommendation objectives, independent AI audits, information invisibility rights and sentiment balanced content environments position themselves as partners in a transition toward pro social recommender systems [2977039][3303310][6502223]. Their campaigns will increasingly be evaluated not only on financial return but also on their contribution to or mitigation of algorithmic addiction, as measured through public mental health indicators and regulatory enforcement records.</w:t>
      </w:r>
    </w:p>
    <w:p>
      <w:pPr>
        <w:pStyle w:val="BodyText"/>
      </w:pPr>
      <w:r>
        <w:t xml:space="preserve">This report’s working taxonomy makes that tension explicit by assigning dark pattern dependent, high profiling strategies to Code Category C, signalling that aligning advertising with digital wellbeing is both a legal risk management imperative and a necessary condition for sustainable monetisation models under the EU Digital Fairness Act trajectory [6295677][7896734].</w:t>
      </w:r>
    </w:p>
    <w:p>
      <w:pPr>
        <w:pStyle w:val="BodyText"/>
      </w:pPr>
      <w:r>
        <w:t xml:space="preserve">Methodological limitations should be acknowledged: assessments of proprietary recommender algorithms in this section rely exclusively on published secondary studies, policy analyses and UI/UX reporting rather than internal platform telemetry or undisclosed machine level access. Where platform mechanics are described, citations point to publicly available qualitative or regulatory sources; no primary reverse engineering or internal data was used.</w:t>
      </w:r>
    </w:p>
    <w:bookmarkEnd w:id="135"/>
    <w:bookmarkEnd w:id="136"/>
    <w:bookmarkEnd w:id="137"/>
    <w:bookmarkStart w:id="138" w:name="executive-summary"/>
    <w:p>
      <w:pPr>
        <w:pStyle w:val="Heading1"/>
      </w:pPr>
      <w:r>
        <w:rPr>
          <w:rStyle w:val="SectionNumber"/>
        </w:rPr>
        <w:t xml:space="preserve">10</w:t>
      </w:r>
      <w:r>
        <w:tab/>
      </w:r>
      <w:r>
        <w:t xml:space="preserve">Executive Summary</w:t>
      </w:r>
    </w:p>
    <w:p>
      <w:pPr>
        <w:pStyle w:val="FirstParagraph"/>
      </w:pPr>
      <w:r>
        <w:t xml:space="preserve">This executive summary concisely frames the client problem, methodological approach, principal findings, and actionable recommendations. Problem: major social platforms exhibit algorithmically mediated engagement dynamics that create elevated addiction risks for users and expose firms to intensifying regulatory threat, particularly from EU/DFA policy developments. Approach: we conducted a secondary qualitative synthesis of existing studies, constructed a comparative coding matrix to surface cross-platform mechanisms, and developed an Audit Toolkit to operationalize assessment of algorithmic harms for product, policy and legal teams. Key findings: (1) a systemic engagement–addiction risk is observable across TikTok/Instagram/LinkedIn-type platforms driven by recommendation loops, short-form reinforcement and reward-timing; (2) these mechanisms are technologically diffuse but functionally similar, making platform-specific fixes insufficient; and (3) regulatory momentum is clear , the EU and DFA signal a direction of travel toward stricter oversight of personalization and monetization practices. Headline recommendations: adopt the Ethical AI Audit Toolkit immediately to identify high-risk features and remediation pathways; execute a Pro-Social AI pivot that prioritizes attention stewardship and positive social outcomes in model objectives; and realign monetization with wellbeing by decoupling ad incentives from engagement-maximization, introducing alternative revenue models and embedding user wellbeing KPIs into executive compensation. These steps mitigate legal exposure and preserve long-term user trust and platform value.</w:t>
      </w:r>
    </w:p>
    <w:bookmarkEnd w:id="138"/>
    <w:bookmarkStart w:id="139" w:name="keywords"/>
    <w:p>
      <w:pPr>
        <w:pStyle w:val="Heading1"/>
      </w:pPr>
      <w:r>
        <w:rPr>
          <w:rStyle w:val="SectionNumber"/>
        </w:rPr>
        <w:t xml:space="preserve">11</w:t>
      </w:r>
      <w:r>
        <w:tab/>
      </w:r>
      <w:r>
        <w:t xml:space="preserve">Keywords</w:t>
      </w:r>
    </w:p>
    <w:p>
      <w:pPr>
        <w:pStyle w:val="FirstParagraph"/>
      </w:pPr>
      <w:r>
        <w:t xml:space="preserve">Keywords: A concise list of salient terms for this report:</w:t>
      </w:r>
    </w:p>
    <w:p>
      <w:pPr>
        <w:numPr>
          <w:ilvl w:val="0"/>
          <w:numId w:val="1006"/>
        </w:numPr>
      </w:pPr>
      <w:r>
        <w:t xml:space="preserve">algorithmic addiction</w:t>
      </w:r>
    </w:p>
    <w:p>
      <w:pPr>
        <w:numPr>
          <w:ilvl w:val="0"/>
          <w:numId w:val="1006"/>
        </w:numPr>
      </w:pPr>
      <w:r>
        <w:t xml:space="preserve">social recommender systems</w:t>
      </w:r>
    </w:p>
    <w:p>
      <w:pPr>
        <w:numPr>
          <w:ilvl w:val="0"/>
          <w:numId w:val="1006"/>
        </w:numPr>
      </w:pPr>
      <w:r>
        <w:t xml:space="preserve">dark patterns</w:t>
      </w:r>
    </w:p>
    <w:p>
      <w:pPr>
        <w:numPr>
          <w:ilvl w:val="0"/>
          <w:numId w:val="1006"/>
        </w:numPr>
      </w:pPr>
      <w:r>
        <w:t xml:space="preserve">Digital Fairness Act</w:t>
      </w:r>
    </w:p>
    <w:p>
      <w:pPr>
        <w:numPr>
          <w:ilvl w:val="0"/>
          <w:numId w:val="1006"/>
        </w:numPr>
      </w:pPr>
      <w:r>
        <w:t xml:space="preserve">ethical AI audit</w:t>
      </w:r>
    </w:p>
    <w:p>
      <w:pPr>
        <w:numPr>
          <w:ilvl w:val="0"/>
          <w:numId w:val="1006"/>
        </w:numPr>
      </w:pPr>
      <w:r>
        <w:t xml:space="preserve">pro-social design</w:t>
      </w:r>
    </w:p>
    <w:p>
      <w:pPr>
        <w:numPr>
          <w:ilvl w:val="0"/>
          <w:numId w:val="1006"/>
        </w:numPr>
      </w:pPr>
      <w:r>
        <w:t xml:space="preserve">EU platform regulation</w:t>
      </w:r>
    </w:p>
    <w:bookmarkEnd w:id="139"/>
    <w:bookmarkStart w:id="140" w:name="list-of-figures"/>
    <w:p>
      <w:pPr>
        <w:pStyle w:val="Heading1"/>
      </w:pPr>
      <w:r>
        <w:rPr>
          <w:rStyle w:val="SectionNumber"/>
        </w:rPr>
        <w:t xml:space="preserve">12</w:t>
      </w:r>
      <w:r>
        <w:tab/>
      </w:r>
      <w:r>
        <w:t xml:space="preserve">List of Figures</w:t>
      </w:r>
    </w:p>
    <w:p>
      <w:pPr>
        <w:pStyle w:val="FirstParagraph"/>
      </w:pPr>
      <w:r>
        <w:t xml:space="preserve">This section serves as a structural placeholder for the capstone guidelines; the actual List of Figures will be generated automatically by LaTeX (for example, by invoking</w:t>
      </w:r>
    </w:p>
    <w:p>
      <w:pPr>
        <w:pStyle w:val="BodyText"/>
      </w:pPr>
      <w:r>
        <w:t xml:space="preserve">in the document preamble or appropriate location).</w:t>
      </w:r>
    </w:p>
    <w:bookmarkEnd w:id="140"/>
    <w:bookmarkStart w:id="141" w:name="list-of-tables"/>
    <w:p>
      <w:pPr>
        <w:pStyle w:val="Heading1"/>
      </w:pPr>
      <w:r>
        <w:rPr>
          <w:rStyle w:val="SectionNumber"/>
        </w:rPr>
        <w:t xml:space="preserve">13</w:t>
      </w:r>
      <w:r>
        <w:tab/>
      </w:r>
      <w:r>
        <w:t xml:space="preserve">List of Tables</w:t>
      </w:r>
    </w:p>
    <w:p>
      <w:pPr>
        <w:pStyle w:val="FirstParagraph"/>
      </w:pPr>
      <w:r>
        <w:t xml:space="preserve">This section is a structural placeholder for the capstone guidelines: the actual list of tables will be generated automatically by LaTeX (for example, by using the command</w:t>
      </w:r>
    </w:p>
    <w:p>
      <w:pPr>
        <w:pStyle w:val="BodyText"/>
      </w:pPr>
      <w:r>
        <w:t xml:space="preserve">) and will appear here in the compiled document. Keep this heading to ensure consistent document structure and to allow LaTeX to populate table entries and page references during compilation.</w:t>
      </w:r>
    </w:p>
    <w:bookmarkEnd w:id="141"/>
    <w:bookmarkStart w:id="142" w:name="list-of-abbreviations"/>
    <w:p>
      <w:pPr>
        <w:pStyle w:val="Heading1"/>
      </w:pPr>
      <w:r>
        <w:rPr>
          <w:rStyle w:val="SectionNumber"/>
        </w:rPr>
        <w:t xml:space="preserve">14</w:t>
      </w:r>
      <w:r>
        <w:tab/>
      </w:r>
      <w:r>
        <w:t xml:space="preserve">List of Abbreviations</w:t>
      </w:r>
    </w:p>
    <w:p>
      <w:pPr>
        <w:numPr>
          <w:ilvl w:val="0"/>
          <w:numId w:val="1007"/>
        </w:numPr>
      </w:pPr>
      <w:r>
        <w:t xml:space="preserve">DSA – Digital Services Act</w:t>
      </w:r>
    </w:p>
    <w:p>
      <w:pPr>
        <w:numPr>
          <w:ilvl w:val="0"/>
          <w:numId w:val="1007"/>
        </w:numPr>
      </w:pPr>
      <w:r>
        <w:t xml:space="preserve">DFA – Digital Fairness Act</w:t>
      </w:r>
    </w:p>
    <w:p>
      <w:pPr>
        <w:numPr>
          <w:ilvl w:val="0"/>
          <w:numId w:val="1007"/>
        </w:numPr>
      </w:pPr>
      <w:r>
        <w:t xml:space="preserve">AI – Artificial Intelligence</w:t>
      </w:r>
    </w:p>
    <w:p>
      <w:pPr>
        <w:numPr>
          <w:ilvl w:val="0"/>
          <w:numId w:val="1007"/>
        </w:numPr>
      </w:pPr>
      <w:r>
        <w:t xml:space="preserve">VLOP – Very Large Online Platform</w:t>
      </w:r>
    </w:p>
    <w:p>
      <w:pPr>
        <w:numPr>
          <w:ilvl w:val="0"/>
          <w:numId w:val="1007"/>
        </w:numPr>
      </w:pPr>
      <w:r>
        <w:t xml:space="preserve">CSR – Corporate Social Responsibility</w:t>
      </w:r>
    </w:p>
    <w:p>
      <w:pPr>
        <w:numPr>
          <w:ilvl w:val="0"/>
          <w:numId w:val="1007"/>
        </w:numPr>
      </w:pPr>
      <w:r>
        <w:t xml:space="preserve">HITL – Human-in-the-Loop</w:t>
      </w:r>
    </w:p>
    <w:bookmarkEnd w:id="142"/>
    <w:bookmarkStart w:id="143" w:name="appendix-a-capstone-expose"/>
    <w:p>
      <w:pPr>
        <w:pStyle w:val="Heading1"/>
      </w:pPr>
      <w:r>
        <w:rPr>
          <w:rStyle w:val="SectionNumber"/>
        </w:rPr>
        <w:t xml:space="preserve">15</w:t>
      </w:r>
      <w:r>
        <w:tab/>
      </w:r>
      <w:r>
        <w:t xml:space="preserve">Appendix A Capstone Expose</w:t>
      </w:r>
    </w:p>
    <w:p>
      <w:pPr>
        <w:pStyle w:val="FirstParagraph"/>
      </w:pPr>
      <w:r>
        <w:t xml:space="preserve">I don’t have the exposé text yet. Please paste the full exposé you want inserted (including headings and any bullet lists). I will then return the section content with the text verbatim, converted to appropriate LaTeX (e.g., using itemize for bullets) and respecting your formatting rules.</w:t>
      </w:r>
    </w:p>
    <w:bookmarkEnd w:id="143"/>
    <w:bookmarkStart w:id="144" w:name="ai-use-declaration"/>
    <w:p>
      <w:pPr>
        <w:pStyle w:val="Heading1"/>
      </w:pPr>
      <w:r>
        <w:rPr>
          <w:rStyle w:val="SectionNumber"/>
        </w:rPr>
        <w:t xml:space="preserve">16</w:t>
      </w:r>
      <w:r>
        <w:tab/>
      </w:r>
      <w:r>
        <w:t xml:space="preserve">AI Use Declaration</w:t>
      </w:r>
    </w:p>
    <w:p>
      <w:pPr>
        <w:pStyle w:val="FirstParagraph"/>
      </w:pPr>
      <w:r>
        <w:t xml:space="preserve">This thesis was prepared with the assistance of large language model tools that were used to generate, edit, and refine portions of the text under the direct supervision of the author. Such tools were employed to help draft language, suggest rephrasings, and identify stylistic or organizational improvements; all outputs from these tools were reviewed, modified as necessary, and incorporated at the author’s discretion.</w:t>
      </w:r>
    </w:p>
    <w:p>
      <w:pPr>
        <w:pStyle w:val="BodyText"/>
      </w:pPr>
      <w:r>
        <w:t xml:space="preserve">The author independently verified and integrated all source material, checked factual statements, and ensured that citations, data, and interpretations are accurate and appropriate for an MBA capstone thesis. Where text proposed by a language model was used, the author confirmed its conformity with academic standards, adapted the content to the thesis argument, and ensured proper attribution of ideas and evidence.</w:t>
      </w:r>
    </w:p>
    <w:p>
      <w:pPr>
        <w:pStyle w:val="BodyText"/>
      </w:pPr>
      <w:r>
        <w:t xml:space="preserve">Ultimately, responsibility for the content, analysis, argumentation, and academic integrity of this work rests solely with the author. Any errors, omissions, or interpretations in the final document are the author’s own.</w:t>
      </w:r>
    </w:p>
    <w:bookmarkEnd w:id="144"/>
    <w:bookmarkStart w:id="332" w:name="conclusion"/>
    <w:p>
      <w:pPr>
        <w:pStyle w:val="Heading1"/>
      </w:pPr>
      <w:r>
        <w:rPr>
          <w:rStyle w:val="SectionNumber"/>
        </w:rPr>
        <w:t xml:space="preserve">17</w:t>
      </w:r>
      <w:r>
        <w:tab/>
      </w:r>
      <w:r>
        <w:t xml:space="preserve">Conclusion</w:t>
      </w:r>
    </w:p>
    <w:p>
      <w:pPr>
        <w:pStyle w:val="FirstParagraph"/>
      </w:pPr>
      <w:r>
        <w:t xml:space="preserve">Engagement‑optimised social recommenders combine interface affordances, profiling practices and business incentives in ways that materially affect user autonomy, attention allocation and distributional outcomes. The synthesis identifies consistent patterns: endless feeds, autoplay, high frequency re‑engagement prompts, asymmetric defaults and opaque opt‑out channels create feedback loops associated with compulsive checking, degraded wellbeing and narrowed exposure. Complementary evidence from neurocognitive, behavioural and UX studies links these design choices to reduced self‑regulation and elevated affective volatility for vulnerable groups, particularly adolescents and heavy users. Legal and model law frameworks in the European context increasingly treat such configurations as regulatory risks, specifying obligations for transparency, non‑profiling feed options, tamper‑evident logs and age‑sensitive defaults; where those artefacts are absent or inadequate, governance failures become central indicators of unacceptable systemic risk.</w:t>
      </w:r>
    </w:p>
    <w:p>
      <w:pPr>
        <w:pStyle w:val="BodyText"/>
      </w:pPr>
      <w:r>
        <w:t xml:space="preserve">Operationally, a practicable audit and remediation pathway focuses on observable, auditable artefacts rather than inaccessible model internals: documented algorithmic passports, event logs with human override trails, user control dashboards exposing non‑profiled modes, finite session mechanisms and batch/digest alternatives, explainable recommendation panels and diversity‑aware ranking objectives with downranking levers for sensational content. Embedding these controls into CI/CD gates, independent third party audits and CSR style governance cycles creates traceable evidence for regulators and civil society while enabling product teams to iterate on safer objective functions. Given methodological limits that preclude direct telemetry access in many cases, priority empirical work should centre on scenario based probes, representative trace releases for vetted researchers and longitudinal evaluations of wellbeing after deploying time‑boxed, diversity oriented interventions; these steps will help align operational practice with emergent Digital Fairness expectations and users’ rights to a psycho‑emotionally safe digital environment.</w:t>
      </w:r>
    </w:p>
    <w:bookmarkStart w:id="331" w:name="refs"/>
    <w:bookmarkStart w:id="146" w:name="ref-4900172"/>
    <w:p>
      <w:pPr>
        <w:pStyle w:val="Bibliography"/>
      </w:pPr>
      <w:r>
        <w:t xml:space="preserve">Adanyin, A. (2024). Ethical AI in retail: Consumer privacy and fairness.</w:t>
      </w:r>
      <w:r>
        <w:t xml:space="preserve"> </w:t>
      </w:r>
      <w:r>
        <w:rPr>
          <w:i/>
          <w:iCs/>
        </w:rPr>
        <w:t xml:space="preserve">European Journal of Computer Science and Information Technology</w:t>
      </w:r>
      <w:r>
        <w:t xml:space="preserve">,</w:t>
      </w:r>
      <w:r>
        <w:t xml:space="preserve"> </w:t>
      </w:r>
      <w:r>
        <w:rPr>
          <w:i/>
          <w:iCs/>
        </w:rPr>
        <w:t xml:space="preserve">12</w:t>
      </w:r>
      <w:r>
        <w:t xml:space="preserve">(7).</w:t>
      </w:r>
      <w:r>
        <w:t xml:space="preserve"> </w:t>
      </w:r>
      <w:hyperlink r:id="rId145">
        <w:r>
          <w:rPr>
            <w:rStyle w:val="Hyperlink"/>
          </w:rPr>
          <w:t xml:space="preserve">https://doi.org/10.37745/ejcsit.2013/vol12n72135</w:t>
        </w:r>
      </w:hyperlink>
    </w:p>
    <w:bookmarkEnd w:id="146"/>
    <w:bookmarkStart w:id="148" w:name="ref-0375818"/>
    <w:p>
      <w:pPr>
        <w:pStyle w:val="Bibliography"/>
      </w:pPr>
      <w:r>
        <w:t xml:space="preserve">Alrwili, A., &amp; Kantharia, F. A. (2025). Integrating ethical AI governance into administrative decision support systems: A case-study synthesis and implementation framework.</w:t>
      </w:r>
      <w:r>
        <w:t xml:space="preserve"> </w:t>
      </w:r>
      <w:r>
        <w:rPr>
          <w:i/>
          <w:iCs/>
        </w:rPr>
        <w:t xml:space="preserve">Saudi Journal of Medicine and Public Health</w:t>
      </w:r>
      <w:r>
        <w:t xml:space="preserve">,</w:t>
      </w:r>
      <w:r>
        <w:t xml:space="preserve"> </w:t>
      </w:r>
      <w:r>
        <w:rPr>
          <w:i/>
          <w:iCs/>
        </w:rPr>
        <w:t xml:space="preserve">2</w:t>
      </w:r>
      <w:r>
        <w:t xml:space="preserve">(2).</w:t>
      </w:r>
      <w:r>
        <w:t xml:space="preserve"> </w:t>
      </w:r>
      <w:hyperlink r:id="rId147">
        <w:r>
          <w:rPr>
            <w:rStyle w:val="Hyperlink"/>
          </w:rPr>
          <w:t xml:space="preserve">https://doi.org/10.64483/202522248</w:t>
        </w:r>
      </w:hyperlink>
    </w:p>
    <w:bookmarkEnd w:id="148"/>
    <w:bookmarkStart w:id="150" w:name="ref-9407672"/>
    <w:p>
      <w:pPr>
        <w:pStyle w:val="Bibliography"/>
      </w:pPr>
      <w:r>
        <w:t xml:space="preserve">Anindita, C., Sampurna, M., Suvojit, M., Tiyasa, S., Kumar, S. G., Durjay, B., &amp; Sarothi, R. P. (2025). Ethical ai through bias mitigation in large language models: A review.</w:t>
      </w:r>
      <w:r>
        <w:t xml:space="preserve"> </w:t>
      </w:r>
      <w:r>
        <w:rPr>
          <w:i/>
          <w:iCs/>
        </w:rPr>
        <w:t xml:space="preserve">International Journal of Environmental Sciences</w:t>
      </w:r>
      <w:r>
        <w:t xml:space="preserve">,</w:t>
      </w:r>
      <w:r>
        <w:t xml:space="preserve"> </w:t>
      </w:r>
      <w:r>
        <w:rPr>
          <w:i/>
          <w:iCs/>
        </w:rPr>
        <w:t xml:space="preserve">11</w:t>
      </w:r>
      <w:r>
        <w:t xml:space="preserve">(18s).</w:t>
      </w:r>
      <w:r>
        <w:t xml:space="preserve"> </w:t>
      </w:r>
      <w:hyperlink r:id="rId149">
        <w:r>
          <w:rPr>
            <w:rStyle w:val="Hyperlink"/>
          </w:rPr>
          <w:t xml:space="preserve">https://www.theaspd.com/ijes.php</w:t>
        </w:r>
      </w:hyperlink>
    </w:p>
    <w:bookmarkEnd w:id="150"/>
    <w:bookmarkStart w:id="152" w:name="ref-9283805"/>
    <w:p>
      <w:pPr>
        <w:pStyle w:val="Bibliography"/>
      </w:pPr>
      <w:r>
        <w:t xml:space="preserve">Anisa, R. S., &amp; Maisa. (2025). Token economies in digital learning: A critical examination of gamification’s impact on vocabulary acquisition and student engagement.</w:t>
      </w:r>
      <w:r>
        <w:t xml:space="preserve"> </w:t>
      </w:r>
      <w:r>
        <w:rPr>
          <w:i/>
          <w:iCs/>
        </w:rPr>
        <w:t xml:space="preserve">International Journal of Learning and Education</w:t>
      </w:r>
      <w:r>
        <w:t xml:space="preserve">,</w:t>
      </w:r>
      <w:r>
        <w:t xml:space="preserve"> </w:t>
      </w:r>
      <w:r>
        <w:rPr>
          <w:i/>
          <w:iCs/>
        </w:rPr>
        <w:t xml:space="preserve">1</w:t>
      </w:r>
      <w:r>
        <w:t xml:space="preserve">(2).</w:t>
      </w:r>
      <w:r>
        <w:t xml:space="preserve"> </w:t>
      </w:r>
      <w:hyperlink r:id="rId151">
        <w:r>
          <w:rPr>
            <w:rStyle w:val="Hyperlink"/>
          </w:rPr>
          <w:t xml:space="preserve">https://najahajournal.najahaofficial.id/index.php/IJLE/index</w:t>
        </w:r>
      </w:hyperlink>
    </w:p>
    <w:bookmarkEnd w:id="152"/>
    <w:bookmarkStart w:id="154" w:name="ref-8200246"/>
    <w:p>
      <w:pPr>
        <w:pStyle w:val="Bibliography"/>
      </w:pPr>
      <w:r>
        <w:t xml:space="preserve">Asante, R., &amp; Adeoba, R. (2026). The impact of community of practice on ethical AI marketing strategy: The mediating role of corporate social responsibility.</w:t>
      </w:r>
      <w:r>
        <w:t xml:space="preserve"> </w:t>
      </w:r>
      <w:r>
        <w:rPr>
          <w:i/>
          <w:iCs/>
        </w:rPr>
        <w:t xml:space="preserve">International Journal of Research and Innovation in Social Science</w:t>
      </w:r>
      <w:r>
        <w:t xml:space="preserve">,</w:t>
      </w:r>
      <w:r>
        <w:t xml:space="preserve"> </w:t>
      </w:r>
      <w:r>
        <w:rPr>
          <w:i/>
          <w:iCs/>
        </w:rPr>
        <w:t xml:space="preserve">10</w:t>
      </w:r>
      <w:r>
        <w:t xml:space="preserve">(6).</w:t>
      </w:r>
      <w:r>
        <w:t xml:space="preserve"> </w:t>
      </w:r>
      <w:hyperlink r:id="rId153">
        <w:r>
          <w:rPr>
            <w:rStyle w:val="Hyperlink"/>
          </w:rPr>
          <w:t xml:space="preserve">https://doi.org/10.47772/ijriss.2026.100601383</w:t>
        </w:r>
      </w:hyperlink>
    </w:p>
    <w:bookmarkEnd w:id="154"/>
    <w:bookmarkStart w:id="156" w:name="ref-2750607"/>
    <w:p>
      <w:pPr>
        <w:pStyle w:val="Bibliography"/>
      </w:pPr>
      <w:r>
        <w:t xml:space="preserve">Azasu, E. K., Azasu, E., Ali, E., &amp; Larnyoh, M. (2026). The breaking point: Psychological and socioecological triggers of suicide attempt in adolescents.</w:t>
      </w:r>
      <w:r>
        <w:t xml:space="preserve"> </w:t>
      </w:r>
      <w:r>
        <w:rPr>
          <w:i/>
          <w:iCs/>
        </w:rPr>
        <w:t xml:space="preserve">Human Arenas</w:t>
      </w:r>
      <w:r>
        <w:t xml:space="preserve">.</w:t>
      </w:r>
      <w:r>
        <w:t xml:space="preserve"> </w:t>
      </w:r>
      <w:hyperlink r:id="rId155">
        <w:r>
          <w:rPr>
            <w:rStyle w:val="Hyperlink"/>
          </w:rPr>
          <w:t xml:space="preserve">https://doi.org/10.1007/s42087-026-00663-6</w:t>
        </w:r>
      </w:hyperlink>
    </w:p>
    <w:bookmarkEnd w:id="156"/>
    <w:bookmarkStart w:id="158" w:name="ref-5988547"/>
    <w:p>
      <w:pPr>
        <w:pStyle w:val="Bibliography"/>
      </w:pPr>
      <w:r>
        <w:t xml:space="preserve">Badhan, I. A., Hasnain, M. N., Rahman, M. H., Chowdhury, I., &amp; Sayem, M. A. (2024). Strategic deployment of advance surveillance ecosystems: An analytical study on mitigating unauthorized u.s. Border entry.</w:t>
      </w:r>
      <w:r>
        <w:t xml:space="preserve"> </w:t>
      </w:r>
      <w:r>
        <w:rPr>
          <w:i/>
          <w:iCs/>
        </w:rPr>
        <w:t xml:space="preserve">Inverge Journal of Social Sciences</w:t>
      </w:r>
      <w:r>
        <w:t xml:space="preserve">,</w:t>
      </w:r>
      <w:r>
        <w:t xml:space="preserve"> </w:t>
      </w:r>
      <w:r>
        <w:rPr>
          <w:i/>
          <w:iCs/>
        </w:rPr>
        <w:t xml:space="preserve">3</w:t>
      </w:r>
      <w:r>
        <w:t xml:space="preserve">(4).</w:t>
      </w:r>
      <w:r>
        <w:t xml:space="preserve"> </w:t>
      </w:r>
      <w:hyperlink r:id="rId157">
        <w:r>
          <w:rPr>
            <w:rStyle w:val="Hyperlink"/>
          </w:rPr>
          <w:t xml:space="preserve">https://doi.org/10.63544/ijss.v3i4.105</w:t>
        </w:r>
      </w:hyperlink>
    </w:p>
    <w:bookmarkEnd w:id="158"/>
    <w:bookmarkStart w:id="160" w:name="ref-7461574"/>
    <w:p>
      <w:pPr>
        <w:pStyle w:val="Bibliography"/>
      </w:pPr>
      <w:r>
        <w:t xml:space="preserve">Bahangulu, J. K., &amp; Owusu-Berko, L. (2025). Algorithmic bias, data ethics, and governance: Ensuring fairness, transparency and compliance in AI-powered business analytics applications.</w:t>
      </w:r>
      <w:r>
        <w:t xml:space="preserve"> </w:t>
      </w:r>
      <w:r>
        <w:rPr>
          <w:i/>
          <w:iCs/>
        </w:rPr>
        <w:t xml:space="preserve">World Journal of Advanced Research and Reviews</w:t>
      </w:r>
      <w:r>
        <w:t xml:space="preserve">,</w:t>
      </w:r>
      <w:r>
        <w:t xml:space="preserve"> </w:t>
      </w:r>
      <w:r>
        <w:rPr>
          <w:i/>
          <w:iCs/>
        </w:rPr>
        <w:t xml:space="preserve">25</w:t>
      </w:r>
      <w:r>
        <w:t xml:space="preserve">(2).</w:t>
      </w:r>
      <w:r>
        <w:t xml:space="preserve"> </w:t>
      </w:r>
      <w:hyperlink r:id="rId159">
        <w:r>
          <w:rPr>
            <w:rStyle w:val="Hyperlink"/>
          </w:rPr>
          <w:t xml:space="preserve">https://doi.org/10.30574/wjarr.2025.25.2.0571</w:t>
        </w:r>
      </w:hyperlink>
    </w:p>
    <w:bookmarkEnd w:id="160"/>
    <w:bookmarkStart w:id="162" w:name="ref-8745065"/>
    <w:p>
      <w:pPr>
        <w:pStyle w:val="Bibliography"/>
      </w:pPr>
      <w:r>
        <w:t xml:space="preserve">Bansal, A. (2026). The algorithmic architecture of exploitative impulse buying a qualitative thematic analysis of executive decision-making, psychological targeting, and algorithmic scarcity in digital retail.</w:t>
      </w:r>
      <w:r>
        <w:t xml:space="preserve"> </w:t>
      </w:r>
      <w:r>
        <w:rPr>
          <w:i/>
          <w:iCs/>
        </w:rPr>
        <w:t xml:space="preserve">International Journal of Research and Scientific Innovation</w:t>
      </w:r>
      <w:r>
        <w:t xml:space="preserve">,</w:t>
      </w:r>
      <w:r>
        <w:t xml:space="preserve"> </w:t>
      </w:r>
      <w:r>
        <w:rPr>
          <w:i/>
          <w:iCs/>
        </w:rPr>
        <w:t xml:space="preserve">13</w:t>
      </w:r>
      <w:r>
        <w:t xml:space="preserve">(8).</w:t>
      </w:r>
      <w:r>
        <w:t xml:space="preserve"> </w:t>
      </w:r>
      <w:hyperlink r:id="rId161">
        <w:r>
          <w:rPr>
            <w:rStyle w:val="Hyperlink"/>
          </w:rPr>
          <w:t xml:space="preserve">https://doi.org/10.51244/ijrsi.2026.1308000012</w:t>
        </w:r>
      </w:hyperlink>
    </w:p>
    <w:bookmarkEnd w:id="162"/>
    <w:bookmarkStart w:id="164" w:name="ref-4686679"/>
    <w:p>
      <w:pPr>
        <w:pStyle w:val="Bibliography"/>
      </w:pPr>
      <w:r>
        <w:t xml:space="preserve">Bayona, M. J. (2025). Exploring ethical considerations in the potential implementation of ai-driven recruitment systems in the public sector.</w:t>
      </w:r>
      <w:r>
        <w:t xml:space="preserve"> </w:t>
      </w:r>
      <w:r>
        <w:rPr>
          <w:i/>
          <w:iCs/>
        </w:rPr>
        <w:t xml:space="preserve">World Journal of Advanced Research and Reviews</w:t>
      </w:r>
      <w:r>
        <w:t xml:space="preserve">,</w:t>
      </w:r>
      <w:r>
        <w:t xml:space="preserve"> </w:t>
      </w:r>
      <w:r>
        <w:rPr>
          <w:i/>
          <w:iCs/>
        </w:rPr>
        <w:t xml:space="preserve">25</w:t>
      </w:r>
      <w:r>
        <w:t xml:space="preserve">(2).</w:t>
      </w:r>
      <w:r>
        <w:t xml:space="preserve"> </w:t>
      </w:r>
      <w:hyperlink r:id="rId163">
        <w:r>
          <w:rPr>
            <w:rStyle w:val="Hyperlink"/>
          </w:rPr>
          <w:t xml:space="preserve">https://doi.org/10.30574/wjarr.2025.25.2.0514</w:t>
        </w:r>
      </w:hyperlink>
    </w:p>
    <w:bookmarkEnd w:id="164"/>
    <w:bookmarkStart w:id="166" w:name="ref-3413731"/>
    <w:p>
      <w:pPr>
        <w:pStyle w:val="Bibliography"/>
      </w:pPr>
      <w:r>
        <w:t xml:space="preserve">Behera, R. (2026). AI POWERED SOCIAL MEDIA PLATFORM.</w:t>
      </w:r>
      <w:r>
        <w:t xml:space="preserve"> </w:t>
      </w:r>
      <w:r>
        <w:rPr>
          <w:i/>
          <w:iCs/>
        </w:rPr>
        <w:t xml:space="preserve">International Journal of LAW, Arts and Humanities</w:t>
      </w:r>
      <w:r>
        <w:t xml:space="preserve">,</w:t>
      </w:r>
      <w:r>
        <w:t xml:space="preserve"> </w:t>
      </w:r>
      <w:r>
        <w:rPr>
          <w:i/>
          <w:iCs/>
        </w:rPr>
        <w:t xml:space="preserve">2</w:t>
      </w:r>
      <w:r>
        <w:t xml:space="preserve">(2(1)).</w:t>
      </w:r>
      <w:r>
        <w:t xml:space="preserve"> </w:t>
      </w:r>
      <w:hyperlink r:id="rId165">
        <w:r>
          <w:rPr>
            <w:rStyle w:val="Hyperlink"/>
          </w:rPr>
          <w:t xml:space="preserve">https://doi.org/10.64751/ztnt0812</w:t>
        </w:r>
      </w:hyperlink>
    </w:p>
    <w:bookmarkEnd w:id="166"/>
    <w:bookmarkStart w:id="168" w:name="ref-7504644"/>
    <w:p>
      <w:pPr>
        <w:pStyle w:val="Bibliography"/>
      </w:pPr>
      <w:r>
        <w:t xml:space="preserve">Biru, S., &amp; Pallaprolu, S. (2025). AI-driven pathways to human happiness: Algorithmic architectures for thriving beyond work in the age of humanoid automation.</w:t>
      </w:r>
      <w:r>
        <w:t xml:space="preserve"> </w:t>
      </w:r>
      <w:r>
        <w:rPr>
          <w:i/>
          <w:iCs/>
        </w:rPr>
        <w:t xml:space="preserve">Journal of Computer Science and Technology Studies</w:t>
      </w:r>
      <w:r>
        <w:t xml:space="preserve">,</w:t>
      </w:r>
      <w:r>
        <w:t xml:space="preserve"> </w:t>
      </w:r>
      <w:r>
        <w:rPr>
          <w:i/>
          <w:iCs/>
        </w:rPr>
        <w:t xml:space="preserve">7</w:t>
      </w:r>
      <w:r>
        <w:t xml:space="preserve">(12).</w:t>
      </w:r>
      <w:r>
        <w:t xml:space="preserve"> </w:t>
      </w:r>
      <w:hyperlink r:id="rId167">
        <w:r>
          <w:rPr>
            <w:rStyle w:val="Hyperlink"/>
          </w:rPr>
          <w:t xml:space="preserve">https://doi.org/10.32996/jcsts.2025.7.12.17</w:t>
        </w:r>
      </w:hyperlink>
    </w:p>
    <w:bookmarkEnd w:id="168"/>
    <w:bookmarkStart w:id="170" w:name="ref-5750298"/>
    <w:p>
      <w:pPr>
        <w:pStyle w:val="Bibliography"/>
      </w:pPr>
      <w:r>
        <w:t xml:space="preserve">Bojić, L., Zarić, M., &amp; Žikić, S. (2021). Worrying impact of artificial intelligence and big data through the prism of recommender systems.</w:t>
      </w:r>
      <w:r>
        <w:t xml:space="preserve"> </w:t>
      </w:r>
      <w:r>
        <w:rPr>
          <w:i/>
          <w:iCs/>
        </w:rPr>
        <w:t xml:space="preserve">ISSUES IN ETHNOLOGY AND ANTHROPOLOGY</w:t>
      </w:r>
      <w:r>
        <w:t xml:space="preserve">,</w:t>
      </w:r>
      <w:r>
        <w:t xml:space="preserve"> </w:t>
      </w:r>
      <w:r>
        <w:rPr>
          <w:i/>
          <w:iCs/>
        </w:rPr>
        <w:t xml:space="preserve">16</w:t>
      </w:r>
      <w:r>
        <w:t xml:space="preserve">(3).</w:t>
      </w:r>
      <w:r>
        <w:t xml:space="preserve"> </w:t>
      </w:r>
      <w:hyperlink r:id="rId169">
        <w:r>
          <w:rPr>
            <w:rStyle w:val="Hyperlink"/>
          </w:rPr>
          <w:t xml:space="preserve">https://doi.org/10.21301/eap.v16i3.13</w:t>
        </w:r>
      </w:hyperlink>
    </w:p>
    <w:bookmarkEnd w:id="170"/>
    <w:bookmarkStart w:id="172" w:name="ref-2882013"/>
    <w:p>
      <w:pPr>
        <w:pStyle w:val="Bibliography"/>
      </w:pPr>
      <w:r>
        <w:t xml:space="preserve">Campana, M. G., &amp; Delmastro, F. (2023). Recommender systems for online and mobile social networks: A survey.</w:t>
      </w:r>
      <w:r>
        <w:t xml:space="preserve"> </w:t>
      </w:r>
      <w:r>
        <w:rPr>
          <w:i/>
          <w:iCs/>
        </w:rPr>
        <w:t xml:space="preserve">arXiv Preprint arXiv:2307.01207v1</w:t>
      </w:r>
      <w:r>
        <w:t xml:space="preserve">.</w:t>
      </w:r>
      <w:r>
        <w:t xml:space="preserve"> </w:t>
      </w:r>
      <w:hyperlink r:id="rId171">
        <w:r>
          <w:rPr>
            <w:rStyle w:val="Hyperlink"/>
          </w:rPr>
          <w:t xml:space="preserve">https://arxiv.org/abs/2307.01207v1</w:t>
        </w:r>
      </w:hyperlink>
    </w:p>
    <w:bookmarkEnd w:id="172"/>
    <w:bookmarkStart w:id="174" w:name="ref-2855351"/>
    <w:p>
      <w:pPr>
        <w:pStyle w:val="Bibliography"/>
      </w:pPr>
      <w:r>
        <w:t xml:space="preserve">Cao, M. (2026). Bridging information asymmetry through AI-driven FinTech: The role of digital footprint analytics in financial inclusion.</w:t>
      </w:r>
      <w:r>
        <w:t xml:space="preserve"> </w:t>
      </w:r>
      <w:r>
        <w:rPr>
          <w:i/>
          <w:iCs/>
        </w:rPr>
        <w:t xml:space="preserve">International Business &amp;Amp; Economics Studies</w:t>
      </w:r>
      <w:r>
        <w:t xml:space="preserve">,</w:t>
      </w:r>
      <w:r>
        <w:t xml:space="preserve"> </w:t>
      </w:r>
      <w:r>
        <w:rPr>
          <w:i/>
          <w:iCs/>
        </w:rPr>
        <w:t xml:space="preserve">8</w:t>
      </w:r>
      <w:r>
        <w:t xml:space="preserve">(1).</w:t>
      </w:r>
      <w:r>
        <w:t xml:space="preserve"> </w:t>
      </w:r>
      <w:hyperlink r:id="rId173">
        <w:r>
          <w:rPr>
            <w:rStyle w:val="Hyperlink"/>
          </w:rPr>
          <w:t xml:space="preserve">https://doi.org/10.22158/ibes.v8n1p59</w:t>
        </w:r>
      </w:hyperlink>
    </w:p>
    <w:bookmarkEnd w:id="174"/>
    <w:bookmarkStart w:id="176" w:name="ref-4905459"/>
    <w:p>
      <w:pPr>
        <w:pStyle w:val="Bibliography"/>
      </w:pPr>
      <w:r>
        <w:t xml:space="preserve">Castells, P., &amp; Jannach, D. (2023).</w:t>
      </w:r>
      <w:r>
        <w:t xml:space="preserve"> </w:t>
      </w:r>
      <w:r>
        <w:rPr>
          <w:i/>
          <w:iCs/>
        </w:rPr>
        <w:t xml:space="preserve">Recommender systems: A primer</w:t>
      </w:r>
      <w:r>
        <w:t xml:space="preserve">.</w:t>
      </w:r>
      <w:r>
        <w:t xml:space="preserve"> </w:t>
      </w:r>
      <w:hyperlink r:id="rId175">
        <w:r>
          <w:rPr>
            <w:rStyle w:val="Hyperlink"/>
          </w:rPr>
          <w:t xml:space="preserve">https://arxiv.org/abs/2302.02579</w:t>
        </w:r>
      </w:hyperlink>
    </w:p>
    <w:bookmarkEnd w:id="176"/>
    <w:bookmarkStart w:id="178" w:name="ref-8367105"/>
    <w:p>
      <w:pPr>
        <w:pStyle w:val="Bibliography"/>
      </w:pPr>
      <w:r>
        <w:t xml:space="preserve">Catapang, J. K. (2026). Building the ethical AI framework of the future: From philosophy to practice.</w:t>
      </w:r>
      <w:r>
        <w:t xml:space="preserve"> </w:t>
      </w:r>
      <w:r>
        <w:rPr>
          <w:i/>
          <w:iCs/>
        </w:rPr>
        <w:t xml:space="preserve">AI and Ethics</w:t>
      </w:r>
      <w:r>
        <w:t xml:space="preserve">,</w:t>
      </w:r>
      <w:r>
        <w:t xml:space="preserve"> </w:t>
      </w:r>
      <w:r>
        <w:rPr>
          <w:i/>
          <w:iCs/>
        </w:rPr>
        <w:t xml:space="preserve">6</w:t>
      </w:r>
      <w:r>
        <w:t xml:space="preserve">(1).</w:t>
      </w:r>
      <w:r>
        <w:t xml:space="preserve"> </w:t>
      </w:r>
      <w:hyperlink r:id="rId177">
        <w:r>
          <w:rPr>
            <w:rStyle w:val="Hyperlink"/>
          </w:rPr>
          <w:t xml:space="preserve">https://doi.org/10.1007/s43681-026-01003-8</w:t>
        </w:r>
      </w:hyperlink>
    </w:p>
    <w:bookmarkEnd w:id="178"/>
    <w:bookmarkStart w:id="180" w:name="ref-1308731"/>
    <w:p>
      <w:pPr>
        <w:pStyle w:val="Bibliography"/>
      </w:pPr>
      <w:r>
        <w:t xml:space="preserve">Chakraborty, D. P. P., Ray, D. S., &amp; Nair, S. V. (2025). Ethical considerations in deploying AI and data-driven technologies for adaptive education.</w:t>
      </w:r>
      <w:r>
        <w:t xml:space="preserve"> </w:t>
      </w:r>
      <w:r>
        <w:rPr>
          <w:i/>
          <w:iCs/>
        </w:rPr>
        <w:t xml:space="preserve">International Journal of Environmental Sciences</w:t>
      </w:r>
      <w:r>
        <w:t xml:space="preserve">.</w:t>
      </w:r>
      <w:r>
        <w:t xml:space="preserve"> </w:t>
      </w:r>
      <w:hyperlink r:id="rId179">
        <w:r>
          <w:rPr>
            <w:rStyle w:val="Hyperlink"/>
          </w:rPr>
          <w:t xml:space="preserve">https://doi.org/10.64252/cef9cs80</w:t>
        </w:r>
      </w:hyperlink>
    </w:p>
    <w:bookmarkEnd w:id="180"/>
    <w:bookmarkStart w:id="182" w:name="ref-8020829"/>
    <w:p>
      <w:pPr>
        <w:pStyle w:val="Bibliography"/>
      </w:pPr>
      <w:r>
        <w:t xml:space="preserve">Cheng, D., Yan, K., Keung, P., &amp; Smith, N. A. (2022, June). The engage corpus: A social media dataset for text-based recommender systems.</w:t>
      </w:r>
      <w:r>
        <w:t xml:space="preserve"> </w:t>
      </w:r>
      <w:r>
        <w:rPr>
          <w:i/>
          <w:iCs/>
        </w:rPr>
        <w:t xml:space="preserve">Proceedings of the Language Resources and Evaluation Conference</w:t>
      </w:r>
      <w:r>
        <w:t xml:space="preserve">.</w:t>
      </w:r>
      <w:r>
        <w:t xml:space="preserve"> </w:t>
      </w:r>
      <w:hyperlink r:id="rId181">
        <w:r>
          <w:rPr>
            <w:rStyle w:val="Hyperlink"/>
          </w:rPr>
          <w:t xml:space="preserve">https://doi.org/10.63317/5hcj5k8wy6rq</w:t>
        </w:r>
      </w:hyperlink>
    </w:p>
    <w:bookmarkEnd w:id="182"/>
    <w:bookmarkStart w:id="184" w:name="ref-6539584"/>
    <w:p>
      <w:pPr>
        <w:pStyle w:val="Bibliography"/>
      </w:pPr>
      <w:r>
        <w:t xml:space="preserve">Chitturi, N. (2025). AI-human synergy: Transforming the future of financial audit.</w:t>
      </w:r>
      <w:r>
        <w:t xml:space="preserve"> </w:t>
      </w:r>
      <w:r>
        <w:rPr>
          <w:i/>
          <w:iCs/>
        </w:rPr>
        <w:t xml:space="preserve">Journal of Information Systems Engineering and Management</w:t>
      </w:r>
      <w:r>
        <w:t xml:space="preserve">,</w:t>
      </w:r>
      <w:r>
        <w:t xml:space="preserve"> </w:t>
      </w:r>
      <w:r>
        <w:rPr>
          <w:i/>
          <w:iCs/>
        </w:rPr>
        <w:t xml:space="preserve">10</w:t>
      </w:r>
      <w:r>
        <w:t xml:space="preserve">(58s).</w:t>
      </w:r>
      <w:r>
        <w:t xml:space="preserve"> </w:t>
      </w:r>
      <w:hyperlink r:id="rId183">
        <w:r>
          <w:rPr>
            <w:rStyle w:val="Hyperlink"/>
          </w:rPr>
          <w:t xml:space="preserve">https://doi.org/10.52783/jisem.v10i58s.12750</w:t>
        </w:r>
      </w:hyperlink>
    </w:p>
    <w:bookmarkEnd w:id="184"/>
    <w:bookmarkStart w:id="186" w:name="ref-9360054"/>
    <w:p>
      <w:pPr>
        <w:pStyle w:val="Bibliography"/>
      </w:pPr>
      <w:r>
        <w:t xml:space="preserve">Chukhray, N., &amp; Koval, S. (2026). DIGITAL LITERACY AND EU POLICIES: HOW REGULATIONS PROMOTE INFORMED CHOICES BY CONSUMERS ON THE INTERNET.</w:t>
      </w:r>
      <w:r>
        <w:t xml:space="preserve"> </w:t>
      </w:r>
      <w:r>
        <w:rPr>
          <w:i/>
          <w:iCs/>
        </w:rPr>
        <w:t xml:space="preserve">Věda a Perspektivy</w:t>
      </w:r>
      <w:r>
        <w:t xml:space="preserve">,</w:t>
      </w:r>
      <w:r>
        <w:t xml:space="preserve"> </w:t>
      </w:r>
      <w:r>
        <w:rPr>
          <w:i/>
          <w:iCs/>
        </w:rPr>
        <w:t xml:space="preserve">1(56)</w:t>
      </w:r>
      <w:r>
        <w:t xml:space="preserve">.</w:t>
      </w:r>
      <w:r>
        <w:t xml:space="preserve"> </w:t>
      </w:r>
      <w:hyperlink r:id="rId185">
        <w:r>
          <w:rPr>
            <w:rStyle w:val="Hyperlink"/>
          </w:rPr>
          <w:t xml:space="preserve">https://doi.org/10.52058/2695-1592-2026-1(56)-22-33</w:t>
        </w:r>
      </w:hyperlink>
    </w:p>
    <w:bookmarkEnd w:id="186"/>
    <w:bookmarkStart w:id="188" w:name="ref-2616018"/>
    <w:p>
      <w:pPr>
        <w:pStyle w:val="Bibliography"/>
      </w:pPr>
      <w:r>
        <w:t xml:space="preserve">Clement, T., Onayemi, H., &amp; Gaffari, M. A. (2025). Ethical and bias-aware data science: Quantifying and mitigating algorithmic inequality.</w:t>
      </w:r>
      <w:r>
        <w:t xml:space="preserve"> </w:t>
      </w:r>
      <w:r>
        <w:rPr>
          <w:i/>
          <w:iCs/>
        </w:rPr>
        <w:t xml:space="preserve">International Journal of Scientific Research and Management (IJSRM)</w:t>
      </w:r>
      <w:r>
        <w:t xml:space="preserve">,</w:t>
      </w:r>
      <w:r>
        <w:t xml:space="preserve"> </w:t>
      </w:r>
      <w:r>
        <w:rPr>
          <w:i/>
          <w:iCs/>
        </w:rPr>
        <w:t xml:space="preserve">13</w:t>
      </w:r>
      <w:r>
        <w:t xml:space="preserve">(11).</w:t>
      </w:r>
      <w:r>
        <w:t xml:space="preserve"> </w:t>
      </w:r>
      <w:hyperlink r:id="rId187">
        <w:r>
          <w:rPr>
            <w:rStyle w:val="Hyperlink"/>
          </w:rPr>
          <w:t xml:space="preserve">https://doi.org/10.18535/ijsrm/v13i11.ec02</w:t>
        </w:r>
      </w:hyperlink>
    </w:p>
    <w:bookmarkEnd w:id="188"/>
    <w:bookmarkStart w:id="190" w:name="ref-2574631"/>
    <w:p>
      <w:pPr>
        <w:pStyle w:val="Bibliography"/>
      </w:pPr>
      <w:r>
        <w:t xml:space="preserve">Dantas, C., Cabrita, M., Midão, L., Carvalho, A. S., &amp; Costa, E. (2025). Categorising challenges and solutions towards ethical AI in breast cancer treatment: A rapid umbrella review complemented by participatory methods.</w:t>
      </w:r>
      <w:r>
        <w:t xml:space="preserve"> </w:t>
      </w:r>
      <w:r>
        <w:rPr>
          <w:i/>
          <w:iCs/>
        </w:rPr>
        <w:t xml:space="preserve">AI and Ethics</w:t>
      </w:r>
      <w:r>
        <w:t xml:space="preserve">,</w:t>
      </w:r>
      <w:r>
        <w:t xml:space="preserve"> </w:t>
      </w:r>
      <w:r>
        <w:rPr>
          <w:i/>
          <w:iCs/>
        </w:rPr>
        <w:t xml:space="preserve">5</w:t>
      </w:r>
      <w:r>
        <w:t xml:space="preserve">(5).</w:t>
      </w:r>
      <w:r>
        <w:t xml:space="preserve"> </w:t>
      </w:r>
      <w:hyperlink r:id="rId189">
        <w:r>
          <w:rPr>
            <w:rStyle w:val="Hyperlink"/>
          </w:rPr>
          <w:t xml:space="preserve">https://doi.org/10.1007/s43681-025-00777-7</w:t>
        </w:r>
      </w:hyperlink>
    </w:p>
    <w:bookmarkEnd w:id="190"/>
    <w:bookmarkStart w:id="192" w:name="ref-6059812"/>
    <w:p>
      <w:pPr>
        <w:pStyle w:val="Bibliography"/>
      </w:pPr>
      <w:r>
        <w:t xml:space="preserve">Deldjoo, Y., Jannach, D., Bellogin, A., Difonzo, A., &amp; Zanzonelli, D. (2023a). Fairness in recommender systems: Research landscape and future directions.</w:t>
      </w:r>
      <w:r>
        <w:t xml:space="preserve"> </w:t>
      </w:r>
      <w:r>
        <w:rPr>
          <w:i/>
          <w:iCs/>
        </w:rPr>
        <w:t xml:space="preserve">User Modeling and User-Adapted Interaction</w:t>
      </w:r>
      <w:r>
        <w:t xml:space="preserve">,</w:t>
      </w:r>
      <w:r>
        <w:t xml:space="preserve"> </w:t>
      </w:r>
      <w:r>
        <w:rPr>
          <w:i/>
          <w:iCs/>
        </w:rPr>
        <w:t xml:space="preserve">34</w:t>
      </w:r>
      <w:r>
        <w:t xml:space="preserve">(1).</w:t>
      </w:r>
      <w:r>
        <w:t xml:space="preserve"> </w:t>
      </w:r>
      <w:hyperlink r:id="rId191">
        <w:r>
          <w:rPr>
            <w:rStyle w:val="Hyperlink"/>
          </w:rPr>
          <w:t xml:space="preserve">https://doi.org/10.1007/s11257-023-09364-z</w:t>
        </w:r>
      </w:hyperlink>
    </w:p>
    <w:bookmarkEnd w:id="192"/>
    <w:bookmarkStart w:id="193" w:name="ref-6577872"/>
    <w:p>
      <w:pPr>
        <w:pStyle w:val="Bibliography"/>
      </w:pPr>
      <w:r>
        <w:t xml:space="preserve">Deldjoo, Y., Jannach, D., Bellogin, A., Difonzo, A., &amp; Zanzonelli, D. (2023b). Fairness in recommender systems: Research landscape and future directions.</w:t>
      </w:r>
      <w:r>
        <w:t xml:space="preserve"> </w:t>
      </w:r>
      <w:r>
        <w:rPr>
          <w:i/>
          <w:iCs/>
        </w:rPr>
        <w:t xml:space="preserve">User Modeling and User-Adapted Interaction</w:t>
      </w:r>
      <w:r>
        <w:t xml:space="preserve">,</w:t>
      </w:r>
      <w:r>
        <w:t xml:space="preserve"> </w:t>
      </w:r>
      <w:r>
        <w:rPr>
          <w:i/>
          <w:iCs/>
        </w:rPr>
        <w:t xml:space="preserve">34</w:t>
      </w:r>
      <w:r>
        <w:t xml:space="preserve">(1).</w:t>
      </w:r>
      <w:r>
        <w:t xml:space="preserve"> </w:t>
      </w:r>
      <w:hyperlink r:id="rId191">
        <w:r>
          <w:rPr>
            <w:rStyle w:val="Hyperlink"/>
          </w:rPr>
          <w:t xml:space="preserve">https://doi.org/10.1007/s11257-023-09364-z</w:t>
        </w:r>
      </w:hyperlink>
    </w:p>
    <w:bookmarkEnd w:id="193"/>
    <w:bookmarkStart w:id="195" w:name="ref-6314747"/>
    <w:p>
      <w:pPr>
        <w:pStyle w:val="Bibliography"/>
      </w:pPr>
      <w:r>
        <w:t xml:space="preserve">Ferraro, A., Ferreira, G., Diaz, F., &amp; Born, G. (2023). Commonality in recommender systems: Evaluating recommender systems to enhance cultural citizenship. In</w:t>
      </w:r>
      <w:r>
        <w:t xml:space="preserve"> </w:t>
      </w:r>
      <w:r>
        <w:rPr>
          <w:i/>
          <w:iCs/>
        </w:rPr>
        <w:t xml:space="preserve">arXiv preprint arXiv:2302.11360v2</w:t>
      </w:r>
      <w:r>
        <w:t xml:space="preserve">.</w:t>
      </w:r>
      <w:r>
        <w:t xml:space="preserve"> </w:t>
      </w:r>
      <w:hyperlink r:id="rId194">
        <w:r>
          <w:rPr>
            <w:rStyle w:val="Hyperlink"/>
          </w:rPr>
          <w:t xml:space="preserve">https://arxiv.org/abs/2302.11360</w:t>
        </w:r>
      </w:hyperlink>
    </w:p>
    <w:bookmarkEnd w:id="195"/>
    <w:bookmarkStart w:id="197" w:name="ref-7422270"/>
    <w:p>
      <w:pPr>
        <w:pStyle w:val="Bibliography"/>
      </w:pPr>
      <w:r>
        <w:t xml:space="preserve">Godoy-Lorite, A., Guimerà, R., &amp; Sales-Pardo, M. (2020). Network-based models for social recommender systems.</w:t>
      </w:r>
      <w:r>
        <w:t xml:space="preserve"> </w:t>
      </w:r>
      <w:r>
        <w:rPr>
          <w:i/>
          <w:iCs/>
        </w:rPr>
        <w:t xml:space="preserve">arXiv:2002.03700v1</w:t>
      </w:r>
      <w:r>
        <w:t xml:space="preserve">.</w:t>
      </w:r>
      <w:r>
        <w:t xml:space="preserve"> </w:t>
      </w:r>
      <w:hyperlink r:id="rId196">
        <w:r>
          <w:rPr>
            <w:rStyle w:val="Hyperlink"/>
          </w:rPr>
          <w:t xml:space="preserve">https://arxiv.org/abs/2002.03700v1</w:t>
        </w:r>
      </w:hyperlink>
    </w:p>
    <w:bookmarkEnd w:id="197"/>
    <w:bookmarkStart w:id="199" w:name="ref-5419804"/>
    <w:p>
      <w:pPr>
        <w:pStyle w:val="Bibliography"/>
      </w:pPr>
      <w:r>
        <w:t xml:space="preserve">Grace Malachi, I., O. Akinola, O., Chioma Mordi, I., Blessing Umoru, N., &amp; A Palmer, S. (2025). AI-augmented mental health care in sahelian herder-farmer corridors: Ethical and scalable approaches via pastoral data trusts.</w:t>
      </w:r>
      <w:r>
        <w:t xml:space="preserve"> </w:t>
      </w:r>
      <w:r>
        <w:rPr>
          <w:i/>
          <w:iCs/>
        </w:rPr>
        <w:t xml:space="preserve">SAP Social AI</w:t>
      </w:r>
      <w:r>
        <w:t xml:space="preserve">,</w:t>
      </w:r>
      <w:r>
        <w:t xml:space="preserve"> </w:t>
      </w:r>
      <w:r>
        <w:rPr>
          <w:i/>
          <w:iCs/>
        </w:rPr>
        <w:t xml:space="preserve">1</w:t>
      </w:r>
      <w:r>
        <w:t xml:space="preserve">.</w:t>
      </w:r>
      <w:r>
        <w:t xml:space="preserve"> </w:t>
      </w:r>
      <w:hyperlink r:id="rId198">
        <w:r>
          <w:rPr>
            <w:rStyle w:val="Hyperlink"/>
          </w:rPr>
          <w:t xml:space="preserve">https://doi.org/10.62486/sai202515</w:t>
        </w:r>
      </w:hyperlink>
    </w:p>
    <w:bookmarkEnd w:id="199"/>
    <w:bookmarkStart w:id="201" w:name="ref-0123790"/>
    <w:p>
      <w:pPr>
        <w:pStyle w:val="Bibliography"/>
      </w:pPr>
      <w:r>
        <w:t xml:space="preserve">Guan, N. (2024). Machine learning algorithms in the development of recommender systems.</w:t>
      </w:r>
      <w:r>
        <w:t xml:space="preserve"> </w:t>
      </w:r>
      <w:r>
        <w:rPr>
          <w:i/>
          <w:iCs/>
        </w:rPr>
        <w:t xml:space="preserve">Applied and Computational Engineering</w:t>
      </w:r>
      <w:r>
        <w:t xml:space="preserve">,</w:t>
      </w:r>
      <w:r>
        <w:t xml:space="preserve"> </w:t>
      </w:r>
      <w:r>
        <w:rPr>
          <w:i/>
          <w:iCs/>
        </w:rPr>
        <w:t xml:space="preserve">51</w:t>
      </w:r>
      <w:r>
        <w:t xml:space="preserve">(1).</w:t>
      </w:r>
      <w:r>
        <w:t xml:space="preserve"> </w:t>
      </w:r>
      <w:hyperlink r:id="rId200">
        <w:r>
          <w:rPr>
            <w:rStyle w:val="Hyperlink"/>
          </w:rPr>
          <w:t xml:space="preserve">https://doi.org/10.54254/2755-2721/51/20241189</w:t>
        </w:r>
      </w:hyperlink>
    </w:p>
    <w:bookmarkEnd w:id="201"/>
    <w:bookmarkStart w:id="203" w:name="ref-4246340"/>
    <w:p>
      <w:pPr>
        <w:pStyle w:val="Bibliography"/>
      </w:pPr>
      <w:r>
        <w:t xml:space="preserve">Hassen, M. (2025). Ethical considerations in AI-powered social innovation: Balancing progress with responsibility.</w:t>
      </w:r>
      <w:r>
        <w:t xml:space="preserve"> </w:t>
      </w:r>
      <w:r>
        <w:rPr>
          <w:i/>
          <w:iCs/>
        </w:rPr>
        <w:t xml:space="preserve">Research and Innovation</w:t>
      </w:r>
      <w:r>
        <w:t xml:space="preserve">,</w:t>
      </w:r>
      <w:r>
        <w:t xml:space="preserve"> </w:t>
      </w:r>
      <w:r>
        <w:rPr>
          <w:i/>
          <w:iCs/>
        </w:rPr>
        <w:t xml:space="preserve">2</w:t>
      </w:r>
      <w:r>
        <w:t xml:space="preserve">(1).</w:t>
      </w:r>
      <w:r>
        <w:t xml:space="preserve"> </w:t>
      </w:r>
      <w:hyperlink r:id="rId202">
        <w:r>
          <w:rPr>
            <w:rStyle w:val="Hyperlink"/>
          </w:rPr>
          <w:t xml:space="preserve">https://doi.org/10.11648/j.ri.20260201.15</w:t>
        </w:r>
      </w:hyperlink>
    </w:p>
    <w:bookmarkEnd w:id="203"/>
    <w:bookmarkStart w:id="205" w:name="ref-1070605"/>
    <w:p>
      <w:pPr>
        <w:pStyle w:val="Bibliography"/>
      </w:pPr>
      <w:r>
        <w:t xml:space="preserve">Hermansyah. (2025). Breaking default bias: How regulatory choice architecture shapes competition in platform ecosystems.</w:t>
      </w:r>
      <w:r>
        <w:t xml:space="preserve"> </w:t>
      </w:r>
      <w:r>
        <w:rPr>
          <w:i/>
          <w:iCs/>
        </w:rPr>
        <w:t xml:space="preserve">Legalis : Journal of Law Review</w:t>
      </w:r>
      <w:r>
        <w:t xml:space="preserve">,</w:t>
      </w:r>
      <w:r>
        <w:t xml:space="preserve"> </w:t>
      </w:r>
      <w:r>
        <w:rPr>
          <w:i/>
          <w:iCs/>
        </w:rPr>
        <w:t xml:space="preserve">3</w:t>
      </w:r>
      <w:r>
        <w:t xml:space="preserve">(3).</w:t>
      </w:r>
      <w:r>
        <w:t xml:space="preserve"> </w:t>
      </w:r>
      <w:hyperlink r:id="rId204">
        <w:r>
          <w:rPr>
            <w:rStyle w:val="Hyperlink"/>
          </w:rPr>
          <w:t xml:space="preserve">https://doi.org/10.61978/legalis.v3i3.1126</w:t>
        </w:r>
      </w:hyperlink>
    </w:p>
    <w:bookmarkEnd w:id="205"/>
    <w:bookmarkStart w:id="207" w:name="ref-3303310"/>
    <w:p>
      <w:pPr>
        <w:pStyle w:val="Bibliography"/>
      </w:pPr>
      <w:r>
        <w:t xml:space="preserve">Hu, Z. (2025). Research on the impact of social media algorithmic on user decision-making: Focus on algorithmic transparent and ethical design.</w:t>
      </w:r>
      <w:r>
        <w:t xml:space="preserve"> </w:t>
      </w:r>
      <w:r>
        <w:rPr>
          <w:i/>
          <w:iCs/>
        </w:rPr>
        <w:t xml:space="preserve">Applied and Computational Engineering</w:t>
      </w:r>
      <w:r>
        <w:t xml:space="preserve">,</w:t>
      </w:r>
      <w:r>
        <w:t xml:space="preserve"> </w:t>
      </w:r>
      <w:r>
        <w:rPr>
          <w:i/>
          <w:iCs/>
        </w:rPr>
        <w:t xml:space="preserve">174</w:t>
      </w:r>
      <w:r>
        <w:t xml:space="preserve">(1).</w:t>
      </w:r>
      <w:r>
        <w:t xml:space="preserve"> </w:t>
      </w:r>
      <w:hyperlink r:id="rId206">
        <w:r>
          <w:rPr>
            <w:rStyle w:val="Hyperlink"/>
          </w:rPr>
          <w:t xml:space="preserve">https://doi.org/10.54254/2755-2721/2025.po24665</w:t>
        </w:r>
      </w:hyperlink>
    </w:p>
    <w:bookmarkEnd w:id="207"/>
    <w:bookmarkStart w:id="209" w:name="ref-2168844"/>
    <w:p>
      <w:pPr>
        <w:pStyle w:val="Bibliography"/>
      </w:pPr>
      <w:r>
        <w:t xml:space="preserve">Hussain, A., &amp; Sheemar, A. (2026). Ethical artificial intelligence: Balancing technological innovation with responsible and trustworthy AI development.</w:t>
      </w:r>
      <w:r>
        <w:t xml:space="preserve"> </w:t>
      </w:r>
      <w:r>
        <w:rPr>
          <w:i/>
          <w:iCs/>
        </w:rPr>
        <w:t xml:space="preserve">Journal of Data and Digital Innovation</w:t>
      </w:r>
      <w:r>
        <w:t xml:space="preserve">,</w:t>
      </w:r>
      <w:r>
        <w:t xml:space="preserve"> </w:t>
      </w:r>
      <w:r>
        <w:rPr>
          <w:i/>
          <w:iCs/>
        </w:rPr>
        <w:t xml:space="preserve">3</w:t>
      </w:r>
      <w:r>
        <w:t xml:space="preserve">(2).</w:t>
      </w:r>
      <w:r>
        <w:t xml:space="preserve"> </w:t>
      </w:r>
      <w:hyperlink r:id="rId208">
        <w:r>
          <w:rPr>
            <w:rStyle w:val="Hyperlink"/>
          </w:rPr>
          <w:t xml:space="preserve">https://doi.org/10.65923/4nm2g031</w:t>
        </w:r>
      </w:hyperlink>
    </w:p>
    <w:bookmarkEnd w:id="209"/>
    <w:bookmarkStart w:id="211" w:name="ref-2190386"/>
    <w:p>
      <w:pPr>
        <w:pStyle w:val="Bibliography"/>
      </w:pPr>
      <w:r>
        <w:t xml:space="preserve">Jannach, D., &amp; Jugovac, M. (2019). Measuring the business value of recommender systems.</w:t>
      </w:r>
      <w:r>
        <w:t xml:space="preserve"> </w:t>
      </w:r>
      <w:r>
        <w:rPr>
          <w:i/>
          <w:iCs/>
        </w:rPr>
        <w:t xml:space="preserve">ACM Transactions on Management Information Systems</w:t>
      </w:r>
      <w:r>
        <w:t xml:space="preserve">,</w:t>
      </w:r>
      <w:r>
        <w:t xml:space="preserve"> </w:t>
      </w:r>
      <w:r>
        <w:rPr>
          <w:i/>
          <w:iCs/>
        </w:rPr>
        <w:t xml:space="preserve">10</w:t>
      </w:r>
      <w:r>
        <w:t xml:space="preserve">(4).</w:t>
      </w:r>
      <w:r>
        <w:t xml:space="preserve"> </w:t>
      </w:r>
      <w:hyperlink r:id="rId210">
        <w:r>
          <w:rPr>
            <w:rStyle w:val="Hyperlink"/>
          </w:rPr>
          <w:t xml:space="preserve">https://doi.org/10.1145/3370082</w:t>
        </w:r>
      </w:hyperlink>
    </w:p>
    <w:bookmarkEnd w:id="211"/>
    <w:bookmarkStart w:id="213" w:name="ref-0751607"/>
    <w:p>
      <w:pPr>
        <w:pStyle w:val="Bibliography"/>
      </w:pPr>
      <w:r>
        <w:t xml:space="preserve">Jayanthi, R. (2025). Internet of things for social education: Ensuring accountability and trust in online learning platforms.</w:t>
      </w:r>
      <w:r>
        <w:t xml:space="preserve"> </w:t>
      </w:r>
      <w:r>
        <w:rPr>
          <w:i/>
          <w:iCs/>
        </w:rPr>
        <w:t xml:space="preserve">Journal of Informatics Education and Research</w:t>
      </w:r>
      <w:r>
        <w:t xml:space="preserve">,</w:t>
      </w:r>
      <w:r>
        <w:t xml:space="preserve"> </w:t>
      </w:r>
      <w:r>
        <w:rPr>
          <w:i/>
          <w:iCs/>
        </w:rPr>
        <w:t xml:space="preserve">5</w:t>
      </w:r>
      <w:r>
        <w:t xml:space="preserve">(1).</w:t>
      </w:r>
      <w:r>
        <w:t xml:space="preserve"> </w:t>
      </w:r>
      <w:hyperlink r:id="rId212">
        <w:r>
          <w:rPr>
            <w:rStyle w:val="Hyperlink"/>
          </w:rPr>
          <w:t xml:space="preserve">https://doi.org/10.52783/jier.v5i1.2108</w:t>
        </w:r>
      </w:hyperlink>
    </w:p>
    <w:bookmarkEnd w:id="213"/>
    <w:bookmarkStart w:id="215" w:name="ref-3278906"/>
    <w:p>
      <w:pPr>
        <w:pStyle w:val="Bibliography"/>
      </w:pPr>
      <w:r>
        <w:t xml:space="preserve">Johar, S. S., Husaini, N. A., Kamil, N. A. M., Heng, F. L., Zaidi, N. D. I. M., Hoong, L. P., Li, L. W., Jian, L. W., &amp; Luo, L. Z. (2025). Ethical and civilizational perspectives on digital technology and social value: A conceptual review.</w:t>
      </w:r>
      <w:r>
        <w:t xml:space="preserve"> </w:t>
      </w:r>
      <w:r>
        <w:rPr>
          <w:i/>
          <w:iCs/>
        </w:rPr>
        <w:t xml:space="preserve">Indonesian Journal of Community Services</w:t>
      </w:r>
      <w:r>
        <w:t xml:space="preserve">,</w:t>
      </w:r>
      <w:r>
        <w:t xml:space="preserve"> </w:t>
      </w:r>
      <w:r>
        <w:rPr>
          <w:i/>
          <w:iCs/>
        </w:rPr>
        <w:t xml:space="preserve">4</w:t>
      </w:r>
      <w:r>
        <w:t xml:space="preserve">(2).</w:t>
      </w:r>
      <w:r>
        <w:t xml:space="preserve"> </w:t>
      </w:r>
      <w:hyperlink r:id="rId214">
        <w:r>
          <w:rPr>
            <w:rStyle w:val="Hyperlink"/>
          </w:rPr>
          <w:t xml:space="preserve">https://doi.org/10.47540/ijcs.v4i2.2256</w:t>
        </w:r>
      </w:hyperlink>
    </w:p>
    <w:bookmarkEnd w:id="215"/>
    <w:bookmarkStart w:id="217" w:name="ref-8584408"/>
    <w:p>
      <w:pPr>
        <w:pStyle w:val="Bibliography"/>
      </w:pPr>
      <w:r>
        <w:t xml:space="preserve">Karim, A. binti A., &amp; Hasan, N. S. binti. (2026). Player engagement and cultural immersion in traditional malaysian games (wau bulan): A quantitative study.</w:t>
      </w:r>
      <w:r>
        <w:t xml:space="preserve"> </w:t>
      </w:r>
      <w:r>
        <w:rPr>
          <w:i/>
          <w:iCs/>
        </w:rPr>
        <w:t xml:space="preserve">International Journal of Research and Innovation in Social Science</w:t>
      </w:r>
      <w:r>
        <w:t xml:space="preserve">,</w:t>
      </w:r>
      <w:r>
        <w:t xml:space="preserve"> </w:t>
      </w:r>
      <w:r>
        <w:rPr>
          <w:i/>
          <w:iCs/>
        </w:rPr>
        <w:t xml:space="preserve">10</w:t>
      </w:r>
      <w:r>
        <w:t xml:space="preserve">(7).</w:t>
      </w:r>
      <w:r>
        <w:t xml:space="preserve"> </w:t>
      </w:r>
      <w:hyperlink r:id="rId216">
        <w:r>
          <w:rPr>
            <w:rStyle w:val="Hyperlink"/>
          </w:rPr>
          <w:t xml:space="preserve">https://doi.org/10.47772/ijriss.2026.100700860</w:t>
        </w:r>
      </w:hyperlink>
    </w:p>
    <w:bookmarkEnd w:id="217"/>
    <w:bookmarkStart w:id="219" w:name="ref-6295677"/>
    <w:p>
      <w:pPr>
        <w:pStyle w:val="Bibliography"/>
      </w:pPr>
      <w:r>
        <w:t xml:space="preserve">Khare, Dr. A., Khare, P., &amp; Siddha, N. (2026). Dark patterns in indian e-commerce: Consumer protection challenges and regulatory gaps.</w:t>
      </w:r>
      <w:r>
        <w:t xml:space="preserve"> </w:t>
      </w:r>
      <w:r>
        <w:rPr>
          <w:i/>
          <w:iCs/>
        </w:rPr>
        <w:t xml:space="preserve">International Journal for Multidimensional Research Perspectives</w:t>
      </w:r>
      <w:r>
        <w:t xml:space="preserve">,</w:t>
      </w:r>
      <w:r>
        <w:t xml:space="preserve"> </w:t>
      </w:r>
      <w:r>
        <w:rPr>
          <w:i/>
          <w:iCs/>
        </w:rPr>
        <w:t xml:space="preserve">4</w:t>
      </w:r>
      <w:r>
        <w:t xml:space="preserve">(7).</w:t>
      </w:r>
      <w:r>
        <w:t xml:space="preserve"> </w:t>
      </w:r>
      <w:hyperlink r:id="rId218">
        <w:r>
          <w:rPr>
            <w:rStyle w:val="Hyperlink"/>
          </w:rPr>
          <w:t xml:space="preserve">https://doi.org/10.61877/ijmrp.v4i7.327</w:t>
        </w:r>
      </w:hyperlink>
    </w:p>
    <w:bookmarkEnd w:id="219"/>
    <w:bookmarkStart w:id="221" w:name="ref-7235975"/>
    <w:p>
      <w:pPr>
        <w:pStyle w:val="Bibliography"/>
      </w:pPr>
      <w:r>
        <w:t xml:space="preserve">Khushboo Sharma, N. M. (2024). "Social impacts of AI – powered online reviews : An ethical consideration".</w:t>
      </w:r>
      <w:r>
        <w:t xml:space="preserve"> </w:t>
      </w:r>
      <w:r>
        <w:rPr>
          <w:i/>
          <w:iCs/>
        </w:rPr>
        <w:t xml:space="preserve">Journal of Informatics Education and Research</w:t>
      </w:r>
      <w:r>
        <w:t xml:space="preserve">,</w:t>
      </w:r>
      <w:r>
        <w:t xml:space="preserve"> </w:t>
      </w:r>
      <w:r>
        <w:rPr>
          <w:i/>
          <w:iCs/>
        </w:rPr>
        <w:t xml:space="preserve">4</w:t>
      </w:r>
      <w:r>
        <w:t xml:space="preserve">(3).</w:t>
      </w:r>
      <w:r>
        <w:t xml:space="preserve"> </w:t>
      </w:r>
      <w:hyperlink r:id="rId220">
        <w:r>
          <w:rPr>
            <w:rStyle w:val="Hyperlink"/>
          </w:rPr>
          <w:t xml:space="preserve">https://doi.org/10.52783/jier.v4i3.1349</w:t>
        </w:r>
      </w:hyperlink>
    </w:p>
    <w:bookmarkEnd w:id="221"/>
    <w:bookmarkStart w:id="223" w:name="ref-2977039"/>
    <w:p>
      <w:pPr>
        <w:pStyle w:val="Bibliography"/>
      </w:pPr>
      <w:r>
        <w:t xml:space="preserve">Kostenko, O. (2025).</w:t>
      </w:r>
      <w:r>
        <w:t xml:space="preserve"> </w:t>
      </w:r>
      <w:r>
        <w:rPr>
          <w:i/>
          <w:iCs/>
        </w:rPr>
        <w:t xml:space="preserve">AI LAW MODEL FOR ETHICAL LEGISLATION: STRATEGIC RECOMMENDATIONS FOR THE REGULATION OF ARTIFICIAL INTELLIGENCE</w:t>
      </w:r>
      <w:r>
        <w:t xml:space="preserve">.</w:t>
      </w:r>
      <w:r>
        <w:t xml:space="preserve"> </w:t>
      </w:r>
      <w:hyperlink r:id="rId222">
        <w:r>
          <w:rPr>
            <w:rStyle w:val="Hyperlink"/>
          </w:rPr>
          <w:t xml:space="preserve">https://doi.org/10.69635/978-1-0690482-5-7</w:t>
        </w:r>
      </w:hyperlink>
    </w:p>
    <w:bookmarkEnd w:id="223"/>
    <w:bookmarkStart w:id="225" w:name="ref-1456534"/>
    <w:p>
      <w:pPr>
        <w:pStyle w:val="Bibliography"/>
      </w:pPr>
      <w:r>
        <w:t xml:space="preserve">Kustura, I. (2025). ALGORITHMIC GOVERNANCE AND ACCOUNTABILITY UNDER EU LAW.</w:t>
      </w:r>
      <w:r>
        <w:t xml:space="preserve"> </w:t>
      </w:r>
      <w:r>
        <w:rPr>
          <w:i/>
          <w:iCs/>
        </w:rPr>
        <w:t xml:space="preserve">IRASA International Scientific Conference SCIENCE, EDUCATION, TECHNOLOGY AND INNOVATION SETI VII 2025</w:t>
      </w:r>
      <w:r>
        <w:t xml:space="preserve">.</w:t>
      </w:r>
      <w:r>
        <w:t xml:space="preserve"> </w:t>
      </w:r>
      <w:hyperlink r:id="rId224">
        <w:r>
          <w:rPr>
            <w:rStyle w:val="Hyperlink"/>
          </w:rPr>
          <w:t xml:space="preserve">https://doi.org/10.62982/seti07.ivku.67</w:t>
        </w:r>
      </w:hyperlink>
    </w:p>
    <w:bookmarkEnd w:id="225"/>
    <w:bookmarkStart w:id="227" w:name="ref-9529573"/>
    <w:p>
      <w:pPr>
        <w:pStyle w:val="Bibliography"/>
      </w:pPr>
      <w:r>
        <w:t xml:space="preserve">Kutsal, A., &amp; Turan, S. (2025). Understanding emotional engagement in immersive VR stress management programs.</w:t>
      </w:r>
      <w:r>
        <w:t xml:space="preserve"> </w:t>
      </w:r>
      <w:r>
        <w:rPr>
          <w:i/>
          <w:iCs/>
        </w:rPr>
        <w:t xml:space="preserve">Health Nexus</w:t>
      </w:r>
      <w:r>
        <w:t xml:space="preserve">,</w:t>
      </w:r>
      <w:r>
        <w:t xml:space="preserve"> </w:t>
      </w:r>
      <w:r>
        <w:rPr>
          <w:i/>
          <w:iCs/>
        </w:rPr>
        <w:t xml:space="preserve">3</w:t>
      </w:r>
      <w:r>
        <w:t xml:space="preserve">(3).</w:t>
      </w:r>
      <w:r>
        <w:t xml:space="preserve"> </w:t>
      </w:r>
      <w:hyperlink r:id="rId226">
        <w:r>
          <w:rPr>
            <w:rStyle w:val="Hyperlink"/>
          </w:rPr>
          <w:t xml:space="preserve">https://doi.org/10.61838/kman.hn.3.3.16</w:t>
        </w:r>
      </w:hyperlink>
    </w:p>
    <w:bookmarkEnd w:id="227"/>
    <w:bookmarkStart w:id="229" w:name="ref-2742041"/>
    <w:p>
      <w:pPr>
        <w:pStyle w:val="Bibliography"/>
      </w:pPr>
      <w:r>
        <w:t xml:space="preserve">Leon, M. (2026). Framework for the ethical and societally conscious AI deployment.</w:t>
      </w:r>
      <w:r>
        <w:t xml:space="preserve"> </w:t>
      </w:r>
      <w:r>
        <w:rPr>
          <w:i/>
          <w:iCs/>
        </w:rPr>
        <w:t xml:space="preserve">WSEAS TRANSACTIONS ON INFORMATION SCIENCE AND APPLICATIONS</w:t>
      </w:r>
      <w:r>
        <w:t xml:space="preserve">.</w:t>
      </w:r>
      <w:r>
        <w:t xml:space="preserve"> </w:t>
      </w:r>
      <w:hyperlink r:id="rId228">
        <w:r>
          <w:rPr>
            <w:rStyle w:val="Hyperlink"/>
          </w:rPr>
          <w:t xml:space="preserve">https://doi.org/10.37394/23209.2026.23.20</w:t>
        </w:r>
      </w:hyperlink>
    </w:p>
    <w:bookmarkEnd w:id="229"/>
    <w:bookmarkStart w:id="231" w:name="ref-8958037"/>
    <w:p>
      <w:pPr>
        <w:pStyle w:val="Bibliography"/>
      </w:pPr>
      <w:r>
        <w:t xml:space="preserve">Li, D. (2026). Psychological mechanisms and intervention strategies for college students’ short-video addiction in algorithmic recommendation scenarios.</w:t>
      </w:r>
      <w:r>
        <w:t xml:space="preserve"> </w:t>
      </w:r>
      <w:r>
        <w:rPr>
          <w:i/>
          <w:iCs/>
        </w:rPr>
        <w:t xml:space="preserve">Education and Social Work</w:t>
      </w:r>
      <w:r>
        <w:t xml:space="preserve">,</w:t>
      </w:r>
      <w:r>
        <w:t xml:space="preserve"> </w:t>
      </w:r>
      <w:r>
        <w:rPr>
          <w:i/>
          <w:iCs/>
        </w:rPr>
        <w:t xml:space="preserve">5</w:t>
      </w:r>
      <w:r>
        <w:t xml:space="preserve">(2).</w:t>
      </w:r>
      <w:r>
        <w:t xml:space="preserve"> </w:t>
      </w:r>
      <w:hyperlink r:id="rId230">
        <w:r>
          <w:rPr>
            <w:rStyle w:val="Hyperlink"/>
          </w:rPr>
          <w:t xml:space="preserve">https://doi.org/10.63313/esw.2014</w:t>
        </w:r>
      </w:hyperlink>
    </w:p>
    <w:bookmarkEnd w:id="231"/>
    <w:bookmarkStart w:id="233" w:name="ref-6087241"/>
    <w:p>
      <w:pPr>
        <w:pStyle w:val="Bibliography"/>
      </w:pPr>
      <w:r>
        <w:t xml:space="preserve">Liu, S., &amp; Keshavarz, A. L. (2026). Dark commercial patterns and consumer behavior: A conceptual framework of manipulation, autonomy, and trust.</w:t>
      </w:r>
      <w:r>
        <w:t xml:space="preserve"> </w:t>
      </w:r>
      <w:r>
        <w:rPr>
          <w:i/>
          <w:iCs/>
        </w:rPr>
        <w:t xml:space="preserve">Journal of Psychology and Behavior Studies</w:t>
      </w:r>
      <w:r>
        <w:t xml:space="preserve">,</w:t>
      </w:r>
      <w:r>
        <w:t xml:space="preserve"> </w:t>
      </w:r>
      <w:r>
        <w:rPr>
          <w:i/>
          <w:iCs/>
        </w:rPr>
        <w:t xml:space="preserve">6</w:t>
      </w:r>
      <w:r>
        <w:t xml:space="preserve">(2).</w:t>
      </w:r>
      <w:r>
        <w:t xml:space="preserve"> </w:t>
      </w:r>
      <w:hyperlink r:id="rId232">
        <w:r>
          <w:rPr>
            <w:rStyle w:val="Hyperlink"/>
          </w:rPr>
          <w:t xml:space="preserve">https://doi.org/10.32996/jpbs.2026.6.2.3</w:t>
        </w:r>
      </w:hyperlink>
    </w:p>
    <w:bookmarkEnd w:id="233"/>
    <w:bookmarkStart w:id="235" w:name="ref-6362702"/>
    <w:p>
      <w:pPr>
        <w:pStyle w:val="Bibliography"/>
      </w:pPr>
      <w:r>
        <w:t xml:space="preserve">Luo, J. (2025). Bridging equity and privacy: Ethical challenges in AI-powered personalized learning platforms for automated grading and tutoring.</w:t>
      </w:r>
      <w:r>
        <w:t xml:space="preserve"> </w:t>
      </w:r>
      <w:r>
        <w:rPr>
          <w:i/>
          <w:iCs/>
        </w:rPr>
        <w:t xml:space="preserve">Advances in Engineering Innovation</w:t>
      </w:r>
      <w:r>
        <w:t xml:space="preserve">,</w:t>
      </w:r>
      <w:r>
        <w:t xml:space="preserve"> </w:t>
      </w:r>
      <w:r>
        <w:rPr>
          <w:i/>
          <w:iCs/>
        </w:rPr>
        <w:t xml:space="preserve">16</w:t>
      </w:r>
      <w:r>
        <w:t xml:space="preserve">(8).</w:t>
      </w:r>
      <w:r>
        <w:t xml:space="preserve"> </w:t>
      </w:r>
      <w:hyperlink r:id="rId234">
        <w:r>
          <w:rPr>
            <w:rStyle w:val="Hyperlink"/>
          </w:rPr>
          <w:t xml:space="preserve">https://doi.org/10.54254/2977-3903/2025.26631</w:t>
        </w:r>
      </w:hyperlink>
    </w:p>
    <w:bookmarkEnd w:id="235"/>
    <w:bookmarkStart w:id="237" w:name="ref-3232181"/>
    <w:p>
      <w:pPr>
        <w:pStyle w:val="Bibliography"/>
      </w:pPr>
      <w:r>
        <w:t xml:space="preserve">Mahay, J. (2025). Do people really act rationally? A behavioral look at decision-making under uncertainty.</w:t>
      </w:r>
      <w:r>
        <w:t xml:space="preserve"> </w:t>
      </w:r>
      <w:r>
        <w:rPr>
          <w:i/>
          <w:iCs/>
        </w:rPr>
        <w:t xml:space="preserve">International Journal For Multidisciplinary Research</w:t>
      </w:r>
      <w:r>
        <w:t xml:space="preserve">,</w:t>
      </w:r>
      <w:r>
        <w:t xml:space="preserve"> </w:t>
      </w:r>
      <w:r>
        <w:rPr>
          <w:i/>
          <w:iCs/>
        </w:rPr>
        <w:t xml:space="preserve">7</w:t>
      </w:r>
      <w:r>
        <w:t xml:space="preserve">(5).</w:t>
      </w:r>
      <w:r>
        <w:t xml:space="preserve"> </w:t>
      </w:r>
      <w:hyperlink r:id="rId236">
        <w:r>
          <w:rPr>
            <w:rStyle w:val="Hyperlink"/>
          </w:rPr>
          <w:t xml:space="preserve">https://doi.org/10.36948/ijfmr.2025.v07i05.56888</w:t>
        </w:r>
      </w:hyperlink>
    </w:p>
    <w:bookmarkEnd w:id="237"/>
    <w:bookmarkStart w:id="239" w:name="ref-4426226"/>
    <w:p>
      <w:pPr>
        <w:pStyle w:val="Bibliography"/>
      </w:pPr>
      <w:r>
        <w:t xml:space="preserve">Maisarah, S., Lee, A., &amp; Azzahranisa, N. (2025). Investigating the user experience of AI chatbots in delivering mental health support to athletes.</w:t>
      </w:r>
      <w:r>
        <w:t xml:space="preserve"> </w:t>
      </w:r>
      <w:r>
        <w:rPr>
          <w:i/>
          <w:iCs/>
        </w:rPr>
        <w:t xml:space="preserve">Health Nexus</w:t>
      </w:r>
      <w:r>
        <w:t xml:space="preserve">,</w:t>
      </w:r>
      <w:r>
        <w:t xml:space="preserve"> </w:t>
      </w:r>
      <w:r>
        <w:rPr>
          <w:i/>
          <w:iCs/>
        </w:rPr>
        <w:t xml:space="preserve">3</w:t>
      </w:r>
      <w:r>
        <w:t xml:space="preserve">(4).</w:t>
      </w:r>
      <w:r>
        <w:t xml:space="preserve"> </w:t>
      </w:r>
      <w:hyperlink r:id="rId238">
        <w:r>
          <w:rPr>
            <w:rStyle w:val="Hyperlink"/>
          </w:rPr>
          <w:t xml:space="preserve">https://doi.org/10.61838/kman.hn.3.4.14</w:t>
        </w:r>
      </w:hyperlink>
    </w:p>
    <w:bookmarkEnd w:id="239"/>
    <w:bookmarkStart w:id="241" w:name="ref-9762591"/>
    <w:p>
      <w:pPr>
        <w:pStyle w:val="Bibliography"/>
      </w:pPr>
      <w:r>
        <w:t xml:space="preserve">Malik, N. (2024). Toward responsible AI-enabled career counselling: Ethical frameworks, educational policy challenges, and human-centred practices.</w:t>
      </w:r>
      <w:r>
        <w:t xml:space="preserve"> </w:t>
      </w:r>
      <w:r>
        <w:rPr>
          <w:i/>
          <w:iCs/>
        </w:rPr>
        <w:t xml:space="preserve">Inverge Journal of Social Sciences</w:t>
      </w:r>
      <w:r>
        <w:t xml:space="preserve">,</w:t>
      </w:r>
      <w:r>
        <w:t xml:space="preserve"> </w:t>
      </w:r>
      <w:r>
        <w:rPr>
          <w:i/>
          <w:iCs/>
        </w:rPr>
        <w:t xml:space="preserve">3</w:t>
      </w:r>
      <w:r>
        <w:t xml:space="preserve">(4).</w:t>
      </w:r>
      <w:r>
        <w:t xml:space="preserve"> </w:t>
      </w:r>
      <w:hyperlink r:id="rId240">
        <w:r>
          <w:rPr>
            <w:rStyle w:val="Hyperlink"/>
          </w:rPr>
          <w:t xml:space="preserve">https://doi.org/10.63544/ijss.v3i4.320</w:t>
        </w:r>
      </w:hyperlink>
    </w:p>
    <w:bookmarkEnd w:id="241"/>
    <w:bookmarkStart w:id="243" w:name="ref-5142478"/>
    <w:p>
      <w:pPr>
        <w:pStyle w:val="Bibliography"/>
      </w:pPr>
      <w:r>
        <w:t xml:space="preserve">Mariia, G. (2025). AI-driven content curation and its impact on media diversity in social networks.</w:t>
      </w:r>
      <w:r>
        <w:t xml:space="preserve"> </w:t>
      </w:r>
      <w:r>
        <w:rPr>
          <w:i/>
          <w:iCs/>
        </w:rPr>
        <w:t xml:space="preserve">Proceedings of the World Conference on Media and Communication</w:t>
      </w:r>
      <w:r>
        <w:t xml:space="preserve">,</w:t>
      </w:r>
      <w:r>
        <w:t xml:space="preserve"> </w:t>
      </w:r>
      <w:r>
        <w:rPr>
          <w:i/>
          <w:iCs/>
        </w:rPr>
        <w:t xml:space="preserve">2</w:t>
      </w:r>
      <w:r>
        <w:t xml:space="preserve">(1).</w:t>
      </w:r>
      <w:r>
        <w:t xml:space="preserve"> </w:t>
      </w:r>
      <w:hyperlink r:id="rId242">
        <w:r>
          <w:rPr>
            <w:rStyle w:val="Hyperlink"/>
          </w:rPr>
          <w:t xml:space="preserve">https://doi.org/10.33422/worldcmc.v2i1.1050</w:t>
        </w:r>
      </w:hyperlink>
    </w:p>
    <w:bookmarkEnd w:id="243"/>
    <w:bookmarkStart w:id="245" w:name="ref-0140790"/>
    <w:p>
      <w:pPr>
        <w:pStyle w:val="Bibliography"/>
      </w:pPr>
      <w:r>
        <w:t xml:space="preserve">Marwantika, A. I., &amp; Dauda, K. O. (2025). Da’wah in the algorithmic era: Investigating bias and validity of islamic artificial intelligence applications.</w:t>
      </w:r>
      <w:r>
        <w:t xml:space="preserve"> </w:t>
      </w:r>
      <w:r>
        <w:rPr>
          <w:i/>
          <w:iCs/>
        </w:rPr>
        <w:t xml:space="preserve">MUHARRIK: Jurnal Dakwah Dan Sosial</w:t>
      </w:r>
      <w:r>
        <w:t xml:space="preserve">,</w:t>
      </w:r>
      <w:r>
        <w:t xml:space="preserve"> </w:t>
      </w:r>
      <w:r>
        <w:rPr>
          <w:i/>
          <w:iCs/>
        </w:rPr>
        <w:t xml:space="preserve">8</w:t>
      </w:r>
      <w:r>
        <w:t xml:space="preserve">(2).</w:t>
      </w:r>
      <w:r>
        <w:t xml:space="preserve"> </w:t>
      </w:r>
      <w:hyperlink r:id="rId244">
        <w:r>
          <w:rPr>
            <w:rStyle w:val="Hyperlink"/>
          </w:rPr>
          <w:t xml:space="preserve">https://doi.org/10.37680/muharrik.v8i2.7730</w:t>
        </w:r>
      </w:hyperlink>
    </w:p>
    <w:bookmarkEnd w:id="245"/>
    <w:bookmarkStart w:id="246" w:name="ref-3195574"/>
    <w:p>
      <w:pPr>
        <w:pStyle w:val="Bibliography"/>
      </w:pPr>
      <w:r>
        <w:t xml:space="preserve">Meßmer, A.-K., &amp; Degeling, M. (2023).</w:t>
      </w:r>
      <w:r>
        <w:t xml:space="preserve"> </w:t>
      </w:r>
      <w:r>
        <w:rPr>
          <w:i/>
          <w:iCs/>
        </w:rPr>
        <w:t xml:space="preserve">Auditing recommender systems: Putting the DSA into practice with a risk-scenario-based approach</w:t>
      </w:r>
      <w:r>
        <w:t xml:space="preserve">.</w:t>
      </w:r>
    </w:p>
    <w:bookmarkEnd w:id="246"/>
    <w:bookmarkStart w:id="248" w:name="ref-2055956"/>
    <w:p>
      <w:pPr>
        <w:pStyle w:val="Bibliography"/>
      </w:pPr>
      <w:r>
        <w:t xml:space="preserve">Mogoi, B. O., Kamau, J., &amp; Ongus, R. (2025). AI-powered mobile proctoring frameworks using machine learning algorithms in higher education: Post-covid trends, challenges, and ethical implications.</w:t>
      </w:r>
      <w:r>
        <w:t xml:space="preserve"> </w:t>
      </w:r>
      <w:r>
        <w:rPr>
          <w:i/>
          <w:iCs/>
        </w:rPr>
        <w:t xml:space="preserve">Aviation Electronics, Information Technology, Telecommunications, Electricals, and Controls (AVITEC)</w:t>
      </w:r>
      <w:r>
        <w:t xml:space="preserve">,</w:t>
      </w:r>
      <w:r>
        <w:t xml:space="preserve"> </w:t>
      </w:r>
      <w:r>
        <w:rPr>
          <w:i/>
          <w:iCs/>
        </w:rPr>
        <w:t xml:space="preserve">8</w:t>
      </w:r>
      <w:r>
        <w:t xml:space="preserve">(1).</w:t>
      </w:r>
      <w:r>
        <w:t xml:space="preserve"> </w:t>
      </w:r>
      <w:hyperlink r:id="rId247">
        <w:r>
          <w:rPr>
            <w:rStyle w:val="Hyperlink"/>
          </w:rPr>
          <w:t xml:space="preserve">https://doi.org/10.28989/avitec.v8i1.3600</w:t>
        </w:r>
      </w:hyperlink>
    </w:p>
    <w:bookmarkEnd w:id="248"/>
    <w:bookmarkStart w:id="250" w:name="ref-6794105"/>
    <w:p>
      <w:pPr>
        <w:pStyle w:val="Bibliography"/>
      </w:pPr>
      <w:r>
        <w:t xml:space="preserve">Mohammed, S. S. (2025). Navigating algorithmic accountability and ethical governance in autonomous data analytics systems: Toward transparent, bias-resistant, and human-centric AI frameworks for critical decision-making.</w:t>
      </w:r>
      <w:r>
        <w:t xml:space="preserve"> </w:t>
      </w:r>
      <w:r>
        <w:rPr>
          <w:i/>
          <w:iCs/>
        </w:rPr>
        <w:t xml:space="preserve">International Journal of Innovative Science and Research Technology</w:t>
      </w:r>
      <w:r>
        <w:t xml:space="preserve">.</w:t>
      </w:r>
      <w:r>
        <w:t xml:space="preserve"> </w:t>
      </w:r>
      <w:hyperlink r:id="rId249">
        <w:r>
          <w:rPr>
            <w:rStyle w:val="Hyperlink"/>
          </w:rPr>
          <w:t xml:space="preserve">https://doi.org/10.38124/ijisrt/25oct919</w:t>
        </w:r>
      </w:hyperlink>
    </w:p>
    <w:bookmarkEnd w:id="250"/>
    <w:bookmarkStart w:id="252" w:name="ref-7042289"/>
    <w:p>
      <w:pPr>
        <w:pStyle w:val="Bibliography"/>
      </w:pPr>
      <w:r>
        <w:t xml:space="preserve">Munyaradzi, P., &amp; Lovichakorntikul, P. (2026). Financial attitudes and non-performing loans among phuket’s generation y.</w:t>
      </w:r>
      <w:r>
        <w:t xml:space="preserve"> </w:t>
      </w:r>
      <w:r>
        <w:rPr>
          <w:i/>
          <w:iCs/>
        </w:rPr>
        <w:t xml:space="preserve">HUMAN BEHAVIOR DEVELOPMENT and SOCIETY</w:t>
      </w:r>
      <w:r>
        <w:t xml:space="preserve">.</w:t>
      </w:r>
      <w:r>
        <w:t xml:space="preserve"> </w:t>
      </w:r>
      <w:hyperlink r:id="rId251">
        <w:r>
          <w:rPr>
            <w:rStyle w:val="Hyperlink"/>
          </w:rPr>
          <w:t xml:space="preserve">https://doi.org/10.62370/hbds.v27i1.282622</w:t>
        </w:r>
      </w:hyperlink>
    </w:p>
    <w:bookmarkEnd w:id="252"/>
    <w:bookmarkStart w:id="254" w:name="ref-2702055"/>
    <w:p>
      <w:pPr>
        <w:pStyle w:val="Bibliography"/>
      </w:pPr>
      <w:r>
        <w:t xml:space="preserve">Mutawa, F. A., Nizam, Z., &amp; Bakker, A. (2025). ETHICAL AI IN ISLAMIC PHILANTHROPY: A FRAMEWORK FOR ALGORITHMIC ZAKAT DISTRIBUTION AND GOVERNANCE.</w:t>
      </w:r>
      <w:r>
        <w:t xml:space="preserve"> </w:t>
      </w:r>
      <w:r>
        <w:rPr>
          <w:i/>
          <w:iCs/>
        </w:rPr>
        <w:t xml:space="preserve">Journal Islamic Economic Minangkabau</w:t>
      </w:r>
      <w:r>
        <w:t xml:space="preserve">,</w:t>
      </w:r>
      <w:r>
        <w:t xml:space="preserve"> </w:t>
      </w:r>
      <w:r>
        <w:rPr>
          <w:i/>
          <w:iCs/>
        </w:rPr>
        <w:t xml:space="preserve">3</w:t>
      </w:r>
      <w:r>
        <w:t xml:space="preserve">(2).</w:t>
      </w:r>
      <w:r>
        <w:t xml:space="preserve"> </w:t>
      </w:r>
      <w:hyperlink r:id="rId253">
        <w:r>
          <w:rPr>
            <w:rStyle w:val="Hyperlink"/>
          </w:rPr>
          <w:t xml:space="preserve">https://doi.org/10.70177/jiem.v3i2.2750</w:t>
        </w:r>
      </w:hyperlink>
    </w:p>
    <w:bookmarkEnd w:id="254"/>
    <w:bookmarkStart w:id="256" w:name="ref-6839355"/>
    <w:p>
      <w:pPr>
        <w:pStyle w:val="Bibliography"/>
      </w:pPr>
      <w:r>
        <w:t xml:space="preserve">Nesterov, V. (2024). ANALYZING USER BEHAVIOR PATTERNS FOR PERSONALIZED RECOMMENDER SYSTEMS IN e-COMMERCE: A LITERATURE REVIEW.</w:t>
      </w:r>
      <w:r>
        <w:t xml:space="preserve"> </w:t>
      </w:r>
      <w:r>
        <w:rPr>
          <w:i/>
          <w:iCs/>
        </w:rPr>
        <w:t xml:space="preserve">Automation of Technological and Business Processes</w:t>
      </w:r>
      <w:r>
        <w:t xml:space="preserve">,</w:t>
      </w:r>
      <w:r>
        <w:t xml:space="preserve"> </w:t>
      </w:r>
      <w:r>
        <w:rPr>
          <w:i/>
          <w:iCs/>
        </w:rPr>
        <w:t xml:space="preserve">16</w:t>
      </w:r>
      <w:r>
        <w:t xml:space="preserve">(3).</w:t>
      </w:r>
      <w:r>
        <w:t xml:space="preserve"> </w:t>
      </w:r>
      <w:hyperlink r:id="rId255">
        <w:r>
          <w:rPr>
            <w:rStyle w:val="Hyperlink"/>
          </w:rPr>
          <w:t xml:space="preserve">https://doi.org/10.15673/atbp.v16i3.2923</w:t>
        </w:r>
      </w:hyperlink>
    </w:p>
    <w:bookmarkEnd w:id="256"/>
    <w:bookmarkStart w:id="258" w:name="ref-7063165"/>
    <w:p>
      <w:pPr>
        <w:pStyle w:val="Bibliography"/>
      </w:pPr>
      <w:r>
        <w:t xml:space="preserve">Noorian Avval, A. A., &amp; Harounabadi, A. (2023). A hybrid recommender system using topic modeling and prefixspan algorithm in social media.</w:t>
      </w:r>
      <w:r>
        <w:t xml:space="preserve"> </w:t>
      </w:r>
      <w:r>
        <w:rPr>
          <w:i/>
          <w:iCs/>
        </w:rPr>
        <w:t xml:space="preserve">Complex &amp;Amp; Intelligent Systems</w:t>
      </w:r>
      <w:r>
        <w:t xml:space="preserve">,</w:t>
      </w:r>
      <w:r>
        <w:t xml:space="preserve"> </w:t>
      </w:r>
      <w:r>
        <w:rPr>
          <w:i/>
          <w:iCs/>
        </w:rPr>
        <w:t xml:space="preserve">9</w:t>
      </w:r>
      <w:r>
        <w:t xml:space="preserve">(4).</w:t>
      </w:r>
      <w:r>
        <w:t xml:space="preserve"> </w:t>
      </w:r>
      <w:hyperlink r:id="rId257">
        <w:r>
          <w:rPr>
            <w:rStyle w:val="Hyperlink"/>
          </w:rPr>
          <w:t xml:space="preserve">https://doi.org/10.1007/s40747-022-00958-5</w:t>
        </w:r>
      </w:hyperlink>
    </w:p>
    <w:bookmarkEnd w:id="258"/>
    <w:bookmarkStart w:id="260" w:name="ref-8325651"/>
    <w:p>
      <w:pPr>
        <w:pStyle w:val="Bibliography"/>
      </w:pPr>
      <w:r>
        <w:t xml:space="preserve">Olayinka, O. T., Temitope, O. I., Thomas, A. S., &amp; Oluwole, A. P. (2025). Co-designing ethical AI with faith communities: Advancing worship innovation, moral governance, and resilient digital ecosystems.</w:t>
      </w:r>
      <w:r>
        <w:t xml:space="preserve"> </w:t>
      </w:r>
      <w:r>
        <w:rPr>
          <w:i/>
          <w:iCs/>
        </w:rPr>
        <w:t xml:space="preserve">African Multidisciplinary Journal of Sciences and Artificial Intelligence</w:t>
      </w:r>
      <w:r>
        <w:t xml:space="preserve">,</w:t>
      </w:r>
      <w:r>
        <w:t xml:space="preserve"> </w:t>
      </w:r>
      <w:r>
        <w:rPr>
          <w:i/>
          <w:iCs/>
        </w:rPr>
        <w:t xml:space="preserve">2</w:t>
      </w:r>
      <w:r>
        <w:t xml:space="preserve">(3).</w:t>
      </w:r>
      <w:r>
        <w:t xml:space="preserve"> </w:t>
      </w:r>
      <w:hyperlink r:id="rId259">
        <w:r>
          <w:rPr>
            <w:rStyle w:val="Hyperlink"/>
          </w:rPr>
          <w:t xml:space="preserve">https://doi.org/10.58578/amjsai.v2i3.7872</w:t>
        </w:r>
      </w:hyperlink>
    </w:p>
    <w:bookmarkEnd w:id="260"/>
    <w:bookmarkStart w:id="262" w:name="ref-6249388"/>
    <w:p>
      <w:pPr>
        <w:pStyle w:val="Bibliography"/>
      </w:pPr>
      <w:r>
        <w:t xml:space="preserve">Polatidis, N., Baimagambetov, A., Kehagias, D., Trovati, M., Sarigiannidis, P., &amp; Manolopoulos, Y. (2026). Datasets for recommender systems: A survey and comparative overview.</w:t>
      </w:r>
      <w:r>
        <w:t xml:space="preserve"> </w:t>
      </w:r>
      <w:r>
        <w:rPr>
          <w:i/>
          <w:iCs/>
        </w:rPr>
        <w:t xml:space="preserve">Journal of Intelligent Information Systems</w:t>
      </w:r>
      <w:r>
        <w:t xml:space="preserve">.</w:t>
      </w:r>
      <w:r>
        <w:t xml:space="preserve"> </w:t>
      </w:r>
      <w:hyperlink r:id="rId261">
        <w:r>
          <w:rPr>
            <w:rStyle w:val="Hyperlink"/>
          </w:rPr>
          <w:t xml:space="preserve">https://doi.org/10.1007/s10844-026-01068-1</w:t>
        </w:r>
      </w:hyperlink>
    </w:p>
    <w:bookmarkEnd w:id="262"/>
    <w:bookmarkStart w:id="264" w:name="ref-6941611"/>
    <w:p>
      <w:pPr>
        <w:pStyle w:val="Bibliography"/>
      </w:pPr>
      <w:r>
        <w:t xml:space="preserve">Quinelato, P. D. (2024). Consumer manipulation through behavioral advertising.</w:t>
      </w:r>
      <w:r>
        <w:t xml:space="preserve"> </w:t>
      </w:r>
      <w:r>
        <w:rPr>
          <w:i/>
          <w:iCs/>
        </w:rPr>
        <w:t xml:space="preserve">Brazilian Journal of Law, Technology and Innovation</w:t>
      </w:r>
      <w:r>
        <w:t xml:space="preserve">,</w:t>
      </w:r>
      <w:r>
        <w:t xml:space="preserve"> </w:t>
      </w:r>
      <w:r>
        <w:rPr>
          <w:i/>
          <w:iCs/>
        </w:rPr>
        <w:t xml:space="preserve">2</w:t>
      </w:r>
      <w:r>
        <w:t xml:space="preserve">(1).</w:t>
      </w:r>
      <w:r>
        <w:t xml:space="preserve"> </w:t>
      </w:r>
      <w:hyperlink r:id="rId263">
        <w:r>
          <w:rPr>
            <w:rStyle w:val="Hyperlink"/>
          </w:rPr>
          <w:t xml:space="preserve">https://doi.org/10.59224/bjlti.v2i1.1-24</w:t>
        </w:r>
      </w:hyperlink>
    </w:p>
    <w:bookmarkEnd w:id="264"/>
    <w:bookmarkStart w:id="266" w:name="ref-4245543"/>
    <w:p>
      <w:pPr>
        <w:pStyle w:val="Bibliography"/>
      </w:pPr>
      <w:r>
        <w:t xml:space="preserve">Raaj S., K., Sujithra, &amp; Aishwarya. (2026). From ethical consumption to algorithmic finance: A comparative qualitative study of human judgment, AI decision support, and sustainable financial behavior among students.</w:t>
      </w:r>
      <w:r>
        <w:t xml:space="preserve"> </w:t>
      </w:r>
      <w:r>
        <w:rPr>
          <w:i/>
          <w:iCs/>
        </w:rPr>
        <w:t xml:space="preserve">International Journal on Research and Development - A Management Review</w:t>
      </w:r>
      <w:r>
        <w:t xml:space="preserve">,</w:t>
      </w:r>
      <w:r>
        <w:t xml:space="preserve"> </w:t>
      </w:r>
      <w:r>
        <w:rPr>
          <w:i/>
          <w:iCs/>
        </w:rPr>
        <w:t xml:space="preserve">15</w:t>
      </w:r>
      <w:r>
        <w:t xml:space="preserve">(1).</w:t>
      </w:r>
      <w:r>
        <w:t xml:space="preserve"> </w:t>
      </w:r>
      <w:hyperlink r:id="rId265">
        <w:r>
          <w:rPr>
            <w:rStyle w:val="Hyperlink"/>
          </w:rPr>
          <w:t xml:space="preserve">https://doi.org/10.65521/ijrdmr.v15i1.1879</w:t>
        </w:r>
      </w:hyperlink>
    </w:p>
    <w:bookmarkEnd w:id="266"/>
    <w:bookmarkStart w:id="268" w:name="ref-5403359"/>
    <w:p>
      <w:pPr>
        <w:pStyle w:val="Bibliography"/>
      </w:pPr>
      <w:r>
        <w:t xml:space="preserve">Rafie, L., Zahrakar, K., &amp; Mohammadkhani, P. (2025). Development and validation of an educational protocol based on the phenomenology of self-harming behaviors in adolescent girls with a history of non-suicidal self-injury.</w:t>
      </w:r>
      <w:r>
        <w:t xml:space="preserve"> </w:t>
      </w:r>
      <w:r>
        <w:rPr>
          <w:i/>
          <w:iCs/>
        </w:rPr>
        <w:t xml:space="preserve">Journal of Adolescent and Youth Psychological Studies</w:t>
      </w:r>
      <w:r>
        <w:t xml:space="preserve">,</w:t>
      </w:r>
      <w:r>
        <w:t xml:space="preserve"> </w:t>
      </w:r>
      <w:r>
        <w:rPr>
          <w:i/>
          <w:iCs/>
        </w:rPr>
        <w:t xml:space="preserve">6</w:t>
      </w:r>
      <w:r>
        <w:t xml:space="preserve">(9).</w:t>
      </w:r>
      <w:r>
        <w:t xml:space="preserve"> </w:t>
      </w:r>
      <w:hyperlink r:id="rId267">
        <w:r>
          <w:rPr>
            <w:rStyle w:val="Hyperlink"/>
          </w:rPr>
          <w:t xml:space="preserve">https://doi.org/10.61838/kman.jayps.4398</w:t>
        </w:r>
      </w:hyperlink>
    </w:p>
    <w:bookmarkEnd w:id="268"/>
    <w:bookmarkStart w:id="270" w:name="ref-8026166"/>
    <w:p>
      <w:pPr>
        <w:pStyle w:val="Bibliography"/>
      </w:pPr>
      <w:r>
        <w:t xml:space="preserve">Reafee, W., Salim, N., &amp; Khan, A. (2016). The power of implicit social relation in rating prediction of social recommender systems.</w:t>
      </w:r>
      <w:r>
        <w:t xml:space="preserve"> </w:t>
      </w:r>
      <w:r>
        <w:rPr>
          <w:i/>
          <w:iCs/>
        </w:rPr>
        <w:t xml:space="preserve">PLOS ONE</w:t>
      </w:r>
      <w:r>
        <w:t xml:space="preserve">,</w:t>
      </w:r>
      <w:r>
        <w:t xml:space="preserve"> </w:t>
      </w:r>
      <w:r>
        <w:rPr>
          <w:i/>
          <w:iCs/>
        </w:rPr>
        <w:t xml:space="preserve">11</w:t>
      </w:r>
      <w:r>
        <w:t xml:space="preserve">(5).</w:t>
      </w:r>
      <w:r>
        <w:t xml:space="preserve"> </w:t>
      </w:r>
      <w:hyperlink r:id="rId269">
        <w:r>
          <w:rPr>
            <w:rStyle w:val="Hyperlink"/>
          </w:rPr>
          <w:t xml:space="preserve">https://doi.org/10.1371/journal.pone.0154848</w:t>
        </w:r>
      </w:hyperlink>
    </w:p>
    <w:bookmarkEnd w:id="270"/>
    <w:bookmarkStart w:id="272" w:name="ref-2580223"/>
    <w:p>
      <w:pPr>
        <w:pStyle w:val="Bibliography"/>
      </w:pPr>
      <w:r>
        <w:t xml:space="preserve">Regehr, K., Shaughnessy, C., Zhao, M., Cambazoglu, I., Turner, A., &amp; Shaughnessy, N. (2025). Normalizing toxicity: The role of recommender algorithms for young people’s mental health and social wellbeing.</w:t>
      </w:r>
      <w:r>
        <w:t xml:space="preserve"> </w:t>
      </w:r>
      <w:r>
        <w:rPr>
          <w:i/>
          <w:iCs/>
        </w:rPr>
        <w:t xml:space="preserve">Frontiers in Psychology</w:t>
      </w:r>
      <w:r>
        <w:t xml:space="preserve">,</w:t>
      </w:r>
      <w:r>
        <w:t xml:space="preserve"> </w:t>
      </w:r>
      <w:r>
        <w:rPr>
          <w:i/>
          <w:iCs/>
        </w:rPr>
        <w:t xml:space="preserve">16</w:t>
      </w:r>
      <w:r>
        <w:t xml:space="preserve">.</w:t>
      </w:r>
      <w:r>
        <w:t xml:space="preserve"> </w:t>
      </w:r>
      <w:hyperlink r:id="rId271">
        <w:r>
          <w:rPr>
            <w:rStyle w:val="Hyperlink"/>
          </w:rPr>
          <w:t xml:space="preserve">https://doi.org/10.3389/fpsyg.2025.1523649</w:t>
        </w:r>
      </w:hyperlink>
    </w:p>
    <w:bookmarkEnd w:id="272"/>
    <w:bookmarkStart w:id="274" w:name="ref-8907572"/>
    <w:p>
      <w:pPr>
        <w:pStyle w:val="Bibliography"/>
      </w:pPr>
      <w:r>
        <w:t xml:space="preserve">S, T. (2026). Ethical AI governance in cloud-based financial ecosystems.</w:t>
      </w:r>
      <w:r>
        <w:t xml:space="preserve"> </w:t>
      </w:r>
      <w:r>
        <w:rPr>
          <w:i/>
          <w:iCs/>
        </w:rPr>
        <w:t xml:space="preserve">International Journal of Multidisciplinary in Humanities and Social Sciences</w:t>
      </w:r>
      <w:r>
        <w:t xml:space="preserve">,</w:t>
      </w:r>
      <w:r>
        <w:t xml:space="preserve"> </w:t>
      </w:r>
      <w:r>
        <w:rPr>
          <w:i/>
          <w:iCs/>
        </w:rPr>
        <w:t xml:space="preserve">2</w:t>
      </w:r>
      <w:r>
        <w:t xml:space="preserve">(2).</w:t>
      </w:r>
      <w:r>
        <w:t xml:space="preserve"> </w:t>
      </w:r>
      <w:hyperlink r:id="rId273">
        <w:r>
          <w:rPr>
            <w:rStyle w:val="Hyperlink"/>
          </w:rPr>
          <w:t xml:space="preserve">https://doi.org/10.64137/31079385/ijmhss-v2i2p105</w:t>
        </w:r>
      </w:hyperlink>
    </w:p>
    <w:bookmarkEnd w:id="274"/>
    <w:bookmarkStart w:id="276" w:name="ref-3151084"/>
    <w:p>
      <w:pPr>
        <w:pStyle w:val="Bibliography"/>
      </w:pPr>
      <w:r>
        <w:t xml:space="preserve">Sánchez, P., &amp; Bellogín, A. (2022). Point-of-interest recommender systems based on location-based social networks: A survey from an experimental perspective.</w:t>
      </w:r>
      <w:r>
        <w:t xml:space="preserve"> </w:t>
      </w:r>
      <w:r>
        <w:rPr>
          <w:i/>
          <w:iCs/>
        </w:rPr>
        <w:t xml:space="preserve">ACM Computing Surveys</w:t>
      </w:r>
      <w:r>
        <w:t xml:space="preserve">,</w:t>
      </w:r>
      <w:r>
        <w:t xml:space="preserve"> </w:t>
      </w:r>
      <w:r>
        <w:rPr>
          <w:i/>
          <w:iCs/>
        </w:rPr>
        <w:t xml:space="preserve">54</w:t>
      </w:r>
      <w:r>
        <w:t xml:space="preserve">(11s).</w:t>
      </w:r>
      <w:r>
        <w:t xml:space="preserve"> </w:t>
      </w:r>
      <w:hyperlink r:id="rId275">
        <w:r>
          <w:rPr>
            <w:rStyle w:val="Hyperlink"/>
          </w:rPr>
          <w:t xml:space="preserve">https://doi.org/10.1145/3510409</w:t>
        </w:r>
      </w:hyperlink>
    </w:p>
    <w:bookmarkEnd w:id="276"/>
    <w:bookmarkStart w:id="278" w:name="ref-9051044"/>
    <w:p>
      <w:pPr>
        <w:pStyle w:val="Bibliography"/>
      </w:pPr>
      <w:r>
        <w:t xml:space="preserve">Sánchez, P., Bellogín, A., &amp; Boratto, L. (2023). Bias characterization, assessment, and mitigation in location-based recommender systems.</w:t>
      </w:r>
      <w:r>
        <w:t xml:space="preserve"> </w:t>
      </w:r>
      <w:r>
        <w:rPr>
          <w:i/>
          <w:iCs/>
        </w:rPr>
        <w:t xml:space="preserve">Data Mining and Knowledge Discovery</w:t>
      </w:r>
      <w:r>
        <w:t xml:space="preserve">,</w:t>
      </w:r>
      <w:r>
        <w:t xml:space="preserve"> </w:t>
      </w:r>
      <w:r>
        <w:rPr>
          <w:i/>
          <w:iCs/>
        </w:rPr>
        <w:t xml:space="preserve">37</w:t>
      </w:r>
      <w:r>
        <w:t xml:space="preserve">(5).</w:t>
      </w:r>
      <w:r>
        <w:t xml:space="preserve"> </w:t>
      </w:r>
      <w:hyperlink r:id="rId277">
        <w:r>
          <w:rPr>
            <w:rStyle w:val="Hyperlink"/>
          </w:rPr>
          <w:t xml:space="preserve">https://doi.org/10.1007/s10618-022-00913-5</w:t>
        </w:r>
      </w:hyperlink>
    </w:p>
    <w:bookmarkEnd w:id="278"/>
    <w:bookmarkStart w:id="280" w:name="ref-7896734"/>
    <w:p>
      <w:pPr>
        <w:pStyle w:val="Bibliography"/>
      </w:pPr>
      <w:r>
        <w:t xml:space="preserve">Sanikidze, S. (2026). DARK PATTERNS IN THE AGE OF ARTIFICIAL INTELLIGENCE: HOW AI MISLEADS CONSUMERS IN GLOBAL e-COMMERCE.</w:t>
      </w:r>
      <w:r>
        <w:t xml:space="preserve"> </w:t>
      </w:r>
      <w:r>
        <w:rPr>
          <w:i/>
          <w:iCs/>
        </w:rPr>
        <w:t xml:space="preserve">AGORA INTERNATIONAL JOURNAL OF ECONOMICAL SCIENCES</w:t>
      </w:r>
      <w:r>
        <w:t xml:space="preserve">,</w:t>
      </w:r>
      <w:r>
        <w:t xml:space="preserve"> </w:t>
      </w:r>
      <w:r>
        <w:rPr>
          <w:i/>
          <w:iCs/>
        </w:rPr>
        <w:t xml:space="preserve">20</w:t>
      </w:r>
      <w:r>
        <w:t xml:space="preserve">(1).</w:t>
      </w:r>
      <w:r>
        <w:t xml:space="preserve"> </w:t>
      </w:r>
      <w:hyperlink r:id="rId279">
        <w:r>
          <w:rPr>
            <w:rStyle w:val="Hyperlink"/>
          </w:rPr>
          <w:t xml:space="preserve">https://doi.org/10.15837/aijes.v20i1.7638</w:t>
        </w:r>
      </w:hyperlink>
    </w:p>
    <w:bookmarkEnd w:id="280"/>
    <w:bookmarkStart w:id="282" w:name="ref-8589961"/>
    <w:p>
      <w:pPr>
        <w:pStyle w:val="Bibliography"/>
      </w:pPr>
      <w:r>
        <w:t xml:space="preserve">Sankaran, S. (2025, August). Enhancing trust through standards: A comparative risk-impact framework for aligning ISO AI standards with global ethical and regulatory contexts.</w:t>
      </w:r>
      <w:r>
        <w:t xml:space="preserve"> </w:t>
      </w:r>
      <w:r>
        <w:rPr>
          <w:i/>
          <w:iCs/>
        </w:rPr>
        <w:t xml:space="preserve">2025 International Conference on Artificial Intelligence, Computer, Data Sciences and Applications (ACDSA)</w:t>
      </w:r>
      <w:r>
        <w:t xml:space="preserve">.</w:t>
      </w:r>
      <w:r>
        <w:t xml:space="preserve"> </w:t>
      </w:r>
      <w:hyperlink r:id="rId281">
        <w:r>
          <w:rPr>
            <w:rStyle w:val="Hyperlink"/>
          </w:rPr>
          <w:t xml:space="preserve">https://doi.org/10.1109/acdsa65407.2025.11166403</w:t>
        </w:r>
      </w:hyperlink>
    </w:p>
    <w:bookmarkEnd w:id="282"/>
    <w:bookmarkStart w:id="284" w:name="ref-5442231"/>
    <w:p>
      <w:pPr>
        <w:pStyle w:val="Bibliography"/>
      </w:pPr>
      <w:r>
        <w:t xml:space="preserve">Sebastian, D. (2025). Ethical architecture in AI-driven credit: Balancing inclusion, fairness, and transparency.</w:t>
      </w:r>
      <w:r>
        <w:t xml:space="preserve"> </w:t>
      </w:r>
      <w:r>
        <w:rPr>
          <w:i/>
          <w:iCs/>
        </w:rPr>
        <w:t xml:space="preserve">Journal of Information Systems Engineering and Management</w:t>
      </w:r>
      <w:r>
        <w:t xml:space="preserve">,</w:t>
      </w:r>
      <w:r>
        <w:t xml:space="preserve"> </w:t>
      </w:r>
      <w:r>
        <w:rPr>
          <w:i/>
          <w:iCs/>
        </w:rPr>
        <w:t xml:space="preserve">10</w:t>
      </w:r>
      <w:r>
        <w:t xml:space="preserve">(60s).</w:t>
      </w:r>
      <w:r>
        <w:t xml:space="preserve"> </w:t>
      </w:r>
      <w:hyperlink r:id="rId283">
        <w:r>
          <w:rPr>
            <w:rStyle w:val="Hyperlink"/>
          </w:rPr>
          <w:t xml:space="preserve">https://doi.org/10.52783/jisem.v10i60s.13275</w:t>
        </w:r>
      </w:hyperlink>
    </w:p>
    <w:bookmarkEnd w:id="284"/>
    <w:bookmarkStart w:id="286" w:name="ref-6805789"/>
    <w:p>
      <w:pPr>
        <w:pStyle w:val="Bibliography"/>
      </w:pPr>
      <w:r>
        <w:t xml:space="preserve">Selvam, M., &amp; González Vallejo, R. (2025). Human-in-the-loop models for ethical AI grading: Combining AI speed with human ethical oversight.</w:t>
      </w:r>
      <w:r>
        <w:t xml:space="preserve"> </w:t>
      </w:r>
      <w:r>
        <w:rPr>
          <w:i/>
          <w:iCs/>
        </w:rPr>
        <w:t xml:space="preserve">EthAIca</w:t>
      </w:r>
      <w:r>
        <w:t xml:space="preserve">,</w:t>
      </w:r>
      <w:r>
        <w:t xml:space="preserve"> </w:t>
      </w:r>
      <w:r>
        <w:rPr>
          <w:i/>
          <w:iCs/>
        </w:rPr>
        <w:t xml:space="preserve">4</w:t>
      </w:r>
      <w:r>
        <w:t xml:space="preserve">.</w:t>
      </w:r>
      <w:r>
        <w:t xml:space="preserve"> </w:t>
      </w:r>
      <w:hyperlink r:id="rId285">
        <w:r>
          <w:rPr>
            <w:rStyle w:val="Hyperlink"/>
          </w:rPr>
          <w:t xml:space="preserve">https://doi.org/10.56294/ai2025413</w:t>
        </w:r>
      </w:hyperlink>
    </w:p>
    <w:bookmarkEnd w:id="286"/>
    <w:bookmarkStart w:id="288" w:name="ref-4639902"/>
    <w:p>
      <w:pPr>
        <w:pStyle w:val="Bibliography"/>
      </w:pPr>
      <w:r>
        <w:t xml:space="preserve">Serhii, P. (2025). INTELLIGENT AUDIT: HOW ARTIFICIAL INTELLIGENCE IS REWRITING THE RULES OF THE FINANCIAL WORLD.</w:t>
      </w:r>
      <w:r>
        <w:t xml:space="preserve"> </w:t>
      </w:r>
      <w:r>
        <w:rPr>
          <w:i/>
          <w:iCs/>
        </w:rPr>
        <w:t xml:space="preserve">Grail of Science</w:t>
      </w:r>
      <w:r>
        <w:t xml:space="preserve">,</w:t>
      </w:r>
      <w:r>
        <w:t xml:space="preserve"> </w:t>
      </w:r>
      <w:r>
        <w:rPr>
          <w:i/>
          <w:iCs/>
        </w:rPr>
        <w:t xml:space="preserve">56</w:t>
      </w:r>
      <w:r>
        <w:t xml:space="preserve">.</w:t>
      </w:r>
      <w:r>
        <w:t xml:space="preserve"> </w:t>
      </w:r>
      <w:hyperlink r:id="rId287">
        <w:r>
          <w:rPr>
            <w:rStyle w:val="Hyperlink"/>
          </w:rPr>
          <w:t xml:space="preserve">https://doi.org/10.36074/grail-of-science.19.09.2025.040</w:t>
        </w:r>
      </w:hyperlink>
    </w:p>
    <w:bookmarkEnd w:id="288"/>
    <w:bookmarkStart w:id="290" w:name="ref-5162643"/>
    <w:p>
      <w:pPr>
        <w:pStyle w:val="Bibliography"/>
      </w:pPr>
      <w:r>
        <w:t xml:space="preserve">Sikalo, M. V. (2026). The imitative modernization trap: Asymmetries of european digital regulation and the public governance of digital transformation in ukraine’s socio-economic system.</w:t>
      </w:r>
      <w:r>
        <w:t xml:space="preserve"> </w:t>
      </w:r>
      <w:r>
        <w:rPr>
          <w:i/>
          <w:iCs/>
        </w:rPr>
        <w:t xml:space="preserve">State Formation</w:t>
      </w:r>
      <w:r>
        <w:t xml:space="preserve">,</w:t>
      </w:r>
      <w:r>
        <w:t xml:space="preserve"> </w:t>
      </w:r>
      <w:r>
        <w:rPr>
          <w:i/>
          <w:iCs/>
        </w:rPr>
        <w:t xml:space="preserve">1</w:t>
      </w:r>
      <w:r>
        <w:t xml:space="preserve">(39).</w:t>
      </w:r>
      <w:r>
        <w:t xml:space="preserve"> </w:t>
      </w:r>
      <w:hyperlink r:id="rId289">
        <w:r>
          <w:rPr>
            <w:rStyle w:val="Hyperlink"/>
          </w:rPr>
          <w:t xml:space="preserve">https://doi.org/10.26565/1992-2337-2026-1-21</w:t>
        </w:r>
      </w:hyperlink>
    </w:p>
    <w:bookmarkEnd w:id="290"/>
    <w:bookmarkStart w:id="292" w:name="ref-8453044"/>
    <w:p>
      <w:pPr>
        <w:pStyle w:val="Bibliography"/>
      </w:pPr>
      <w:r>
        <w:t xml:space="preserve">Silva, A., &amp; Valença, G. (2026). Towards design justice and gender perspectives - an inclusive audit of facial recognition systems.</w:t>
      </w:r>
      <w:r>
        <w:t xml:space="preserve"> </w:t>
      </w:r>
      <w:r>
        <w:rPr>
          <w:i/>
          <w:iCs/>
        </w:rPr>
        <w:t xml:space="preserve">Journal on Interactive Systems</w:t>
      </w:r>
      <w:r>
        <w:t xml:space="preserve">,</w:t>
      </w:r>
      <w:r>
        <w:t xml:space="preserve"> </w:t>
      </w:r>
      <w:r>
        <w:rPr>
          <w:i/>
          <w:iCs/>
        </w:rPr>
        <w:t xml:space="preserve">17</w:t>
      </w:r>
      <w:r>
        <w:t xml:space="preserve">(1).</w:t>
      </w:r>
      <w:r>
        <w:t xml:space="preserve"> </w:t>
      </w:r>
      <w:hyperlink r:id="rId291">
        <w:r>
          <w:rPr>
            <w:rStyle w:val="Hyperlink"/>
          </w:rPr>
          <w:t xml:space="preserve">https://doi.org/10.5753/jis.2026.7084</w:t>
        </w:r>
      </w:hyperlink>
    </w:p>
    <w:bookmarkEnd w:id="292"/>
    <w:bookmarkStart w:id="294" w:name="ref-9738431"/>
    <w:p>
      <w:pPr>
        <w:pStyle w:val="Bibliography"/>
      </w:pPr>
      <w:r>
        <w:t xml:space="preserve">Song, Z. (2026). &amp;Lt;b&amp;gt;ethical challenges in AI emotional interaction: Mechanisms of emotional dependence and governance pathways&amp;lt;/b&amp;gt;&amp;lt;b&amp;gt;&amp;lt;/b&amp;gt;</w:t>
      </w:r>
      <w:r>
        <w:t xml:space="preserve"> </w:t>
      </w:r>
      <w:r>
        <w:rPr>
          <w:i/>
          <w:iCs/>
        </w:rPr>
        <w:t xml:space="preserve">Journal of Psychology &amp;Amp; Education</w:t>
      </w:r>
      <w:r>
        <w:t xml:space="preserve">,</w:t>
      </w:r>
      <w:r>
        <w:t xml:space="preserve"> </w:t>
      </w:r>
      <w:r>
        <w:rPr>
          <w:i/>
          <w:iCs/>
        </w:rPr>
        <w:t xml:space="preserve">1</w:t>
      </w:r>
      <w:r>
        <w:t xml:space="preserve">(2).</w:t>
      </w:r>
      <w:r>
        <w:t xml:space="preserve"> </w:t>
      </w:r>
      <w:hyperlink r:id="rId293">
        <w:r>
          <w:rPr>
            <w:rStyle w:val="Hyperlink"/>
          </w:rPr>
          <w:t xml:space="preserve">https://doi.org/10.66581/6d1kt879</w:t>
        </w:r>
      </w:hyperlink>
    </w:p>
    <w:bookmarkEnd w:id="294"/>
    <w:bookmarkStart w:id="296" w:name="ref-1225951"/>
    <w:p>
      <w:pPr>
        <w:pStyle w:val="Bibliography"/>
      </w:pPr>
      <w:r>
        <w:t xml:space="preserve">Stiefenhofer, P. (2025). The loo loop ethical AI agent: A queuing- theoretical model of mixed-gender toilet allocation under equity constraints.</w:t>
      </w:r>
      <w:r>
        <w:t xml:space="preserve"> </w:t>
      </w:r>
      <w:r>
        <w:rPr>
          <w:i/>
          <w:iCs/>
        </w:rPr>
        <w:t xml:space="preserve">Japan Journal of Research</w:t>
      </w:r>
      <w:r>
        <w:t xml:space="preserve">,</w:t>
      </w:r>
      <w:r>
        <w:t xml:space="preserve"> </w:t>
      </w:r>
      <w:r>
        <w:rPr>
          <w:i/>
          <w:iCs/>
        </w:rPr>
        <w:t xml:space="preserve">6</w:t>
      </w:r>
      <w:r>
        <w:t xml:space="preserve">(6).</w:t>
      </w:r>
      <w:r>
        <w:t xml:space="preserve"> </w:t>
      </w:r>
      <w:hyperlink r:id="rId295">
        <w:r>
          <w:rPr>
            <w:rStyle w:val="Hyperlink"/>
          </w:rPr>
          <w:t xml:space="preserve">https://doi.org/10.33425/2690-8077.1186</w:t>
        </w:r>
      </w:hyperlink>
    </w:p>
    <w:bookmarkEnd w:id="296"/>
    <w:bookmarkStart w:id="298" w:name="ref-9366495"/>
    <w:p>
      <w:pPr>
        <w:pStyle w:val="Bibliography"/>
      </w:pPr>
      <w:r>
        <w:t xml:space="preserve">Syari, M. A., Sembiring, H., &amp; Siregar, M. F. (2025). Integration of critical thinking in intelligent algorithms for hoax detection on social media platforms.</w:t>
      </w:r>
      <w:r>
        <w:t xml:space="preserve"> </w:t>
      </w:r>
      <w:r>
        <w:rPr>
          <w:i/>
          <w:iCs/>
        </w:rPr>
        <w:t xml:space="preserve">Systematic Literature Review Journal</w:t>
      </w:r>
      <w:r>
        <w:t xml:space="preserve">,</w:t>
      </w:r>
      <w:r>
        <w:t xml:space="preserve"> </w:t>
      </w:r>
      <w:r>
        <w:rPr>
          <w:i/>
          <w:iCs/>
        </w:rPr>
        <w:t xml:space="preserve">1</w:t>
      </w:r>
      <w:r>
        <w:t xml:space="preserve">(4).</w:t>
      </w:r>
      <w:r>
        <w:t xml:space="preserve"> </w:t>
      </w:r>
      <w:hyperlink r:id="rId297">
        <w:r>
          <w:rPr>
            <w:rStyle w:val="Hyperlink"/>
          </w:rPr>
          <w:t xml:space="preserve">https://doi.org/10.70062/slrj.v1i4.229</w:t>
        </w:r>
      </w:hyperlink>
    </w:p>
    <w:bookmarkEnd w:id="298"/>
    <w:bookmarkStart w:id="300" w:name="ref-6502223"/>
    <w:p>
      <w:pPr>
        <w:pStyle w:val="Bibliography"/>
      </w:pPr>
      <w:r>
        <w:t xml:space="preserve">T, Dr. C. B., U, K. N., S, M. K. K., &amp; N T, S. (2026). AI recommendation algorithms and democratic polarization: A comprehensive analysis of algorithmic influence on public opinion, electoral integrity, and digital constitutionalism.</w:t>
      </w:r>
      <w:r>
        <w:t xml:space="preserve"> </w:t>
      </w:r>
      <w:r>
        <w:rPr>
          <w:i/>
          <w:iCs/>
        </w:rPr>
        <w:t xml:space="preserve">International Journal for Research in Applied Science and Engineering Technology</w:t>
      </w:r>
      <w:r>
        <w:t xml:space="preserve">,</w:t>
      </w:r>
      <w:r>
        <w:t xml:space="preserve"> </w:t>
      </w:r>
      <w:r>
        <w:rPr>
          <w:i/>
          <w:iCs/>
        </w:rPr>
        <w:t xml:space="preserve">14</w:t>
      </w:r>
      <w:r>
        <w:t xml:space="preserve">(6).</w:t>
      </w:r>
      <w:r>
        <w:t xml:space="preserve"> </w:t>
      </w:r>
      <w:hyperlink r:id="rId299">
        <w:r>
          <w:rPr>
            <w:rStyle w:val="Hyperlink"/>
          </w:rPr>
          <w:t xml:space="preserve">https://doi.org/10.22214/ijraset.2026.83777</w:t>
        </w:r>
      </w:hyperlink>
    </w:p>
    <w:bookmarkEnd w:id="300"/>
    <w:bookmarkStart w:id="302" w:name="ref-0335538"/>
    <w:p>
      <w:pPr>
        <w:pStyle w:val="Bibliography"/>
      </w:pPr>
      <w:r>
        <w:t xml:space="preserve">Tahmasbi, H., Jalali, M., &amp; Shakeri, H. (2020). TSCMF: Temporal and social collective matrix factorization model for recommender systems.</w:t>
      </w:r>
      <w:r>
        <w:t xml:space="preserve"> </w:t>
      </w:r>
      <w:r>
        <w:rPr>
          <w:i/>
          <w:iCs/>
        </w:rPr>
        <w:t xml:space="preserve">Journal of Intelligent Information Systems</w:t>
      </w:r>
      <w:r>
        <w:t xml:space="preserve">,</w:t>
      </w:r>
      <w:r>
        <w:t xml:space="preserve"> </w:t>
      </w:r>
      <w:r>
        <w:rPr>
          <w:i/>
          <w:iCs/>
        </w:rPr>
        <w:t xml:space="preserve">56</w:t>
      </w:r>
      <w:r>
        <w:t xml:space="preserve">(1).</w:t>
      </w:r>
      <w:r>
        <w:t xml:space="preserve"> </w:t>
      </w:r>
      <w:hyperlink r:id="rId301">
        <w:r>
          <w:rPr>
            <w:rStyle w:val="Hyperlink"/>
          </w:rPr>
          <w:t xml:space="preserve">https://doi.org/10.1007/s10844-020-00613-w</w:t>
        </w:r>
      </w:hyperlink>
    </w:p>
    <w:bookmarkEnd w:id="302"/>
    <w:bookmarkStart w:id="304" w:name="ref-5645864"/>
    <w:p>
      <w:pPr>
        <w:pStyle w:val="Bibliography"/>
      </w:pPr>
      <w:r>
        <w:t xml:space="preserve">Tokarieva, A., &amp; Chyzhykova, І. (2026). THE TRANSFORMATIVE POTENTIAL OF SYSTEMIC GAMIFICATION: COMPARATIVE ANALYSIS OF GAMIFIED LEARNING PLATFORMS (LEGENDS OF LEARNING, KAHOOT!, MINECRAFT EDUCATION, AND GRADECRAFT).</w:t>
      </w:r>
      <w:r>
        <w:t xml:space="preserve"> </w:t>
      </w:r>
      <w:r>
        <w:rPr>
          <w:i/>
          <w:iCs/>
        </w:rPr>
        <w:t xml:space="preserve">Alfred Nobel University Journal of Pedagogy and Psychology</w:t>
      </w:r>
      <w:r>
        <w:t xml:space="preserve">,</w:t>
      </w:r>
      <w:r>
        <w:t xml:space="preserve"> </w:t>
      </w:r>
      <w:r>
        <w:rPr>
          <w:i/>
          <w:iCs/>
        </w:rPr>
        <w:t xml:space="preserve">1</w:t>
      </w:r>
      <w:r>
        <w:t xml:space="preserve">(31).</w:t>
      </w:r>
      <w:r>
        <w:t xml:space="preserve"> </w:t>
      </w:r>
      <w:hyperlink r:id="rId303">
        <w:r>
          <w:rPr>
            <w:rStyle w:val="Hyperlink"/>
          </w:rPr>
          <w:t xml:space="preserve">https://doi.org/10.32342/3041-2196-2026-1-31-17</w:t>
        </w:r>
      </w:hyperlink>
    </w:p>
    <w:bookmarkEnd w:id="304"/>
    <w:bookmarkStart w:id="306" w:name="ref-7286763"/>
    <w:p>
      <w:pPr>
        <w:pStyle w:val="Bibliography"/>
      </w:pPr>
      <w:r>
        <w:t xml:space="preserve">Torkestani, M. S., Alameer, A., Palaiahnakote, S., &amp; Manosuri, T. (2025). Inclusive prompt engineering for large language models: A modular framework for ethical, structured, and adaptive AI.</w:t>
      </w:r>
      <w:r>
        <w:t xml:space="preserve"> </w:t>
      </w:r>
      <w:r>
        <w:rPr>
          <w:i/>
          <w:iCs/>
        </w:rPr>
        <w:t xml:space="preserve">Artificial Intelligence Review</w:t>
      </w:r>
      <w:r>
        <w:t xml:space="preserve">,</w:t>
      </w:r>
      <w:r>
        <w:t xml:space="preserve"> </w:t>
      </w:r>
      <w:r>
        <w:rPr>
          <w:i/>
          <w:iCs/>
        </w:rPr>
        <w:t xml:space="preserve">58</w:t>
      </w:r>
      <w:r>
        <w:t xml:space="preserve">(11).</w:t>
      </w:r>
      <w:r>
        <w:t xml:space="preserve"> </w:t>
      </w:r>
      <w:hyperlink r:id="rId305">
        <w:r>
          <w:rPr>
            <w:rStyle w:val="Hyperlink"/>
          </w:rPr>
          <w:t xml:space="preserve">https://doi.org/10.1007/s10462-025-11330-7</w:t>
        </w:r>
      </w:hyperlink>
    </w:p>
    <w:bookmarkEnd w:id="306"/>
    <w:bookmarkStart w:id="307" w:name="ref-8591813"/>
    <w:p>
      <w:pPr>
        <w:pStyle w:val="Bibliography"/>
      </w:pPr>
      <w:r>
        <w:t xml:space="preserve">Tovin, M., &amp; Wormley, M. (2023).</w:t>
      </w:r>
      <w:r>
        <w:t xml:space="preserve"> </w:t>
      </w:r>
      <w:r>
        <w:rPr>
          <w:i/>
          <w:iCs/>
        </w:rPr>
        <w:t xml:space="preserve">Mixed methods reporting in rehabilitation &amp; health sciences (MMR-RHS)</w:t>
      </w:r>
      <w:r>
        <w:t xml:space="preserve">.</w:t>
      </w:r>
    </w:p>
    <w:bookmarkEnd w:id="307"/>
    <w:bookmarkStart w:id="309" w:name="ref-4499345"/>
    <w:p>
      <w:pPr>
        <w:pStyle w:val="Bibliography"/>
      </w:pPr>
      <w:r>
        <w:t xml:space="preserve">TRAN, H. Y., &amp; PHAN, D. Q. (2026). SPATIAL ANALYSIS OF SERVICE INNOVATION AND QUALITY IN UPPER UPSCALE HOTELS: THE HUMAN-ENVIRONMENT RELATIONSHIP IN HANOI.</w:t>
      </w:r>
      <w:r>
        <w:t xml:space="preserve"> </w:t>
      </w:r>
      <w:r>
        <w:rPr>
          <w:i/>
          <w:iCs/>
        </w:rPr>
        <w:t xml:space="preserve">Geojournal of Tourism and Geosites</w:t>
      </w:r>
      <w:r>
        <w:t xml:space="preserve">,</w:t>
      </w:r>
      <w:r>
        <w:t xml:space="preserve"> </w:t>
      </w:r>
      <w:r>
        <w:rPr>
          <w:i/>
          <w:iCs/>
        </w:rPr>
        <w:t xml:space="preserve">67</w:t>
      </w:r>
      <w:r>
        <w:t xml:space="preserve">(3).</w:t>
      </w:r>
      <w:r>
        <w:t xml:space="preserve"> </w:t>
      </w:r>
      <w:hyperlink r:id="rId308">
        <w:r>
          <w:rPr>
            <w:rStyle w:val="Hyperlink"/>
          </w:rPr>
          <w:t xml:space="preserve">https://doi.org/10.30892/gtg.67336-1848</w:t>
        </w:r>
      </w:hyperlink>
    </w:p>
    <w:bookmarkEnd w:id="309"/>
    <w:bookmarkStart w:id="311" w:name="ref-5683952"/>
    <w:p>
      <w:pPr>
        <w:pStyle w:val="Bibliography"/>
      </w:pPr>
      <w:r>
        <w:t xml:space="preserve">Travieso-González, C. M. (2025). Towards conscious AI: The role of computer sciences in the energy, social, and ethical sustainability of artificial intelligence.</w:t>
      </w:r>
      <w:r>
        <w:t xml:space="preserve"> </w:t>
      </w:r>
      <w:r>
        <w:rPr>
          <w:i/>
          <w:iCs/>
        </w:rPr>
        <w:t xml:space="preserve">TecnoLógicas</w:t>
      </w:r>
      <w:r>
        <w:t xml:space="preserve">,</w:t>
      </w:r>
      <w:r>
        <w:t xml:space="preserve"> </w:t>
      </w:r>
      <w:r>
        <w:rPr>
          <w:i/>
          <w:iCs/>
        </w:rPr>
        <w:t xml:space="preserve">28</w:t>
      </w:r>
      <w:r>
        <w:t xml:space="preserve">(64).</w:t>
      </w:r>
      <w:r>
        <w:t xml:space="preserve"> </w:t>
      </w:r>
      <w:hyperlink r:id="rId310">
        <w:r>
          <w:rPr>
            <w:rStyle w:val="Hyperlink"/>
          </w:rPr>
          <w:t xml:space="preserve">https://doi.org/10.22430/22565337.3836</w:t>
        </w:r>
      </w:hyperlink>
    </w:p>
    <w:bookmarkEnd w:id="311"/>
    <w:bookmarkStart w:id="313" w:name="ref-4268459"/>
    <w:p>
      <w:pPr>
        <w:pStyle w:val="Bibliography"/>
      </w:pPr>
      <w:r>
        <w:t xml:space="preserve">Tseng, T., &amp; Lee, T.-M. (2026). Refining research questions for AI-assisted knowledge retrieval in interior design: An exploratory study of expert judgment.</w:t>
      </w:r>
      <w:r>
        <w:t xml:space="preserve"> </w:t>
      </w:r>
      <w:r>
        <w:rPr>
          <w:i/>
          <w:iCs/>
        </w:rPr>
        <w:t xml:space="preserve">AHFE International</w:t>
      </w:r>
      <w:r>
        <w:t xml:space="preserve">,</w:t>
      </w:r>
      <w:r>
        <w:t xml:space="preserve"> </w:t>
      </w:r>
      <w:r>
        <w:rPr>
          <w:i/>
          <w:iCs/>
        </w:rPr>
        <w:t xml:space="preserve">233</w:t>
      </w:r>
      <w:r>
        <w:t xml:space="preserve">.</w:t>
      </w:r>
      <w:r>
        <w:t xml:space="preserve"> </w:t>
      </w:r>
      <w:hyperlink r:id="rId312">
        <w:r>
          <w:rPr>
            <w:rStyle w:val="Hyperlink"/>
          </w:rPr>
          <w:t xml:space="preserve">https://doi.org/10.54941/ahfe1007504</w:t>
        </w:r>
      </w:hyperlink>
    </w:p>
    <w:bookmarkEnd w:id="313"/>
    <w:bookmarkStart w:id="314" w:name="ref-6419865"/>
    <w:p>
      <w:pPr>
        <w:pStyle w:val="Bibliography"/>
      </w:pPr>
      <w:r>
        <w:t xml:space="preserve">Unknown. Triggers and factors associated with moral distress.</w:t>
      </w:r>
      <w:r>
        <w:t xml:space="preserve"> </w:t>
      </w:r>
      <w:r>
        <w:rPr>
          <w:i/>
          <w:iCs/>
        </w:rPr>
        <w:t xml:space="preserve">PLOS ONE</w:t>
      </w:r>
      <w:r>
        <w:t xml:space="preserve">.</w:t>
      </w:r>
    </w:p>
    <w:bookmarkEnd w:id="314"/>
    <w:bookmarkStart w:id="316" w:name="ref-5716309"/>
    <w:p>
      <w:pPr>
        <w:pStyle w:val="Bibliography"/>
      </w:pPr>
      <w:r>
        <w:t xml:space="preserve">Unknown. (2023). In</w:t>
      </w:r>
      <w:r>
        <w:t xml:space="preserve"> </w:t>
      </w:r>
      <w:r>
        <w:rPr>
          <w:i/>
          <w:iCs/>
        </w:rPr>
        <w:t xml:space="preserve">Journal for Advancing Sport Psychology in Research</w:t>
      </w:r>
      <w:r>
        <w:t xml:space="preserve"> </w:t>
      </w:r>
      <w:r>
        <w:t xml:space="preserve">(2; Vol. 3).</w:t>
      </w:r>
      <w:r>
        <w:t xml:space="preserve"> </w:t>
      </w:r>
      <w:hyperlink r:id="rId315">
        <w:r>
          <w:rPr>
            <w:rStyle w:val="Hyperlink"/>
          </w:rPr>
          <w:t xml:space="preserve">https://doi.org/10.55743/jaspr0302</w:t>
        </w:r>
      </w:hyperlink>
    </w:p>
    <w:bookmarkEnd w:id="316"/>
    <w:bookmarkStart w:id="318" w:name="ref-8045684"/>
    <w:p>
      <w:pPr>
        <w:pStyle w:val="Bibliography"/>
      </w:pPr>
      <w:r>
        <w:t xml:space="preserve">VERMA, P. C. (2025). Immersive narratives : Virtual reality and the evolution of storytelling in contemporary english fiction.</w:t>
      </w:r>
      <w:r>
        <w:t xml:space="preserve"> </w:t>
      </w:r>
      <w:r>
        <w:rPr>
          <w:i/>
          <w:iCs/>
        </w:rPr>
        <w:t xml:space="preserve">GYANVIVIDHA</w:t>
      </w:r>
      <w:r>
        <w:t xml:space="preserve">,</w:t>
      </w:r>
      <w:r>
        <w:t xml:space="preserve"> </w:t>
      </w:r>
      <w:r>
        <w:rPr>
          <w:i/>
          <w:iCs/>
        </w:rPr>
        <w:t xml:space="preserve">02</w:t>
      </w:r>
      <w:r>
        <w:t xml:space="preserve">(03).</w:t>
      </w:r>
      <w:r>
        <w:t xml:space="preserve"> </w:t>
      </w:r>
      <w:hyperlink r:id="rId317">
        <w:r>
          <w:rPr>
            <w:rStyle w:val="Hyperlink"/>
          </w:rPr>
          <w:t xml:space="preserve">https://doi.org/10.71037/gyanvividha.v2i3.09</w:t>
        </w:r>
      </w:hyperlink>
    </w:p>
    <w:bookmarkEnd w:id="318"/>
    <w:bookmarkStart w:id="320" w:name="ref-7160486"/>
    <w:p>
      <w:pPr>
        <w:pStyle w:val="Bibliography"/>
      </w:pPr>
      <w:r>
        <w:t xml:space="preserve">Wang, Y. (2025). Social proof and its effect on chinese consumers’ buying decisions on social media platforms.</w:t>
      </w:r>
      <w:r>
        <w:t xml:space="preserve"> </w:t>
      </w:r>
      <w:r>
        <w:rPr>
          <w:i/>
          <w:iCs/>
        </w:rPr>
        <w:t xml:space="preserve">Journal of Research in Social Science and Humanities</w:t>
      </w:r>
      <w:r>
        <w:t xml:space="preserve">,</w:t>
      </w:r>
      <w:r>
        <w:t xml:space="preserve"> </w:t>
      </w:r>
      <w:r>
        <w:rPr>
          <w:i/>
          <w:iCs/>
        </w:rPr>
        <w:t xml:space="preserve">4</w:t>
      </w:r>
      <w:r>
        <w:t xml:space="preserve">(10).</w:t>
      </w:r>
      <w:r>
        <w:t xml:space="preserve"> </w:t>
      </w:r>
      <w:hyperlink r:id="rId319">
        <w:r>
          <w:rPr>
            <w:rStyle w:val="Hyperlink"/>
          </w:rPr>
          <w:t xml:space="preserve">https://doi.org/10.56397/jrssh.2025.11.02</w:t>
        </w:r>
      </w:hyperlink>
    </w:p>
    <w:bookmarkEnd w:id="320"/>
    <w:bookmarkStart w:id="322" w:name="ref-7154741"/>
    <w:p>
      <w:pPr>
        <w:pStyle w:val="Bibliography"/>
      </w:pPr>
      <w:r>
        <w:t xml:space="preserve">Yin, H. (2024). From virality to engagement: Examining the transformative impact of social media, short video platforms, and live streaming on information dissemination and audience behavior in the digital age.</w:t>
      </w:r>
      <w:r>
        <w:t xml:space="preserve"> </w:t>
      </w:r>
      <w:r>
        <w:rPr>
          <w:i/>
          <w:iCs/>
        </w:rPr>
        <w:t xml:space="preserve">Advances in Social Behavior Research</w:t>
      </w:r>
      <w:r>
        <w:t xml:space="preserve">,</w:t>
      </w:r>
      <w:r>
        <w:t xml:space="preserve"> </w:t>
      </w:r>
      <w:r>
        <w:rPr>
          <w:i/>
          <w:iCs/>
        </w:rPr>
        <w:t xml:space="preserve">14</w:t>
      </w:r>
      <w:r>
        <w:t xml:space="preserve">(1).</w:t>
      </w:r>
      <w:r>
        <w:t xml:space="preserve"> </w:t>
      </w:r>
      <w:hyperlink r:id="rId321">
        <w:r>
          <w:rPr>
            <w:rStyle w:val="Hyperlink"/>
          </w:rPr>
          <w:t xml:space="preserve">https://doi.org/10.54254/2753-7102/2024.18644</w:t>
        </w:r>
      </w:hyperlink>
    </w:p>
    <w:bookmarkEnd w:id="322"/>
    <w:bookmarkStart w:id="324" w:name="ref-5673308"/>
    <w:p>
      <w:pPr>
        <w:pStyle w:val="Bibliography"/>
      </w:pPr>
      <w:r>
        <w:t xml:space="preserve">Zeng, J., Mudireddy, S., &amp; Rao, R. R. S. (2025). Engineering intelligence in social commerce: Ai-driven product architectures for the creator economy.</w:t>
      </w:r>
      <w:r>
        <w:t xml:space="preserve"> </w:t>
      </w:r>
      <w:r>
        <w:rPr>
          <w:i/>
          <w:iCs/>
        </w:rPr>
        <w:t xml:space="preserve">Lex Localis - Journal of Local Self-Government</w:t>
      </w:r>
      <w:r>
        <w:t xml:space="preserve">,</w:t>
      </w:r>
      <w:r>
        <w:t xml:space="preserve"> </w:t>
      </w:r>
      <w:r>
        <w:rPr>
          <w:i/>
          <w:iCs/>
        </w:rPr>
        <w:t xml:space="preserve">23</w:t>
      </w:r>
      <w:r>
        <w:t xml:space="preserve">(S6).</w:t>
      </w:r>
      <w:r>
        <w:t xml:space="preserve"> </w:t>
      </w:r>
      <w:hyperlink r:id="rId323">
        <w:r>
          <w:rPr>
            <w:rStyle w:val="Hyperlink"/>
          </w:rPr>
          <w:t xml:space="preserve">https://doi.org/10.52152/802893</w:t>
        </w:r>
      </w:hyperlink>
    </w:p>
    <w:bookmarkEnd w:id="324"/>
    <w:bookmarkStart w:id="326" w:name="ref-7646767"/>
    <w:p>
      <w:pPr>
        <w:pStyle w:val="Bibliography"/>
      </w:pPr>
      <w:r>
        <w:t xml:space="preserve">Zhang, Y., &amp; Liu, Y. (2026). ALGORITHMS AS AGENDA SETTERS: THE CASE OF WEIBO’s ZHISOU AI AND ITS ETHICAL IMPLICATIONS IN CHINA’s MEDIA ECOLOGY.</w:t>
      </w:r>
      <w:r>
        <w:t xml:space="preserve"> </w:t>
      </w:r>
      <w:r>
        <w:rPr>
          <w:i/>
          <w:iCs/>
        </w:rPr>
        <w:t xml:space="preserve">Trends in Social Sciences and Humanities Research</w:t>
      </w:r>
      <w:r>
        <w:t xml:space="preserve">,</w:t>
      </w:r>
      <w:r>
        <w:t xml:space="preserve"> </w:t>
      </w:r>
      <w:r>
        <w:rPr>
          <w:i/>
          <w:iCs/>
        </w:rPr>
        <w:t xml:space="preserve">4</w:t>
      </w:r>
      <w:r>
        <w:t xml:space="preserve">(5).</w:t>
      </w:r>
      <w:r>
        <w:t xml:space="preserve"> </w:t>
      </w:r>
      <w:hyperlink r:id="rId325">
        <w:r>
          <w:rPr>
            <w:rStyle w:val="Hyperlink"/>
          </w:rPr>
          <w:t xml:space="preserve">https://doi.org/10.61784/tsshr3243</w:t>
        </w:r>
      </w:hyperlink>
    </w:p>
    <w:bookmarkEnd w:id="326"/>
    <w:bookmarkStart w:id="328" w:name="ref-3625351"/>
    <w:p>
      <w:pPr>
        <w:pStyle w:val="Bibliography"/>
      </w:pPr>
      <w:r>
        <w:t xml:space="preserve">Zhou, X. (2025). Algorithmic agitation and affective engineering: AI-driven emotion recognition and strategic communication in contemporary social movements.</w:t>
      </w:r>
      <w:r>
        <w:t xml:space="preserve"> </w:t>
      </w:r>
      <w:r>
        <w:rPr>
          <w:i/>
          <w:iCs/>
        </w:rPr>
        <w:t xml:space="preserve">Applied and Computational Engineering</w:t>
      </w:r>
      <w:r>
        <w:t xml:space="preserve">,</w:t>
      </w:r>
      <w:r>
        <w:t xml:space="preserve"> </w:t>
      </w:r>
      <w:r>
        <w:rPr>
          <w:i/>
          <w:iCs/>
        </w:rPr>
        <w:t xml:space="preserve">163</w:t>
      </w:r>
      <w:r>
        <w:t xml:space="preserve">(1).</w:t>
      </w:r>
      <w:r>
        <w:t xml:space="preserve"> </w:t>
      </w:r>
      <w:hyperlink r:id="rId327">
        <w:r>
          <w:rPr>
            <w:rStyle w:val="Hyperlink"/>
          </w:rPr>
          <w:t xml:space="preserve">https://doi.org/10.54254/2755-2721/2025.23592</w:t>
        </w:r>
      </w:hyperlink>
    </w:p>
    <w:bookmarkEnd w:id="328"/>
    <w:bookmarkStart w:id="330" w:name="ref-7437483"/>
    <w:p>
      <w:pPr>
        <w:pStyle w:val="Bibliography"/>
      </w:pPr>
      <w:r>
        <w:t xml:space="preserve">Zulfikar. (2026). The effect of personalization algorithm-based dark patterns on consumer decision distortion: Integration of business ethics and behavioral economics perspectives on e-commerce platforms.</w:t>
      </w:r>
      <w:r>
        <w:t xml:space="preserve"> </w:t>
      </w:r>
      <w:r>
        <w:rPr>
          <w:i/>
          <w:iCs/>
        </w:rPr>
        <w:t xml:space="preserve">Multicore International Journal of Multidisciplinary (MIJM)</w:t>
      </w:r>
      <w:r>
        <w:t xml:space="preserve">,</w:t>
      </w:r>
      <w:r>
        <w:t xml:space="preserve"> </w:t>
      </w:r>
      <w:r>
        <w:rPr>
          <w:i/>
          <w:iCs/>
        </w:rPr>
        <w:t xml:space="preserve">2</w:t>
      </w:r>
      <w:r>
        <w:t xml:space="preserve">(1).</w:t>
      </w:r>
      <w:r>
        <w:t xml:space="preserve"> </w:t>
      </w:r>
      <w:hyperlink r:id="rId329">
        <w:r>
          <w:rPr>
            <w:rStyle w:val="Hyperlink"/>
          </w:rPr>
          <w:t xml:space="preserve">https://doi.org/10.64123/mijm.v2.i1.5</w:t>
        </w:r>
      </w:hyperlink>
    </w:p>
    <w:bookmarkEnd w:id="330"/>
    <w:bookmarkEnd w:id="331"/>
    <w:bookmarkEnd w:id="3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96" Target="https://arxiv.org/abs/2002.03700v1" TargetMode="External" /><Relationship Type="http://schemas.openxmlformats.org/officeDocument/2006/relationships/hyperlink" Id="rId175" Target="https://arxiv.org/abs/2302.02579" TargetMode="External" /><Relationship Type="http://schemas.openxmlformats.org/officeDocument/2006/relationships/hyperlink" Id="rId194" Target="https://arxiv.org/abs/2302.11360" TargetMode="External" /><Relationship Type="http://schemas.openxmlformats.org/officeDocument/2006/relationships/hyperlink" Id="rId171" Target="https://arxiv.org/abs/2307.01207v1" TargetMode="External" /><Relationship Type="http://schemas.openxmlformats.org/officeDocument/2006/relationships/hyperlink" Id="rId305" Target="https://doi.org/10.1007/s10462-025-11330-7" TargetMode="External" /><Relationship Type="http://schemas.openxmlformats.org/officeDocument/2006/relationships/hyperlink" Id="rId277" Target="https://doi.org/10.1007/s10618-022-00913-5" TargetMode="External" /><Relationship Type="http://schemas.openxmlformats.org/officeDocument/2006/relationships/hyperlink" Id="rId301" Target="https://doi.org/10.1007/s10844-020-00613-w" TargetMode="External" /><Relationship Type="http://schemas.openxmlformats.org/officeDocument/2006/relationships/hyperlink" Id="rId261" Target="https://doi.org/10.1007/s10844-026-01068-1" TargetMode="External" /><Relationship Type="http://schemas.openxmlformats.org/officeDocument/2006/relationships/hyperlink" Id="rId191" Target="https://doi.org/10.1007/s11257-023-09364-z" TargetMode="External" /><Relationship Type="http://schemas.openxmlformats.org/officeDocument/2006/relationships/hyperlink" Id="rId257" Target="https://doi.org/10.1007/s40747-022-00958-5" TargetMode="External" /><Relationship Type="http://schemas.openxmlformats.org/officeDocument/2006/relationships/hyperlink" Id="rId155" Target="https://doi.org/10.1007/s42087-026-00663-6" TargetMode="External" /><Relationship Type="http://schemas.openxmlformats.org/officeDocument/2006/relationships/hyperlink" Id="rId189" Target="https://doi.org/10.1007/s43681-025-00777-7" TargetMode="External" /><Relationship Type="http://schemas.openxmlformats.org/officeDocument/2006/relationships/hyperlink" Id="rId177" Target="https://doi.org/10.1007/s43681-026-01003-8" TargetMode="External" /><Relationship Type="http://schemas.openxmlformats.org/officeDocument/2006/relationships/hyperlink" Id="rId281" Target="https://doi.org/10.1109/acdsa65407.2025.11166403" TargetMode="External" /><Relationship Type="http://schemas.openxmlformats.org/officeDocument/2006/relationships/hyperlink" Id="rId210" Target="https://doi.org/10.1145/3370082" TargetMode="External" /><Relationship Type="http://schemas.openxmlformats.org/officeDocument/2006/relationships/hyperlink" Id="rId275" Target="https://doi.org/10.1145/3510409" TargetMode="External" /><Relationship Type="http://schemas.openxmlformats.org/officeDocument/2006/relationships/hyperlink" Id="rId202" Target="https://doi.org/10.11648/j.ri.20260201.15" TargetMode="External" /><Relationship Type="http://schemas.openxmlformats.org/officeDocument/2006/relationships/hyperlink" Id="rId269" Target="https://doi.org/10.1371/journal.pone.0154848" TargetMode="External" /><Relationship Type="http://schemas.openxmlformats.org/officeDocument/2006/relationships/hyperlink" Id="rId255" Target="https://doi.org/10.15673/atbp.v16i3.2923" TargetMode="External" /><Relationship Type="http://schemas.openxmlformats.org/officeDocument/2006/relationships/hyperlink" Id="rId279" Target="https://doi.org/10.15837/aijes.v20i1.7638" TargetMode="External" /><Relationship Type="http://schemas.openxmlformats.org/officeDocument/2006/relationships/hyperlink" Id="rId187" Target="https://doi.org/10.18535/ijsrm/v13i11.ec02" TargetMode="External" /><Relationship Type="http://schemas.openxmlformats.org/officeDocument/2006/relationships/hyperlink" Id="rId169" Target="https://doi.org/10.21301/eap.v16i3.13" TargetMode="External" /><Relationship Type="http://schemas.openxmlformats.org/officeDocument/2006/relationships/hyperlink" Id="rId173" Target="https://doi.org/10.22158/ibes.v8n1p59" TargetMode="External" /><Relationship Type="http://schemas.openxmlformats.org/officeDocument/2006/relationships/hyperlink" Id="rId299" Target="https://doi.org/10.22214/ijraset.2026.83777" TargetMode="External" /><Relationship Type="http://schemas.openxmlformats.org/officeDocument/2006/relationships/hyperlink" Id="rId310" Target="https://doi.org/10.22430/22565337.3836" TargetMode="External" /><Relationship Type="http://schemas.openxmlformats.org/officeDocument/2006/relationships/hyperlink" Id="rId289" Target="https://doi.org/10.26565/1992-2337-2026-1-21" TargetMode="External" /><Relationship Type="http://schemas.openxmlformats.org/officeDocument/2006/relationships/hyperlink" Id="rId247" Target="https://doi.org/10.28989/avitec.v8i1.3600" TargetMode="External" /><Relationship Type="http://schemas.openxmlformats.org/officeDocument/2006/relationships/hyperlink" Id="rId163" Target="https://doi.org/10.30574/wjarr.2025.25.2.0514" TargetMode="External" /><Relationship Type="http://schemas.openxmlformats.org/officeDocument/2006/relationships/hyperlink" Id="rId159" Target="https://doi.org/10.30574/wjarr.2025.25.2.0571" TargetMode="External" /><Relationship Type="http://schemas.openxmlformats.org/officeDocument/2006/relationships/hyperlink" Id="rId308" Target="https://doi.org/10.30892/gtg.67336-1848" TargetMode="External" /><Relationship Type="http://schemas.openxmlformats.org/officeDocument/2006/relationships/hyperlink" Id="rId303" Target="https://doi.org/10.32342/3041-2196-2026-1-31-17" TargetMode="External" /><Relationship Type="http://schemas.openxmlformats.org/officeDocument/2006/relationships/hyperlink" Id="rId167" Target="https://doi.org/10.32996/jcsts.2025.7.12.17" TargetMode="External" /><Relationship Type="http://schemas.openxmlformats.org/officeDocument/2006/relationships/hyperlink" Id="rId232" Target="https://doi.org/10.32996/jpbs.2026.6.2.3" TargetMode="External" /><Relationship Type="http://schemas.openxmlformats.org/officeDocument/2006/relationships/hyperlink" Id="rId242" Target="https://doi.org/10.33422/worldcmc.v2i1.1050" TargetMode="External" /><Relationship Type="http://schemas.openxmlformats.org/officeDocument/2006/relationships/hyperlink" Id="rId295" Target="https://doi.org/10.33425/2690-8077.1186" TargetMode="External" /><Relationship Type="http://schemas.openxmlformats.org/officeDocument/2006/relationships/hyperlink" Id="rId271" Target="https://doi.org/10.3389/fpsyg.2025.1523649" TargetMode="External" /><Relationship Type="http://schemas.openxmlformats.org/officeDocument/2006/relationships/hyperlink" Id="rId287" Target="https://doi.org/10.36074/grail-of-science.19.09.2025.040" TargetMode="External" /><Relationship Type="http://schemas.openxmlformats.org/officeDocument/2006/relationships/hyperlink" Id="rId236" Target="https://doi.org/10.36948/ijfmr.2025.v07i05.56888" TargetMode="External" /><Relationship Type="http://schemas.openxmlformats.org/officeDocument/2006/relationships/hyperlink" Id="rId228" Target="https://doi.org/10.37394/23209.2026.23.20" TargetMode="External" /><Relationship Type="http://schemas.openxmlformats.org/officeDocument/2006/relationships/hyperlink" Id="rId244" Target="https://doi.org/10.37680/muharrik.v8i2.7730" TargetMode="External" /><Relationship Type="http://schemas.openxmlformats.org/officeDocument/2006/relationships/hyperlink" Id="rId145" Target="https://doi.org/10.37745/ejcsit.2013/vol12n72135" TargetMode="External" /><Relationship Type="http://schemas.openxmlformats.org/officeDocument/2006/relationships/hyperlink" Id="rId249" Target="https://doi.org/10.38124/ijisrt/25oct919" TargetMode="External" /><Relationship Type="http://schemas.openxmlformats.org/officeDocument/2006/relationships/hyperlink" Id="rId214" Target="https://doi.org/10.47540/ijcs.v4i2.2256" TargetMode="External" /><Relationship Type="http://schemas.openxmlformats.org/officeDocument/2006/relationships/hyperlink" Id="rId153" Target="https://doi.org/10.47772/ijriss.2026.100601383" TargetMode="External" /><Relationship Type="http://schemas.openxmlformats.org/officeDocument/2006/relationships/hyperlink" Id="rId216" Target="https://doi.org/10.47772/ijriss.2026.100700860" TargetMode="External" /><Relationship Type="http://schemas.openxmlformats.org/officeDocument/2006/relationships/hyperlink" Id="rId161" Target="https://doi.org/10.51244/ijrsi.2026.1308000012" TargetMode="External" /><Relationship Type="http://schemas.openxmlformats.org/officeDocument/2006/relationships/hyperlink" Id="rId185" Target="https://doi.org/10.52058/2695-1592-2026-1(56)-22-33" TargetMode="External" /><Relationship Type="http://schemas.openxmlformats.org/officeDocument/2006/relationships/hyperlink" Id="rId323" Target="https://doi.org/10.52152/802893" TargetMode="External" /><Relationship Type="http://schemas.openxmlformats.org/officeDocument/2006/relationships/hyperlink" Id="rId220" Target="https://doi.org/10.52783/jier.v4i3.1349" TargetMode="External" /><Relationship Type="http://schemas.openxmlformats.org/officeDocument/2006/relationships/hyperlink" Id="rId212" Target="https://doi.org/10.52783/jier.v5i1.2108" TargetMode="External" /><Relationship Type="http://schemas.openxmlformats.org/officeDocument/2006/relationships/hyperlink" Id="rId183" Target="https://doi.org/10.52783/jisem.v10i58s.12750" TargetMode="External" /><Relationship Type="http://schemas.openxmlformats.org/officeDocument/2006/relationships/hyperlink" Id="rId283" Target="https://doi.org/10.52783/jisem.v10i60s.13275" TargetMode="External" /><Relationship Type="http://schemas.openxmlformats.org/officeDocument/2006/relationships/hyperlink" Id="rId321" Target="https://doi.org/10.54254/2753-7102/2024.18644" TargetMode="External" /><Relationship Type="http://schemas.openxmlformats.org/officeDocument/2006/relationships/hyperlink" Id="rId327" Target="https://doi.org/10.54254/2755-2721/2025.23592" TargetMode="External" /><Relationship Type="http://schemas.openxmlformats.org/officeDocument/2006/relationships/hyperlink" Id="rId206" Target="https://doi.org/10.54254/2755-2721/2025.po24665" TargetMode="External" /><Relationship Type="http://schemas.openxmlformats.org/officeDocument/2006/relationships/hyperlink" Id="rId200" Target="https://doi.org/10.54254/2755-2721/51/20241189" TargetMode="External" /><Relationship Type="http://schemas.openxmlformats.org/officeDocument/2006/relationships/hyperlink" Id="rId234" Target="https://doi.org/10.54254/2977-3903/2025.26631" TargetMode="External" /><Relationship Type="http://schemas.openxmlformats.org/officeDocument/2006/relationships/hyperlink" Id="rId312" Target="https://doi.org/10.54941/ahfe1007504" TargetMode="External" /><Relationship Type="http://schemas.openxmlformats.org/officeDocument/2006/relationships/hyperlink" Id="rId315" Target="https://doi.org/10.55743/jaspr0302" TargetMode="External" /><Relationship Type="http://schemas.openxmlformats.org/officeDocument/2006/relationships/hyperlink" Id="rId285" Target="https://doi.org/10.56294/ai2025413" TargetMode="External" /><Relationship Type="http://schemas.openxmlformats.org/officeDocument/2006/relationships/hyperlink" Id="rId319" Target="https://doi.org/10.56397/jrssh.2025.11.02" TargetMode="External" /><Relationship Type="http://schemas.openxmlformats.org/officeDocument/2006/relationships/hyperlink" Id="rId291" Target="https://doi.org/10.5753/jis.2026.7084" TargetMode="External" /><Relationship Type="http://schemas.openxmlformats.org/officeDocument/2006/relationships/hyperlink" Id="rId259" Target="https://doi.org/10.58578/amjsai.v2i3.7872" TargetMode="External" /><Relationship Type="http://schemas.openxmlformats.org/officeDocument/2006/relationships/hyperlink" Id="rId263" Target="https://doi.org/10.59224/bjlti.v2i1.1-24" TargetMode="External" /><Relationship Type="http://schemas.openxmlformats.org/officeDocument/2006/relationships/hyperlink" Id="rId325" Target="https://doi.org/10.61784/tsshr3243" TargetMode="External" /><Relationship Type="http://schemas.openxmlformats.org/officeDocument/2006/relationships/hyperlink" Id="rId226" Target="https://doi.org/10.61838/kman.hn.3.3.16" TargetMode="External" /><Relationship Type="http://schemas.openxmlformats.org/officeDocument/2006/relationships/hyperlink" Id="rId238" Target="https://doi.org/10.61838/kman.hn.3.4.14" TargetMode="External" /><Relationship Type="http://schemas.openxmlformats.org/officeDocument/2006/relationships/hyperlink" Id="rId267" Target="https://doi.org/10.61838/kman.jayps.4398" TargetMode="External" /><Relationship Type="http://schemas.openxmlformats.org/officeDocument/2006/relationships/hyperlink" Id="rId218" Target="https://doi.org/10.61877/ijmrp.v4i7.327" TargetMode="External" /><Relationship Type="http://schemas.openxmlformats.org/officeDocument/2006/relationships/hyperlink" Id="rId204" Target="https://doi.org/10.61978/legalis.v3i3.1126" TargetMode="External" /><Relationship Type="http://schemas.openxmlformats.org/officeDocument/2006/relationships/hyperlink" Id="rId251" Target="https://doi.org/10.62370/hbds.v27i1.282622" TargetMode="External" /><Relationship Type="http://schemas.openxmlformats.org/officeDocument/2006/relationships/hyperlink" Id="rId198" Target="https://doi.org/10.62486/sai202515" TargetMode="External" /><Relationship Type="http://schemas.openxmlformats.org/officeDocument/2006/relationships/hyperlink" Id="rId224" Target="https://doi.org/10.62982/seti07.ivku.67" TargetMode="External" /><Relationship Type="http://schemas.openxmlformats.org/officeDocument/2006/relationships/hyperlink" Id="rId230" Target="https://doi.org/10.63313/esw.2014" TargetMode="External" /><Relationship Type="http://schemas.openxmlformats.org/officeDocument/2006/relationships/hyperlink" Id="rId181" Target="https://doi.org/10.63317/5hcj5k8wy6rq" TargetMode="External" /><Relationship Type="http://schemas.openxmlformats.org/officeDocument/2006/relationships/hyperlink" Id="rId157" Target="https://doi.org/10.63544/ijss.v3i4.105" TargetMode="External" /><Relationship Type="http://schemas.openxmlformats.org/officeDocument/2006/relationships/hyperlink" Id="rId240" Target="https://doi.org/10.63544/ijss.v3i4.320" TargetMode="External" /><Relationship Type="http://schemas.openxmlformats.org/officeDocument/2006/relationships/hyperlink" Id="rId329" Target="https://doi.org/10.64123/mijm.v2.i1.5" TargetMode="External" /><Relationship Type="http://schemas.openxmlformats.org/officeDocument/2006/relationships/hyperlink" Id="rId273" Target="https://doi.org/10.64137/31079385/ijmhss-v2i2p105" TargetMode="External" /><Relationship Type="http://schemas.openxmlformats.org/officeDocument/2006/relationships/hyperlink" Id="rId179" Target="https://doi.org/10.64252/cef9cs80" TargetMode="External" /><Relationship Type="http://schemas.openxmlformats.org/officeDocument/2006/relationships/hyperlink" Id="rId147" Target="https://doi.org/10.64483/202522248" TargetMode="External" /><Relationship Type="http://schemas.openxmlformats.org/officeDocument/2006/relationships/hyperlink" Id="rId165" Target="https://doi.org/10.64751/ztnt0812" TargetMode="External" /><Relationship Type="http://schemas.openxmlformats.org/officeDocument/2006/relationships/hyperlink" Id="rId265" Target="https://doi.org/10.65521/ijrdmr.v15i1.1879" TargetMode="External" /><Relationship Type="http://schemas.openxmlformats.org/officeDocument/2006/relationships/hyperlink" Id="rId208" Target="https://doi.org/10.65923/4nm2g031" TargetMode="External" /><Relationship Type="http://schemas.openxmlformats.org/officeDocument/2006/relationships/hyperlink" Id="rId293" Target="https://doi.org/10.66581/6d1kt879" TargetMode="External" /><Relationship Type="http://schemas.openxmlformats.org/officeDocument/2006/relationships/hyperlink" Id="rId222" Target="https://doi.org/10.69635/978-1-0690482-5-7" TargetMode="External" /><Relationship Type="http://schemas.openxmlformats.org/officeDocument/2006/relationships/hyperlink" Id="rId297" Target="https://doi.org/10.70062/slrj.v1i4.229" TargetMode="External" /><Relationship Type="http://schemas.openxmlformats.org/officeDocument/2006/relationships/hyperlink" Id="rId253" Target="https://doi.org/10.70177/jiem.v3i2.2750" TargetMode="External" /><Relationship Type="http://schemas.openxmlformats.org/officeDocument/2006/relationships/hyperlink" Id="rId317" Target="https://doi.org/10.71037/gyanvividha.v2i3.09" TargetMode="External" /><Relationship Type="http://schemas.openxmlformats.org/officeDocument/2006/relationships/hyperlink" Id="rId151" Target="https://najahajournal.najahaofficial.id/index.php/IJLE/index" TargetMode="External" /><Relationship Type="http://schemas.openxmlformats.org/officeDocument/2006/relationships/hyperlink" Id="rId149" Target="https://www.theaspd.com/ijes.php" TargetMode="External" /><Relationship Type="http://schemas.openxmlformats.org/officeDocument/2006/relationships/hyperlink" Id="rId20" Target="mailto:nirwanmohit4@gmail.com" TargetMode="External" /></Relationships>
</file>

<file path=word/_rels/footnotes.xml.rels><?xml version="1.0" encoding="UTF-8"?><Relationships xmlns="http://schemas.openxmlformats.org/package/2006/relationships"><Relationship Type="http://schemas.openxmlformats.org/officeDocument/2006/relationships/hyperlink" Id="rId196" Target="https://arxiv.org/abs/2002.03700v1" TargetMode="External" /><Relationship Type="http://schemas.openxmlformats.org/officeDocument/2006/relationships/hyperlink" Id="rId175" Target="https://arxiv.org/abs/2302.02579" TargetMode="External" /><Relationship Type="http://schemas.openxmlformats.org/officeDocument/2006/relationships/hyperlink" Id="rId194" Target="https://arxiv.org/abs/2302.11360" TargetMode="External" /><Relationship Type="http://schemas.openxmlformats.org/officeDocument/2006/relationships/hyperlink" Id="rId171" Target="https://arxiv.org/abs/2307.01207v1" TargetMode="External" /><Relationship Type="http://schemas.openxmlformats.org/officeDocument/2006/relationships/hyperlink" Id="rId305" Target="https://doi.org/10.1007/s10462-025-11330-7" TargetMode="External" /><Relationship Type="http://schemas.openxmlformats.org/officeDocument/2006/relationships/hyperlink" Id="rId277" Target="https://doi.org/10.1007/s10618-022-00913-5" TargetMode="External" /><Relationship Type="http://schemas.openxmlformats.org/officeDocument/2006/relationships/hyperlink" Id="rId301" Target="https://doi.org/10.1007/s10844-020-00613-w" TargetMode="External" /><Relationship Type="http://schemas.openxmlformats.org/officeDocument/2006/relationships/hyperlink" Id="rId261" Target="https://doi.org/10.1007/s10844-026-01068-1" TargetMode="External" /><Relationship Type="http://schemas.openxmlformats.org/officeDocument/2006/relationships/hyperlink" Id="rId191" Target="https://doi.org/10.1007/s11257-023-09364-z" TargetMode="External" /><Relationship Type="http://schemas.openxmlformats.org/officeDocument/2006/relationships/hyperlink" Id="rId257" Target="https://doi.org/10.1007/s40747-022-00958-5" TargetMode="External" /><Relationship Type="http://schemas.openxmlformats.org/officeDocument/2006/relationships/hyperlink" Id="rId155" Target="https://doi.org/10.1007/s42087-026-00663-6" TargetMode="External" /><Relationship Type="http://schemas.openxmlformats.org/officeDocument/2006/relationships/hyperlink" Id="rId189" Target="https://doi.org/10.1007/s43681-025-00777-7" TargetMode="External" /><Relationship Type="http://schemas.openxmlformats.org/officeDocument/2006/relationships/hyperlink" Id="rId177" Target="https://doi.org/10.1007/s43681-026-01003-8" TargetMode="External" /><Relationship Type="http://schemas.openxmlformats.org/officeDocument/2006/relationships/hyperlink" Id="rId281" Target="https://doi.org/10.1109/acdsa65407.2025.11166403" TargetMode="External" /><Relationship Type="http://schemas.openxmlformats.org/officeDocument/2006/relationships/hyperlink" Id="rId210" Target="https://doi.org/10.1145/3370082" TargetMode="External" /><Relationship Type="http://schemas.openxmlformats.org/officeDocument/2006/relationships/hyperlink" Id="rId275" Target="https://doi.org/10.1145/3510409" TargetMode="External" /><Relationship Type="http://schemas.openxmlformats.org/officeDocument/2006/relationships/hyperlink" Id="rId202" Target="https://doi.org/10.11648/j.ri.20260201.15" TargetMode="External" /><Relationship Type="http://schemas.openxmlformats.org/officeDocument/2006/relationships/hyperlink" Id="rId269" Target="https://doi.org/10.1371/journal.pone.0154848" TargetMode="External" /><Relationship Type="http://schemas.openxmlformats.org/officeDocument/2006/relationships/hyperlink" Id="rId255" Target="https://doi.org/10.15673/atbp.v16i3.2923" TargetMode="External" /><Relationship Type="http://schemas.openxmlformats.org/officeDocument/2006/relationships/hyperlink" Id="rId279" Target="https://doi.org/10.15837/aijes.v20i1.7638" TargetMode="External" /><Relationship Type="http://schemas.openxmlformats.org/officeDocument/2006/relationships/hyperlink" Id="rId187" Target="https://doi.org/10.18535/ijsrm/v13i11.ec02" TargetMode="External" /><Relationship Type="http://schemas.openxmlformats.org/officeDocument/2006/relationships/hyperlink" Id="rId169" Target="https://doi.org/10.21301/eap.v16i3.13" TargetMode="External" /><Relationship Type="http://schemas.openxmlformats.org/officeDocument/2006/relationships/hyperlink" Id="rId173" Target="https://doi.org/10.22158/ibes.v8n1p59" TargetMode="External" /><Relationship Type="http://schemas.openxmlformats.org/officeDocument/2006/relationships/hyperlink" Id="rId299" Target="https://doi.org/10.22214/ijraset.2026.83777" TargetMode="External" /><Relationship Type="http://schemas.openxmlformats.org/officeDocument/2006/relationships/hyperlink" Id="rId310" Target="https://doi.org/10.22430/22565337.3836" TargetMode="External" /><Relationship Type="http://schemas.openxmlformats.org/officeDocument/2006/relationships/hyperlink" Id="rId289" Target="https://doi.org/10.26565/1992-2337-2026-1-21" TargetMode="External" /><Relationship Type="http://schemas.openxmlformats.org/officeDocument/2006/relationships/hyperlink" Id="rId247" Target="https://doi.org/10.28989/avitec.v8i1.3600" TargetMode="External" /><Relationship Type="http://schemas.openxmlformats.org/officeDocument/2006/relationships/hyperlink" Id="rId163" Target="https://doi.org/10.30574/wjarr.2025.25.2.0514" TargetMode="External" /><Relationship Type="http://schemas.openxmlformats.org/officeDocument/2006/relationships/hyperlink" Id="rId159" Target="https://doi.org/10.30574/wjarr.2025.25.2.0571" TargetMode="External" /><Relationship Type="http://schemas.openxmlformats.org/officeDocument/2006/relationships/hyperlink" Id="rId308" Target="https://doi.org/10.30892/gtg.67336-1848" TargetMode="External" /><Relationship Type="http://schemas.openxmlformats.org/officeDocument/2006/relationships/hyperlink" Id="rId303" Target="https://doi.org/10.32342/3041-2196-2026-1-31-17" TargetMode="External" /><Relationship Type="http://schemas.openxmlformats.org/officeDocument/2006/relationships/hyperlink" Id="rId167" Target="https://doi.org/10.32996/jcsts.2025.7.12.17" TargetMode="External" /><Relationship Type="http://schemas.openxmlformats.org/officeDocument/2006/relationships/hyperlink" Id="rId232" Target="https://doi.org/10.32996/jpbs.2026.6.2.3" TargetMode="External" /><Relationship Type="http://schemas.openxmlformats.org/officeDocument/2006/relationships/hyperlink" Id="rId242" Target="https://doi.org/10.33422/worldcmc.v2i1.1050" TargetMode="External" /><Relationship Type="http://schemas.openxmlformats.org/officeDocument/2006/relationships/hyperlink" Id="rId295" Target="https://doi.org/10.33425/2690-8077.1186" TargetMode="External" /><Relationship Type="http://schemas.openxmlformats.org/officeDocument/2006/relationships/hyperlink" Id="rId271" Target="https://doi.org/10.3389/fpsyg.2025.1523649" TargetMode="External" /><Relationship Type="http://schemas.openxmlformats.org/officeDocument/2006/relationships/hyperlink" Id="rId287" Target="https://doi.org/10.36074/grail-of-science.19.09.2025.040" TargetMode="External" /><Relationship Type="http://schemas.openxmlformats.org/officeDocument/2006/relationships/hyperlink" Id="rId236" Target="https://doi.org/10.36948/ijfmr.2025.v07i05.56888" TargetMode="External" /><Relationship Type="http://schemas.openxmlformats.org/officeDocument/2006/relationships/hyperlink" Id="rId228" Target="https://doi.org/10.37394/23209.2026.23.20" TargetMode="External" /><Relationship Type="http://schemas.openxmlformats.org/officeDocument/2006/relationships/hyperlink" Id="rId244" Target="https://doi.org/10.37680/muharrik.v8i2.7730" TargetMode="External" /><Relationship Type="http://schemas.openxmlformats.org/officeDocument/2006/relationships/hyperlink" Id="rId145" Target="https://doi.org/10.37745/ejcsit.2013/vol12n72135" TargetMode="External" /><Relationship Type="http://schemas.openxmlformats.org/officeDocument/2006/relationships/hyperlink" Id="rId249" Target="https://doi.org/10.38124/ijisrt/25oct919" TargetMode="External" /><Relationship Type="http://schemas.openxmlformats.org/officeDocument/2006/relationships/hyperlink" Id="rId214" Target="https://doi.org/10.47540/ijcs.v4i2.2256" TargetMode="External" /><Relationship Type="http://schemas.openxmlformats.org/officeDocument/2006/relationships/hyperlink" Id="rId153" Target="https://doi.org/10.47772/ijriss.2026.100601383" TargetMode="External" /><Relationship Type="http://schemas.openxmlformats.org/officeDocument/2006/relationships/hyperlink" Id="rId216" Target="https://doi.org/10.47772/ijriss.2026.100700860" TargetMode="External" /><Relationship Type="http://schemas.openxmlformats.org/officeDocument/2006/relationships/hyperlink" Id="rId161" Target="https://doi.org/10.51244/ijrsi.2026.1308000012" TargetMode="External" /><Relationship Type="http://schemas.openxmlformats.org/officeDocument/2006/relationships/hyperlink" Id="rId185" Target="https://doi.org/10.52058/2695-1592-2026-1(56)-22-33" TargetMode="External" /><Relationship Type="http://schemas.openxmlformats.org/officeDocument/2006/relationships/hyperlink" Id="rId323" Target="https://doi.org/10.52152/802893" TargetMode="External" /><Relationship Type="http://schemas.openxmlformats.org/officeDocument/2006/relationships/hyperlink" Id="rId220" Target="https://doi.org/10.52783/jier.v4i3.1349" TargetMode="External" /><Relationship Type="http://schemas.openxmlformats.org/officeDocument/2006/relationships/hyperlink" Id="rId212" Target="https://doi.org/10.52783/jier.v5i1.2108" TargetMode="External" /><Relationship Type="http://schemas.openxmlformats.org/officeDocument/2006/relationships/hyperlink" Id="rId183" Target="https://doi.org/10.52783/jisem.v10i58s.12750" TargetMode="External" /><Relationship Type="http://schemas.openxmlformats.org/officeDocument/2006/relationships/hyperlink" Id="rId283" Target="https://doi.org/10.52783/jisem.v10i60s.13275" TargetMode="External" /><Relationship Type="http://schemas.openxmlformats.org/officeDocument/2006/relationships/hyperlink" Id="rId321" Target="https://doi.org/10.54254/2753-7102/2024.18644" TargetMode="External" /><Relationship Type="http://schemas.openxmlformats.org/officeDocument/2006/relationships/hyperlink" Id="rId327" Target="https://doi.org/10.54254/2755-2721/2025.23592" TargetMode="External" /><Relationship Type="http://schemas.openxmlformats.org/officeDocument/2006/relationships/hyperlink" Id="rId206" Target="https://doi.org/10.54254/2755-2721/2025.po24665" TargetMode="External" /><Relationship Type="http://schemas.openxmlformats.org/officeDocument/2006/relationships/hyperlink" Id="rId200" Target="https://doi.org/10.54254/2755-2721/51/20241189" TargetMode="External" /><Relationship Type="http://schemas.openxmlformats.org/officeDocument/2006/relationships/hyperlink" Id="rId234" Target="https://doi.org/10.54254/2977-3903/2025.26631" TargetMode="External" /><Relationship Type="http://schemas.openxmlformats.org/officeDocument/2006/relationships/hyperlink" Id="rId312" Target="https://doi.org/10.54941/ahfe1007504" TargetMode="External" /><Relationship Type="http://schemas.openxmlformats.org/officeDocument/2006/relationships/hyperlink" Id="rId315" Target="https://doi.org/10.55743/jaspr0302" TargetMode="External" /><Relationship Type="http://schemas.openxmlformats.org/officeDocument/2006/relationships/hyperlink" Id="rId285" Target="https://doi.org/10.56294/ai2025413" TargetMode="External" /><Relationship Type="http://schemas.openxmlformats.org/officeDocument/2006/relationships/hyperlink" Id="rId319" Target="https://doi.org/10.56397/jrssh.2025.11.02" TargetMode="External" /><Relationship Type="http://schemas.openxmlformats.org/officeDocument/2006/relationships/hyperlink" Id="rId291" Target="https://doi.org/10.5753/jis.2026.7084" TargetMode="External" /><Relationship Type="http://schemas.openxmlformats.org/officeDocument/2006/relationships/hyperlink" Id="rId259" Target="https://doi.org/10.58578/amjsai.v2i3.7872" TargetMode="External" /><Relationship Type="http://schemas.openxmlformats.org/officeDocument/2006/relationships/hyperlink" Id="rId263" Target="https://doi.org/10.59224/bjlti.v2i1.1-24" TargetMode="External" /><Relationship Type="http://schemas.openxmlformats.org/officeDocument/2006/relationships/hyperlink" Id="rId325" Target="https://doi.org/10.61784/tsshr3243" TargetMode="External" /><Relationship Type="http://schemas.openxmlformats.org/officeDocument/2006/relationships/hyperlink" Id="rId226" Target="https://doi.org/10.61838/kman.hn.3.3.16" TargetMode="External" /><Relationship Type="http://schemas.openxmlformats.org/officeDocument/2006/relationships/hyperlink" Id="rId238" Target="https://doi.org/10.61838/kman.hn.3.4.14" TargetMode="External" /><Relationship Type="http://schemas.openxmlformats.org/officeDocument/2006/relationships/hyperlink" Id="rId267" Target="https://doi.org/10.61838/kman.jayps.4398" TargetMode="External" /><Relationship Type="http://schemas.openxmlformats.org/officeDocument/2006/relationships/hyperlink" Id="rId218" Target="https://doi.org/10.61877/ijmrp.v4i7.327" TargetMode="External" /><Relationship Type="http://schemas.openxmlformats.org/officeDocument/2006/relationships/hyperlink" Id="rId204" Target="https://doi.org/10.61978/legalis.v3i3.1126" TargetMode="External" /><Relationship Type="http://schemas.openxmlformats.org/officeDocument/2006/relationships/hyperlink" Id="rId251" Target="https://doi.org/10.62370/hbds.v27i1.282622" TargetMode="External" /><Relationship Type="http://schemas.openxmlformats.org/officeDocument/2006/relationships/hyperlink" Id="rId198" Target="https://doi.org/10.62486/sai202515" TargetMode="External" /><Relationship Type="http://schemas.openxmlformats.org/officeDocument/2006/relationships/hyperlink" Id="rId224" Target="https://doi.org/10.62982/seti07.ivku.67" TargetMode="External" /><Relationship Type="http://schemas.openxmlformats.org/officeDocument/2006/relationships/hyperlink" Id="rId230" Target="https://doi.org/10.63313/esw.2014" TargetMode="External" /><Relationship Type="http://schemas.openxmlformats.org/officeDocument/2006/relationships/hyperlink" Id="rId181" Target="https://doi.org/10.63317/5hcj5k8wy6rq" TargetMode="External" /><Relationship Type="http://schemas.openxmlformats.org/officeDocument/2006/relationships/hyperlink" Id="rId157" Target="https://doi.org/10.63544/ijss.v3i4.105" TargetMode="External" /><Relationship Type="http://schemas.openxmlformats.org/officeDocument/2006/relationships/hyperlink" Id="rId240" Target="https://doi.org/10.63544/ijss.v3i4.320" TargetMode="External" /><Relationship Type="http://schemas.openxmlformats.org/officeDocument/2006/relationships/hyperlink" Id="rId329" Target="https://doi.org/10.64123/mijm.v2.i1.5" TargetMode="External" /><Relationship Type="http://schemas.openxmlformats.org/officeDocument/2006/relationships/hyperlink" Id="rId273" Target="https://doi.org/10.64137/31079385/ijmhss-v2i2p105" TargetMode="External" /><Relationship Type="http://schemas.openxmlformats.org/officeDocument/2006/relationships/hyperlink" Id="rId179" Target="https://doi.org/10.64252/cef9cs80" TargetMode="External" /><Relationship Type="http://schemas.openxmlformats.org/officeDocument/2006/relationships/hyperlink" Id="rId147" Target="https://doi.org/10.64483/202522248" TargetMode="External" /><Relationship Type="http://schemas.openxmlformats.org/officeDocument/2006/relationships/hyperlink" Id="rId165" Target="https://doi.org/10.64751/ztnt0812" TargetMode="External" /><Relationship Type="http://schemas.openxmlformats.org/officeDocument/2006/relationships/hyperlink" Id="rId265" Target="https://doi.org/10.65521/ijrdmr.v15i1.1879" TargetMode="External" /><Relationship Type="http://schemas.openxmlformats.org/officeDocument/2006/relationships/hyperlink" Id="rId208" Target="https://doi.org/10.65923/4nm2g031" TargetMode="External" /><Relationship Type="http://schemas.openxmlformats.org/officeDocument/2006/relationships/hyperlink" Id="rId293" Target="https://doi.org/10.66581/6d1kt879" TargetMode="External" /><Relationship Type="http://schemas.openxmlformats.org/officeDocument/2006/relationships/hyperlink" Id="rId222" Target="https://doi.org/10.69635/978-1-0690482-5-7" TargetMode="External" /><Relationship Type="http://schemas.openxmlformats.org/officeDocument/2006/relationships/hyperlink" Id="rId297" Target="https://doi.org/10.70062/slrj.v1i4.229" TargetMode="External" /><Relationship Type="http://schemas.openxmlformats.org/officeDocument/2006/relationships/hyperlink" Id="rId253" Target="https://doi.org/10.70177/jiem.v3i2.2750" TargetMode="External" /><Relationship Type="http://schemas.openxmlformats.org/officeDocument/2006/relationships/hyperlink" Id="rId317" Target="https://doi.org/10.71037/gyanvividha.v2i3.09" TargetMode="External" /><Relationship Type="http://schemas.openxmlformats.org/officeDocument/2006/relationships/hyperlink" Id="rId151" Target="https://najahajournal.najahaofficial.id/index.php/IJLE/index" TargetMode="External" /><Relationship Type="http://schemas.openxmlformats.org/officeDocument/2006/relationships/hyperlink" Id="rId149" Target="https://www.theaspd.com/ijes.php" TargetMode="External" /><Relationship Type="http://schemas.openxmlformats.org/officeDocument/2006/relationships/hyperlink" Id="rId20" Target="mailto:nirwanmohit4@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 Addiction in Social Recommender Systems: Ethical AI Audit Methodology Prioritising Silent Profiling Defaults, Friction Loaded Opt Out Channels and Asymmetric Notification Controls, and a Pro Social Pivot Strategy for the EU Digital Fairness Act</dc:title>
  <dc:creator>nirwanmohit4@gmail.com nirwanmohit4@gmail.com</dc:creator>
  <cp:keywords/>
  <dcterms:created xsi:type="dcterms:W3CDTF">2026-09-07T19:48:17Z</dcterms:created>
  <dcterms:modified xsi:type="dcterms:W3CDTF">2026-09-07T19:48:17Z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research presents an ethics‑oriented audit toolkit and governance strategy for engagement‑optimised social recommender systems, operationalising an ethics spectrum with a concise matrix that classifies assistive nudges, borderline nudges and coercive sludge (Code C) based on observable interface attributes and regulatory risk signals. It translates legal signals from the DSA, AI Act and proposed Digital Fairness measures into concrete evidence requirements: algorithmic passports, tamper‑evident event logs, user control dashboards exposing non‑profiled feed modes, age sensitive design tests, and auditable human‑in‑the‑loop override trails. Methodologically, assessments rely on external UX behaviour, regulator findings and published audits rather than proprietary telemetry, using quantitative diagnostics such as entropy and Simpson diversity indices, Gini concentration measures, exposure/effectiveness gaps, engagement ceiling indicators and documented override rates. The toolkit defines a three‑tier audit taxonomy combining compliance checks, scenario based probes (e.g. eating disorder or extremist narratives) and lifecycle impact assessments that embed human oversight gates into CI/CD pipelines and product governance. Design prescriptions include finite session and break prompts, batch/digest modes and time‑boxed summaries, explainable recommendation panels linked to feedback loops, diversity oriented ranking with downranking levers for sensational content, and subscription funnel checks to detect sludge. Organisational mechanisms cover Communities of Practice, CSR reporting and independent third party audits to monitor remediation and advertiser alignment with wellbeing metrics such as AIAS‑5. The contribution is an implementable framework enabling operators, auditors and regulators to detect, assess and mitigate psycho‑emotional and distributive harms from engagement driven recommendation in alignment with emerging European accountability norms.</vt:lpwstr>
  </property>
  <property fmtid="{D5CDD505-2E9C-101B-9397-08002B2CF9AE}" pid="3" name="bibliography">
    <vt:lpwstr>references.bib</vt:lpwstr>
  </property>
  <property fmtid="{D5CDD505-2E9C-101B-9397-08002B2CF9AE}" pid="4" name="csl">
    <vt:lpwstr>../../../../pandoc/apa.csl</vt:lpwstr>
  </property>
</Properties>
</file>