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sz w:val="96"/>
          <w:szCs w:val="96"/>
        </w:rPr>
        <w:t xml:space="preserve">📊</w:t>
      </w:r>
    </w:p>
    <w:p>
      <w:pPr>
        <w:spacing w:after="120" w:before="300"/>
        <w:jc w:val="center"/>
      </w:pPr>
      <w:r>
        <w:rPr>
          <w:b/>
          <w:bCs/>
          <w:color w:val="1F3864"/>
          <w:spacing w:val="20"/>
          <w:sz w:val="30"/>
          <w:szCs w:val="30"/>
        </w:rPr>
        <w:t xml:space="preserve">WEEK 3 TASK REPORT</w:t>
      </w:r>
    </w:p>
    <w:p>
      <w:pPr>
        <w:spacing w:after="200"/>
        <w:jc w:val="center"/>
      </w:pPr>
      <w:r>
        <w:rPr>
          <w:b/>
          <w:bCs/>
          <w:color w:val="1A1A1A"/>
          <w:sz w:val="38"/>
          <w:szCs w:val="38"/>
        </w:rPr>
        <w:t xml:space="preserve">Statistical Analysis and Hypothesis Testing in Python</w:t>
      </w:r>
    </w:p>
    <w:p>
      <w:pPr>
        <w:spacing w:after="400"/>
        <w:jc w:val="center"/>
      </w:pPr>
      <w:r>
        <w:rPr>
          <w:b/>
          <w:bCs/>
          <w:color w:val="2E7D80"/>
          <w:sz w:val="30"/>
          <w:szCs w:val="30"/>
        </w:rPr>
        <w:t xml:space="preserve">Study Hours and Their Relationship with Exam Performance</w:t>
      </w:r>
    </w:p>
    <w:p>
      <w:pPr>
        <w:spacing w:after="60"/>
        <w:jc w:val="center"/>
      </w:pPr>
      <w:r>
        <w:rPr>
          <w:i/>
          <w:iCs/>
          <w:color w:val="595959"/>
          <w:sz w:val="24"/>
          <w:szCs w:val="24"/>
        </w:rPr>
        <w:t xml:space="preserve">Virtual Data Science with Python — Apprentice Intern</w:t>
      </w:r>
    </w:p>
    <w:p>
      <w:pPr>
        <w:spacing w:after="700"/>
        <w:jc w:val="center"/>
      </w:pPr>
      <w:r>
        <w:rPr>
          <w:b/>
          <w:bCs/>
          <w:color w:val="2E7D80"/>
          <w:sz w:val="24"/>
          <w:szCs w:val="24"/>
        </w:rPr>
        <w:t xml:space="preserve">YuvaIntern</w:t>
      </w:r>
    </w:p>
    <w:p>
      <w:pPr>
        <w:pBdr>
          <w:top w:val="single" w:color="D9D9D9" w:sz="4" w:space="8"/>
        </w:pBdr>
        <w:spacing w:after="40"/>
        <w:jc w:val="center"/>
      </w:pPr>
      <w:r>
        <w:t xml:space="preserve"/>
      </w:r>
    </w:p>
    <w:p>
      <w:pPr>
        <w:spacing w:after="40" w:before="300"/>
        <w:jc w:val="center"/>
      </w:pPr>
      <w:r>
        <w:rPr>
          <w:color w:val="595959"/>
          <w:sz w:val="20"/>
          <w:szCs w:val="20"/>
        </w:rPr>
        <w:t xml:space="preserve">Prepared by</w:t>
      </w:r>
    </w:p>
    <w:p>
      <w:pPr>
        <w:spacing w:after="500"/>
        <w:jc w:val="center"/>
      </w:pPr>
      <w:r>
        <w:rPr>
          <w:b/>
          <w:bCs/>
          <w:color w:val="1F3864"/>
          <w:sz w:val="26"/>
          <w:szCs w:val="26"/>
        </w:rPr>
        <w:t xml:space="preserve">Rinsha Sherin</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tblGrid>
      <w:tr>
        <w:tc>
          <w:tcPr>
            <w:tcW w:type="dxa" w:w="3100"/>
            <w:shd w:fill="EDF1F8" w:val="clear"/>
            <w:tcMar>
              <w:top w:type="dxa" w:w="90"/>
              <w:left w:type="dxa" w:w="120"/>
              <w:bottom w:type="dxa" w:w="90"/>
              <w:right w:type="dxa" w:w="120"/>
            </w:tcMar>
            <w:vAlign w:val="center"/>
          </w:tcPr>
          <w:p>
            <w:pPr>
              <w:jc w:val="center"/>
            </w:pPr>
            <w:r>
              <w:rPr>
                <w:b/>
                <w:bCs/>
                <w:color w:val="262626"/>
                <w:sz w:val="20"/>
                <w:szCs w:val="20"/>
              </w:rPr>
              <w:t xml:space="preserve">Dataset</w:t>
            </w:r>
          </w:p>
        </w:tc>
        <w:tc>
          <w:tcPr>
            <w:tcW w:type="dxa" w:w="3100"/>
            <w:shd w:fill="FFFFFF" w:val="clear"/>
            <w:tcMar>
              <w:top w:type="dxa" w:w="90"/>
              <w:left w:type="dxa" w:w="120"/>
              <w:bottom w:type="dxa" w:w="90"/>
              <w:right w:type="dxa" w:w="120"/>
            </w:tcMar>
            <w:vAlign w:val="center"/>
          </w:tcPr>
          <w:p>
            <w:pPr>
              <w:jc w:val="center"/>
            </w:pPr>
            <w:r>
              <w:rPr>
                <w:b w:val="false"/>
                <w:bCs w:val="false"/>
                <w:color w:val="262626"/>
                <w:sz w:val="20"/>
                <w:szCs w:val="20"/>
              </w:rPr>
              <w:t xml:space="preserve">Self-generated (120 students)</w:t>
            </w:r>
          </w:p>
        </w:tc>
      </w:tr>
      <w:tr>
        <w:tc>
          <w:tcPr>
            <w:tcW w:type="dxa" w:w="3100"/>
            <w:shd w:fill="EDF1F8" w:val="clear"/>
            <w:tcMar>
              <w:top w:type="dxa" w:w="90"/>
              <w:left w:type="dxa" w:w="120"/>
              <w:bottom w:type="dxa" w:w="90"/>
              <w:right w:type="dxa" w:w="120"/>
            </w:tcMar>
            <w:vAlign w:val="center"/>
          </w:tcPr>
          <w:p>
            <w:pPr>
              <w:jc w:val="center"/>
            </w:pPr>
            <w:r>
              <w:rPr>
                <w:b/>
                <w:bCs/>
                <w:color w:val="262626"/>
                <w:sz w:val="20"/>
                <w:szCs w:val="20"/>
              </w:rPr>
              <w:t xml:space="preserve">Test Used</w:t>
            </w:r>
          </w:p>
        </w:tc>
        <w:tc>
          <w:tcPr>
            <w:tcW w:type="dxa" w:w="3100"/>
            <w:shd w:fill="FFFFFF" w:val="clear"/>
            <w:tcMar>
              <w:top w:type="dxa" w:w="90"/>
              <w:left w:type="dxa" w:w="120"/>
              <w:bottom w:type="dxa" w:w="90"/>
              <w:right w:type="dxa" w:w="120"/>
            </w:tcMar>
            <w:vAlign w:val="center"/>
          </w:tcPr>
          <w:p>
            <w:pPr>
              <w:jc w:val="center"/>
            </w:pPr>
            <w:r>
              <w:rPr>
                <w:b w:val="false"/>
                <w:bCs w:val="false"/>
                <w:color w:val="262626"/>
                <w:sz w:val="20"/>
                <w:szCs w:val="20"/>
              </w:rPr>
              <w:t xml:space="preserve">Welch's Independent t-test</w:t>
            </w:r>
          </w:p>
        </w:tc>
      </w:tr>
      <w:tr>
        <w:tc>
          <w:tcPr>
            <w:tcW w:type="dxa" w:w="3100"/>
            <w:shd w:fill="EDF1F8" w:val="clear"/>
            <w:tcMar>
              <w:top w:type="dxa" w:w="90"/>
              <w:left w:type="dxa" w:w="120"/>
              <w:bottom w:type="dxa" w:w="90"/>
              <w:right w:type="dxa" w:w="120"/>
            </w:tcMar>
            <w:vAlign w:val="center"/>
          </w:tcPr>
          <w:p>
            <w:pPr>
              <w:jc w:val="center"/>
            </w:pPr>
            <w:r>
              <w:rPr>
                <w:b/>
                <w:bCs/>
                <w:color w:val="262626"/>
                <w:sz w:val="20"/>
                <w:szCs w:val="20"/>
              </w:rPr>
              <w:t xml:space="preserve">Result</w:t>
            </w:r>
          </w:p>
        </w:tc>
        <w:tc>
          <w:tcPr>
            <w:tcW w:type="dxa" w:w="3100"/>
            <w:shd w:fill="FFFFFF" w:val="clear"/>
            <w:tcMar>
              <w:top w:type="dxa" w:w="90"/>
              <w:left w:type="dxa" w:w="120"/>
              <w:bottom w:type="dxa" w:w="90"/>
              <w:right w:type="dxa" w:w="120"/>
            </w:tcMar>
            <w:vAlign w:val="center"/>
          </w:tcPr>
          <w:p>
            <w:pPr>
              <w:jc w:val="center"/>
            </w:pPr>
            <w:r>
              <w:rPr>
                <w:b/>
                <w:bCs/>
                <w:color w:val="1E7A34"/>
                <w:sz w:val="20"/>
                <w:szCs w:val="20"/>
              </w:rPr>
              <w:t xml:space="preserve">Statistically Significant (p &lt; 0.001)</w:t>
            </w:r>
          </w:p>
        </w:tc>
      </w:tr>
    </w:tbl>
    <w:p>
      <w:pPr>
        <w:sectPr>
          <w:pgSz w:w="12240" w:h="15840" w:orient="portrait"/>
          <w:pgMar w:top="1000" w:right="1200" w:bottom="1000" w:left="1200" w:header="708" w:footer="708" w:gutter="0"/>
          <w:pgNumType/>
          <w:docGrid w:linePitch="360"/>
        </w:sectPr>
      </w:pPr>
    </w:p>
    <w:p>
      <w:pPr>
        <w:pStyle w:val="Heading1"/>
        <w:pBdr>
          <w:bottom w:val="single" w:color="2E7D80" w:sz="12" w:space="4"/>
        </w:pBdr>
        <w:spacing w:after="200" w:before="400"/>
      </w:pPr>
      <w:r>
        <w:rPr>
          <w:b/>
          <w:bCs/>
          <w:color w:val="1F3864"/>
          <w:sz w:val="32"/>
          <w:szCs w:val="32"/>
        </w:rPr>
        <w:t xml:space="preserve">1 · Introduction</w:t>
      </w:r>
    </w:p>
    <w:p>
      <w:pPr>
        <w:spacing w:after="160" w:line="300"/>
      </w:pPr>
      <w:r>
        <w:rPr>
          <w:color w:val="262626"/>
          <w:sz w:val="22"/>
          <w:szCs w:val="22"/>
        </w:rPr>
        <w:t xml:space="preserve">Statistical analysis provides a systematic way to determine whether patterns observed in data are likely to represent genuine differences or could simply have occurred by chance. This Week 3 project applies hypothesis testing using Python to a common educational question: does the amount of time a student studies each day relate to their exam performance? A self-generated dataset was used so the full statistical workflow — from data creation to interpretation — could be demonstrated end to end.</w:t>
      </w:r>
    </w:p>
    <w:p>
      <w:pPr>
        <w:pStyle w:val="Heading1"/>
        <w:pBdr>
          <w:bottom w:val="single" w:color="2E7D80" w:sz="12" w:space="4"/>
        </w:pBdr>
        <w:spacing w:after="200" w:before="400"/>
      </w:pPr>
      <w:r>
        <w:rPr>
          <w:b/>
          <w:bCs/>
          <w:color w:val="1F3864"/>
          <w:sz w:val="32"/>
          <w:szCs w:val="32"/>
        </w:rPr>
        <w:t xml:space="preserve">2 · Problem Statement</w:t>
      </w:r>
    </w:p>
    <w:p>
      <w:pPr>
        <w:spacing w:after="160" w:line="300"/>
      </w:pPr>
      <w:r>
        <w:rPr>
          <w:color w:val="262626"/>
          <w:sz w:val="22"/>
          <w:szCs w:val="22"/>
        </w:rPr>
        <w:t xml:space="preserve">The problem investigated in this project is whether students who study 5 or more hours per day achieve different average exam scores than students who study less than 5 hours per day. Visual inspection of the data can suggest a difference, but statistical testing is required to determine whether that difference is unlikely to have occurred by chance.</w:t>
      </w:r>
    </w:p>
    <w:p>
      <w:pPr>
        <w:pStyle w:val="Heading1"/>
        <w:pBdr>
          <w:bottom w:val="single" w:color="2E7D80" w:sz="12" w:space="4"/>
        </w:pBdr>
        <w:spacing w:after="200" w:before="400"/>
      </w:pPr>
      <w:r>
        <w:rPr>
          <w:b/>
          <w:bCs/>
          <w:color w:val="1F3864"/>
          <w:sz w:val="32"/>
          <w:szCs w:val="32"/>
        </w:rPr>
        <w:t xml:space="preserve">3 · Objectives</w:t>
      </w:r>
    </w:p>
    <w:p>
      <w:pPr>
        <w:pStyle w:val="ListParagraph"/>
        <w:numPr>
          <w:ilvl w:val="0"/>
          <w:numId w:val="2"/>
        </w:numPr>
        <w:spacing w:after="90"/>
      </w:pPr>
      <w:r>
        <w:rPr>
          <w:color w:val="262626"/>
          <w:sz w:val="22"/>
          <w:szCs w:val="22"/>
        </w:rPr>
        <w:t xml:space="preserve">Generate a structured educational dataset using Python.</w:t>
      </w:r>
    </w:p>
    <w:p>
      <w:pPr>
        <w:pStyle w:val="ListParagraph"/>
        <w:numPr>
          <w:ilvl w:val="0"/>
          <w:numId w:val="2"/>
        </w:numPr>
        <w:spacing w:after="90"/>
      </w:pPr>
      <w:r>
        <w:rPr>
          <w:color w:val="262626"/>
          <w:sz w:val="22"/>
          <w:szCs w:val="22"/>
        </w:rPr>
        <w:t xml:space="preserve">Calculate descriptive statistics for each study-hour group.</w:t>
      </w:r>
    </w:p>
    <w:p>
      <w:pPr>
        <w:pStyle w:val="ListParagraph"/>
        <w:numPr>
          <w:ilvl w:val="0"/>
          <w:numId w:val="2"/>
        </w:numPr>
        <w:spacing w:after="90"/>
      </w:pPr>
      <w:r>
        <w:rPr>
          <w:color w:val="262626"/>
          <w:sz w:val="22"/>
          <w:szCs w:val="22"/>
        </w:rPr>
        <w:t xml:space="preserve">Formulate null and alternative hypotheses.</w:t>
      </w:r>
    </w:p>
    <w:p>
      <w:pPr>
        <w:pStyle w:val="ListParagraph"/>
        <w:numPr>
          <w:ilvl w:val="0"/>
          <w:numId w:val="2"/>
        </w:numPr>
        <w:spacing w:after="90"/>
      </w:pPr>
      <w:r>
        <w:rPr>
          <w:color w:val="262626"/>
          <w:sz w:val="22"/>
          <w:szCs w:val="22"/>
        </w:rPr>
        <w:t xml:space="preserve">Test the equality of variances using Levene's test.</w:t>
      </w:r>
    </w:p>
    <w:p>
      <w:pPr>
        <w:pStyle w:val="ListParagraph"/>
        <w:numPr>
          <w:ilvl w:val="0"/>
          <w:numId w:val="2"/>
        </w:numPr>
        <w:spacing w:after="90"/>
      </w:pPr>
      <w:r>
        <w:rPr>
          <w:color w:val="262626"/>
          <w:sz w:val="22"/>
          <w:szCs w:val="22"/>
        </w:rPr>
        <w:t xml:space="preserve">Apply Welch's independent-samples t-test to compare group means.</w:t>
      </w:r>
    </w:p>
    <w:p>
      <w:pPr>
        <w:pStyle w:val="ListParagraph"/>
        <w:numPr>
          <w:ilvl w:val="0"/>
          <w:numId w:val="2"/>
        </w:numPr>
        <w:spacing w:after="90"/>
      </w:pPr>
      <w:r>
        <w:rPr>
          <w:color w:val="262626"/>
          <w:sz w:val="22"/>
          <w:szCs w:val="22"/>
        </w:rPr>
        <w:t xml:space="preserve">Calculate and interpret a 95% confidence interval for the mean difference.</w:t>
      </w:r>
    </w:p>
    <w:p>
      <w:pPr>
        <w:pStyle w:val="ListParagraph"/>
        <w:numPr>
          <w:ilvl w:val="0"/>
          <w:numId w:val="2"/>
        </w:numPr>
        <w:spacing w:after="90"/>
      </w:pPr>
      <w:r>
        <w:rPr>
          <w:color w:val="262626"/>
          <w:sz w:val="22"/>
          <w:szCs w:val="22"/>
        </w:rPr>
        <w:t xml:space="preserve">Create visualizations to support the statistical findings.</w:t>
      </w:r>
    </w:p>
    <w:p>
      <w:pPr>
        <w:pStyle w:val="ListParagraph"/>
        <w:numPr>
          <w:ilvl w:val="0"/>
          <w:numId w:val="2"/>
        </w:numPr>
        <w:spacing w:after="90"/>
      </w:pPr>
      <w:r>
        <w:rPr>
          <w:color w:val="262626"/>
          <w:sz w:val="22"/>
          <w:szCs w:val="22"/>
        </w:rPr>
        <w:t xml:space="preserve">Draw a conclusion based on the p-value and effect size.</w:t>
      </w:r>
    </w:p>
    <w:p>
      <w:pPr>
        <w:spacing w:after="200"/>
      </w:pPr>
    </w:p>
    <w:p>
      <w:pPr>
        <w:pStyle w:val="Heading1"/>
        <w:pBdr>
          <w:bottom w:val="single" w:color="2E7D80" w:sz="12" w:space="4"/>
        </w:pBdr>
        <w:spacing w:after="200" w:before="400"/>
      </w:pPr>
      <w:r>
        <w:rPr>
          <w:b/>
          <w:bCs/>
          <w:color w:val="1F3864"/>
          <w:sz w:val="32"/>
          <w:szCs w:val="32"/>
        </w:rPr>
        <w:t xml:space="preserve">4 · Dataset Description</w:t>
      </w:r>
    </w:p>
    <w:p>
      <w:pPr>
        <w:spacing w:after="160" w:line="300"/>
      </w:pPr>
      <w:r>
        <w:rPr>
          <w:color w:val="262626"/>
          <w:sz w:val="22"/>
          <w:szCs w:val="22"/>
        </w:rPr>
        <w:t xml:space="preserve">The dataset is a self-generated educational dataset containing 120 student records. Each record includes a student ID, study hours per day, attendance percentage, exam score, and a study-hour group label (5+ hours or below 5 hours per day). The dependent variable selected for this hypothesis test is exam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1F3864" w:val="clear"/>
            <w:tcMar>
              <w:top w:type="dxa" w:w="100"/>
              <w:left w:type="dxa" w:w="120"/>
              <w:bottom w:type="dxa" w:w="100"/>
              <w:right w:type="dxa" w:w="120"/>
            </w:tcMar>
            <w:vAlign w:val="center"/>
          </w:tcPr>
          <w:p>
            <w:pPr>
              <w:jc w:val="center"/>
            </w:pPr>
            <w:r>
              <w:rPr>
                <w:b/>
                <w:bCs/>
                <w:color w:val="FFFFFF"/>
                <w:sz w:val="20"/>
                <w:szCs w:val="20"/>
              </w:rPr>
              <w:t xml:space="preserve">Study-Hour Group</w:t>
            </w:r>
          </w:p>
        </w:tc>
        <w:tc>
          <w:tcPr>
            <w:tcW w:type="dxa" w:w="2000"/>
            <w:shd w:fill="1F3864" w:val="clear"/>
            <w:tcMar>
              <w:top w:type="dxa" w:w="100"/>
              <w:left w:type="dxa" w:w="120"/>
              <w:bottom w:type="dxa" w:w="100"/>
              <w:right w:type="dxa" w:w="120"/>
            </w:tcMar>
            <w:vAlign w:val="center"/>
          </w:tcPr>
          <w:p>
            <w:pPr>
              <w:jc w:val="center"/>
            </w:pPr>
            <w:r>
              <w:rPr>
                <w:b/>
                <w:bCs/>
                <w:color w:val="FFFFFF"/>
                <w:sz w:val="20"/>
                <w:szCs w:val="20"/>
              </w:rPr>
              <w:t xml:space="preserve">N</w:t>
            </w:r>
          </w:p>
        </w:tc>
        <w:tc>
          <w:tcPr>
            <w:tcW w:type="dxa" w:w="2000"/>
            <w:shd w:fill="1F3864" w:val="clear"/>
            <w:tcMar>
              <w:top w:type="dxa" w:w="100"/>
              <w:left w:type="dxa" w:w="120"/>
              <w:bottom w:type="dxa" w:w="100"/>
              <w:right w:type="dxa" w:w="120"/>
            </w:tcMar>
            <w:vAlign w:val="center"/>
          </w:tcPr>
          <w:p>
            <w:pPr>
              <w:jc w:val="center"/>
            </w:pPr>
            <w:r>
              <w:rPr>
                <w:b/>
                <w:bCs/>
                <w:color w:val="FFFFFF"/>
                <w:sz w:val="20"/>
                <w:szCs w:val="20"/>
              </w:rPr>
              <w:t xml:space="preserve">Mean Exam Score</w:t>
            </w:r>
          </w:p>
        </w:tc>
        <w:tc>
          <w:tcPr>
            <w:tcW w:type="dxa" w:w="2000"/>
            <w:shd w:fill="1F3864" w:val="clear"/>
            <w:tcMar>
              <w:top w:type="dxa" w:w="100"/>
              <w:left w:type="dxa" w:w="120"/>
              <w:bottom w:type="dxa" w:w="100"/>
              <w:right w:type="dxa" w:w="120"/>
            </w:tcMar>
            <w:vAlign w:val="center"/>
          </w:tcPr>
          <w:p>
            <w:pPr>
              <w:jc w:val="center"/>
            </w:pPr>
            <w:r>
              <w:rPr>
                <w:b/>
                <w:bCs/>
                <w:color w:val="FFFFFF"/>
                <w:sz w:val="20"/>
                <w:szCs w:val="20"/>
              </w:rPr>
              <w:t xml:space="preserve">Std. Deviation</w:t>
            </w:r>
          </w:p>
        </w:tc>
      </w:tr>
      <w:tr>
        <w:tc>
          <w:tcPr>
            <w:tcW w:type="dxa" w:w="3350"/>
            <w:tcMar>
              <w:top w:type="dxa" w:w="90"/>
              <w:left w:type="dxa" w:w="120"/>
              <w:bottom w:type="dxa" w:w="90"/>
              <w:right w:type="dxa" w:w="120"/>
            </w:tcMar>
            <w:vAlign w:val="center"/>
          </w:tcPr>
          <w:p>
            <w:pPr>
              <w:jc w:val="center"/>
            </w:pPr>
            <w:r>
              <w:rPr>
                <w:b w:val="false"/>
                <w:bCs w:val="false"/>
                <w:color w:val="262626"/>
                <w:sz w:val="20"/>
                <w:szCs w:val="20"/>
              </w:rPr>
              <w:t xml:space="preserve">5+ hours/day</w:t>
            </w:r>
          </w:p>
        </w:tc>
        <w:tc>
          <w:tcPr>
            <w:tcW w:type="dxa" w:w="2000"/>
            <w:tcMar>
              <w:top w:type="dxa" w:w="90"/>
              <w:left w:type="dxa" w:w="120"/>
              <w:bottom w:type="dxa" w:w="90"/>
              <w:right w:type="dxa" w:w="120"/>
            </w:tcMar>
            <w:vAlign w:val="center"/>
          </w:tcPr>
          <w:p>
            <w:pPr>
              <w:jc w:val="center"/>
            </w:pPr>
            <w:r>
              <w:rPr>
                <w:b w:val="false"/>
                <w:bCs w:val="false"/>
                <w:color w:val="262626"/>
                <w:sz w:val="20"/>
                <w:szCs w:val="20"/>
              </w:rPr>
              <w:t xml:space="preserve">64</w:t>
            </w:r>
          </w:p>
        </w:tc>
        <w:tc>
          <w:tcPr>
            <w:tcW w:type="dxa" w:w="2000"/>
            <w:tcMar>
              <w:top w:type="dxa" w:w="90"/>
              <w:left w:type="dxa" w:w="120"/>
              <w:bottom w:type="dxa" w:w="90"/>
              <w:right w:type="dxa" w:w="120"/>
            </w:tcMar>
            <w:vAlign w:val="center"/>
          </w:tcPr>
          <w:p>
            <w:pPr>
              <w:jc w:val="center"/>
            </w:pPr>
            <w:r>
              <w:rPr>
                <w:b w:val="false"/>
                <w:bCs w:val="false"/>
                <w:color w:val="262626"/>
                <w:sz w:val="20"/>
                <w:szCs w:val="20"/>
              </w:rPr>
              <w:t xml:space="preserve">90.95</w:t>
            </w:r>
          </w:p>
        </w:tc>
        <w:tc>
          <w:tcPr>
            <w:tcW w:type="dxa" w:w="2000"/>
            <w:tcMar>
              <w:top w:type="dxa" w:w="90"/>
              <w:left w:type="dxa" w:w="120"/>
              <w:bottom w:type="dxa" w:w="90"/>
              <w:right w:type="dxa" w:w="120"/>
            </w:tcMar>
            <w:vAlign w:val="center"/>
          </w:tcPr>
          <w:p>
            <w:pPr>
              <w:jc w:val="center"/>
            </w:pPr>
            <w:r>
              <w:rPr>
                <w:b w:val="false"/>
                <w:bCs w:val="false"/>
                <w:color w:val="262626"/>
                <w:sz w:val="20"/>
                <w:szCs w:val="20"/>
              </w:rPr>
              <w:t xml:space="preserve">6.27</w:t>
            </w:r>
          </w:p>
        </w:tc>
      </w:tr>
      <w:tr>
        <w:tc>
          <w:tcPr>
            <w:tcW w:type="dxa" w:w="3350"/>
            <w:shd w:fill="F7F9FB" w:val="clear"/>
            <w:tcMar>
              <w:top w:type="dxa" w:w="90"/>
              <w:left w:type="dxa" w:w="120"/>
              <w:bottom w:type="dxa" w:w="90"/>
              <w:right w:type="dxa" w:w="120"/>
            </w:tcMar>
            <w:vAlign w:val="center"/>
          </w:tcPr>
          <w:p>
            <w:pPr>
              <w:jc w:val="center"/>
            </w:pPr>
            <w:r>
              <w:rPr>
                <w:b w:val="false"/>
                <w:bCs w:val="false"/>
                <w:color w:val="262626"/>
                <w:sz w:val="20"/>
                <w:szCs w:val="20"/>
              </w:rPr>
              <w:t xml:space="preserve">Below 5 hours/day</w:t>
            </w:r>
          </w:p>
        </w:tc>
        <w:tc>
          <w:tcPr>
            <w:tcW w:type="dxa" w:w="2000"/>
            <w:shd w:fill="F7F9FB" w:val="clear"/>
            <w:tcMar>
              <w:top w:type="dxa" w:w="90"/>
              <w:left w:type="dxa" w:w="120"/>
              <w:bottom w:type="dxa" w:w="90"/>
              <w:right w:type="dxa" w:w="120"/>
            </w:tcMar>
            <w:vAlign w:val="center"/>
          </w:tcPr>
          <w:p>
            <w:pPr>
              <w:jc w:val="center"/>
            </w:pPr>
            <w:r>
              <w:rPr>
                <w:b w:val="false"/>
                <w:bCs w:val="false"/>
                <w:color w:val="262626"/>
                <w:sz w:val="20"/>
                <w:szCs w:val="20"/>
              </w:rPr>
              <w:t xml:space="preserve">56</w:t>
            </w:r>
          </w:p>
        </w:tc>
        <w:tc>
          <w:tcPr>
            <w:tcW w:type="dxa" w:w="2000"/>
            <w:shd w:fill="F7F9FB" w:val="clear"/>
            <w:tcMar>
              <w:top w:type="dxa" w:w="90"/>
              <w:left w:type="dxa" w:w="120"/>
              <w:bottom w:type="dxa" w:w="90"/>
              <w:right w:type="dxa" w:w="120"/>
            </w:tcMar>
            <w:vAlign w:val="center"/>
          </w:tcPr>
          <w:p>
            <w:pPr>
              <w:jc w:val="center"/>
            </w:pPr>
            <w:r>
              <w:rPr>
                <w:b w:val="false"/>
                <w:bCs w:val="false"/>
                <w:color w:val="262626"/>
                <w:sz w:val="20"/>
                <w:szCs w:val="20"/>
              </w:rPr>
              <w:t xml:space="preserve">81.68</w:t>
            </w:r>
          </w:p>
        </w:tc>
        <w:tc>
          <w:tcPr>
            <w:tcW w:type="dxa" w:w="2000"/>
            <w:shd w:fill="F7F9FB" w:val="clear"/>
            <w:tcMar>
              <w:top w:type="dxa" w:w="90"/>
              <w:left w:type="dxa" w:w="120"/>
              <w:bottom w:type="dxa" w:w="90"/>
              <w:right w:type="dxa" w:w="120"/>
            </w:tcMar>
            <w:vAlign w:val="center"/>
          </w:tcPr>
          <w:p>
            <w:pPr>
              <w:jc w:val="center"/>
            </w:pPr>
            <w:r>
              <w:rPr>
                <w:b w:val="false"/>
                <w:bCs w:val="false"/>
                <w:color w:val="262626"/>
                <w:sz w:val="20"/>
                <w:szCs w:val="20"/>
              </w:rPr>
              <w:t xml:space="preserve">7.19</w:t>
            </w:r>
          </w:p>
        </w:tc>
      </w:tr>
    </w:tbl>
    <w:p>
      <w:pPr>
        <w:spacing w:after="300"/>
      </w:pPr>
    </w:p>
    <w:p>
      <w:pPr>
        <w:pStyle w:val="Heading1"/>
        <w:pBdr>
          <w:bottom w:val="single" w:color="2E7D80" w:sz="12" w:space="4"/>
        </w:pBdr>
        <w:spacing w:after="200" w:before="400"/>
      </w:pPr>
      <w:r>
        <w:rPr>
          <w:b/>
          <w:bCs/>
          <w:color w:val="1F3864"/>
          <w:sz w:val="32"/>
          <w:szCs w:val="32"/>
        </w:rPr>
        <w:t xml:space="preserve">5 · Hypothesis Formulation</w:t>
      </w:r>
    </w:p>
    <w:p>
      <w:pPr>
        <w:spacing w:after="160" w:line="300"/>
      </w:pPr>
      <w:r>
        <w:rPr>
          <w:b/>
          <w:bCs/>
          <w:color w:val="1F3864"/>
          <w:sz w:val="22"/>
          <w:szCs w:val="22"/>
        </w:rPr>
        <w:t xml:space="preserve">Significance level: α = 0.05</w:t>
      </w:r>
    </w:p>
    <w:p>
      <w:pPr>
        <w:shd w:fill="EDF1F8" w:val="clear"/>
        <w:spacing w:after="120"/>
      </w:pPr>
      <w:r>
        <w:rPr>
          <w:b/>
          <w:bCs/>
          <w:color w:val="1F3864"/>
          <w:sz w:val="22"/>
          <w:szCs w:val="22"/>
        </w:rPr>
        <w:t xml:space="preserve">  H0 (Null Hypothesis):  </w:t>
      </w:r>
      <w:r>
        <w:rPr>
          <w:sz w:val="22"/>
          <w:szCs w:val="22"/>
        </w:rPr>
        <w:t xml:space="preserve">There is no significant difference in mean exam scores between students studying 5+ hours per day and students studying below 5 hours per day.</w:t>
      </w:r>
    </w:p>
    <w:p>
      <w:pPr>
        <w:shd w:fill="E8F3F2" w:val="clear"/>
        <w:spacing w:after="200"/>
      </w:pPr>
      <w:r>
        <w:rPr>
          <w:b/>
          <w:bCs/>
          <w:color w:val="2E7D80"/>
          <w:sz w:val="22"/>
          <w:szCs w:val="22"/>
        </w:rPr>
        <w:t xml:space="preserve">  H1 (Alternative Hypothesis):  </w:t>
      </w:r>
      <w:r>
        <w:rPr>
          <w:sz w:val="22"/>
          <w:szCs w:val="22"/>
        </w:rPr>
        <w:t xml:space="preserve">There is a significant difference in mean exam scores between the two study-hour groups.</w:t>
      </w:r>
    </w:p>
    <w:p>
      <w:pPr>
        <w:pStyle w:val="Heading1"/>
        <w:pBdr>
          <w:bottom w:val="single" w:color="2E7D80" w:sz="12" w:space="4"/>
        </w:pBdr>
        <w:spacing w:after="200" w:before="400"/>
      </w:pPr>
      <w:r>
        <w:rPr>
          <w:b/>
          <w:bCs/>
          <w:color w:val="1F3864"/>
          <w:sz w:val="32"/>
          <w:szCs w:val="32"/>
        </w:rPr>
        <w:t xml:space="preserve">6 · Methodology</w:t>
      </w:r>
    </w:p>
    <w:p>
      <w:pPr>
        <w:spacing w:after="160" w:line="300"/>
      </w:pPr>
      <w:r>
        <w:rPr>
          <w:color w:val="262626"/>
          <w:sz w:val="22"/>
          <w:szCs w:val="22"/>
        </w:rPr>
        <w:t xml:space="preserve">An independent-samples comparison was needed because the dataset has one continuous dependent variable (exam score) and one categorical grouping variable with two levels (study-hour group). Levene's test was first used to check whether the two groups have equal variances. Because sample sizes and variances were not assumed to be identical, Welch's t-test — a variant of the t-test that does not require equal variances — was used to compare the group means. A 95% confidence interval for the mean difference was calculated using the Welch–Satterthwaite approach.</w:t>
      </w:r>
    </w:p>
    <w:p>
      <w:pPr>
        <w:spacing w:after="160" w:line="300"/>
      </w:pPr>
      <w:r>
        <w:rPr>
          <w:color w:val="262626"/>
          <w:sz w:val="22"/>
          <w:szCs w:val="22"/>
        </w:rPr>
        <w:t xml:space="preserve">The analysis assumes independent observations and approximately normally distributed exam scores within each group. Group sizes are reasonably balanced (64 vs. 56), which supports a fair comparison.</w:t>
      </w:r>
    </w:p>
    <w:p>
      <w:pPr>
        <w:pStyle w:val="Heading1"/>
        <w:pBdr>
          <w:bottom w:val="single" w:color="2E7D80" w:sz="12" w:space="4"/>
        </w:pBdr>
        <w:spacing w:after="200" w:before="400"/>
      </w:pPr>
      <w:r>
        <w:rPr>
          <w:b/>
          <w:bCs/>
          <w:color w:val="1F3864"/>
          <w:sz w:val="32"/>
          <w:szCs w:val="32"/>
        </w:rPr>
        <w:t xml:space="preserve">7 · Python Implementation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00"/>
              <w:bottom w:type="dxa" w:w="200"/>
              <w:right w:type="dxa" w:w="200"/>
            </w:tcMar>
          </w:tcPr>
          <w:p>
            <w:pPr>
              <w:spacing w:after="0"/>
            </w:pPr>
            <w:r>
              <w:rPr>
                <w:rFonts w:ascii="Consolas" w:cs="Consolas" w:eastAsia="Consolas" w:hAnsi="Consolas"/>
                <w:color w:val="D4D4D4"/>
                <w:sz w:val="18"/>
                <w:szCs w:val="18"/>
              </w:rPr>
              <w:t xml:space="preserve"># Week 3: Statistical Analysis and Hypothesis Testing in Python</w:t>
            </w:r>
          </w:p>
          <w:p>
            <w:pPr>
              <w:spacing w:after="0"/>
            </w:pPr>
            <w:r>
              <w:rPr>
                <w:rFonts w:ascii="Consolas" w:cs="Consolas" w:eastAsia="Consolas" w:hAnsi="Consolas"/>
                <w:color w:val="D4D4D4"/>
                <w:sz w:val="18"/>
                <w:szCs w:val="18"/>
              </w:rPr>
              <w:t xml:space="preserve"># Project: Study Hours and Their Relationship with Exam Performance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import numpy as np</w:t>
            </w:r>
          </w:p>
          <w:p>
            <w:pPr>
              <w:spacing w:after="0"/>
            </w:pPr>
            <w:r>
              <w:rPr>
                <w:rFonts w:ascii="Consolas" w:cs="Consolas" w:eastAsia="Consolas" w:hAnsi="Consolas"/>
                <w:color w:val="D4D4D4"/>
                <w:sz w:val="18"/>
                <w:szCs w:val="18"/>
              </w:rPr>
              <w:t xml:space="preserve">import pandas as pd</w:t>
            </w:r>
          </w:p>
          <w:p>
            <w:pPr>
              <w:spacing w:after="0"/>
            </w:pPr>
            <w:r>
              <w:rPr>
                <w:rFonts w:ascii="Consolas" w:cs="Consolas" w:eastAsia="Consolas" w:hAnsi="Consolas"/>
                <w:color w:val="D4D4D4"/>
                <w:sz w:val="18"/>
                <w:szCs w:val="18"/>
              </w:rPr>
              <w:t xml:space="preserve">import matplotlib.pyplot as plt</w:t>
            </w:r>
          </w:p>
          <w:p>
            <w:pPr>
              <w:spacing w:after="0"/>
            </w:pPr>
            <w:r>
              <w:rPr>
                <w:rFonts w:ascii="Consolas" w:cs="Consolas" w:eastAsia="Consolas" w:hAnsi="Consolas"/>
                <w:color w:val="D4D4D4"/>
                <w:sz w:val="18"/>
                <w:szCs w:val="18"/>
              </w:rPr>
              <w:t xml:space="preserve">from scipy import stats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1. Load the dataset</w:t>
            </w:r>
          </w:p>
          <w:p>
            <w:pPr>
              <w:spacing w:after="0"/>
            </w:pPr>
            <w:r>
              <w:rPr>
                <w:rFonts w:ascii="Consolas" w:cs="Consolas" w:eastAsia="Consolas" w:hAnsi="Consolas"/>
                <w:color w:val="D4D4D4"/>
                <w:sz w:val="18"/>
                <w:szCs w:val="18"/>
              </w:rPr>
              <w:t xml:space="preserve">df = pd.read_csv("student_performance_dataset.csv")</w:t>
            </w:r>
          </w:p>
          <w:p>
            <w:pPr>
              <w:spacing w:after="0"/>
            </w:pPr>
            <w:r>
              <w:rPr>
                <w:rFonts w:ascii="Consolas" w:cs="Consolas" w:eastAsia="Consolas" w:hAnsi="Consolas"/>
                <w:color w:val="D4D4D4"/>
                <w:sz w:val="18"/>
                <w:szCs w:val="18"/>
              </w:rPr>
              <w:t xml:space="preserve">group_high = df.loc[df["study_hour_group"] == "5+ hours", "exam_score"]</w:t>
            </w:r>
          </w:p>
          <w:p>
            <w:pPr>
              <w:spacing w:after="0"/>
            </w:pPr>
            <w:r>
              <w:rPr>
                <w:rFonts w:ascii="Consolas" w:cs="Consolas" w:eastAsia="Consolas" w:hAnsi="Consolas"/>
                <w:color w:val="D4D4D4"/>
                <w:sz w:val="18"/>
                <w:szCs w:val="18"/>
              </w:rPr>
              <w:t xml:space="preserve">group_low  = df.loc[df["study_hour_group"] == "Below 5 hours", "exam_score"]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2. Hypotheses</w:t>
            </w:r>
          </w:p>
          <w:p>
            <w:pPr>
              <w:spacing w:after="0"/>
            </w:pPr>
            <w:r>
              <w:rPr>
                <w:rFonts w:ascii="Consolas" w:cs="Consolas" w:eastAsia="Consolas" w:hAnsi="Consolas"/>
                <w:color w:val="D4D4D4"/>
                <w:sz w:val="18"/>
                <w:szCs w:val="18"/>
              </w:rPr>
              <w:t xml:space="preserve"># H0: No significant difference in mean exam scores between groups.</w:t>
            </w:r>
          </w:p>
          <w:p>
            <w:pPr>
              <w:spacing w:after="0"/>
            </w:pPr>
            <w:r>
              <w:rPr>
                <w:rFonts w:ascii="Consolas" w:cs="Consolas" w:eastAsia="Consolas" w:hAnsi="Consolas"/>
                <w:color w:val="D4D4D4"/>
                <w:sz w:val="18"/>
                <w:szCs w:val="18"/>
              </w:rPr>
              <w:t xml:space="preserve"># H1: A significant difference exists between the two groups.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3. Levene's test for equality of variances</w:t>
            </w:r>
          </w:p>
          <w:p>
            <w:pPr>
              <w:spacing w:after="0"/>
            </w:pPr>
            <w:r>
              <w:rPr>
                <w:rFonts w:ascii="Consolas" w:cs="Consolas" w:eastAsia="Consolas" w:hAnsi="Consolas"/>
                <w:color w:val="D4D4D4"/>
                <w:sz w:val="18"/>
                <w:szCs w:val="18"/>
              </w:rPr>
              <w:t xml:space="preserve">levene_stat, levene_p = stats.levene(group_high, group_low)</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4. Welch's independent-samples t-test</w:t>
            </w:r>
          </w:p>
          <w:p>
            <w:pPr>
              <w:spacing w:after="0"/>
            </w:pPr>
            <w:r>
              <w:rPr>
                <w:rFonts w:ascii="Consolas" w:cs="Consolas" w:eastAsia="Consolas" w:hAnsi="Consolas"/>
                <w:color w:val="D4D4D4"/>
                <w:sz w:val="18"/>
                <w:szCs w:val="18"/>
              </w:rPr>
              <w:t xml:space="preserve">t_stat, p_value = stats.ttest_ind(group_high, group_low, equal_var=False)</w:t>
            </w:r>
          </w:p>
          <w:p>
            <w:pPr>
              <w:spacing w:after="0"/>
            </w:pPr>
            <w:r>
              <w:rPr>
                <w:rFonts w:ascii="Consolas" w:cs="Consolas" w:eastAsia="Consolas" w:hAnsi="Consolas"/>
                <w:color w:val="D4D4D4"/>
                <w:sz w:val="18"/>
                <w:szCs w:val="18"/>
              </w:rPr>
              <w:t xml:space="preserve">print("t-statistic:", t_stat, "p-value:", p_value)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5. 95% confidence interval for the mean difference</w:t>
            </w:r>
          </w:p>
          <w:p>
            <w:pPr>
              <w:spacing w:after="0"/>
            </w:pPr>
            <w:r>
              <w:rPr>
                <w:rFonts w:ascii="Consolas" w:cs="Consolas" w:eastAsia="Consolas" w:hAnsi="Consolas"/>
                <w:color w:val="D4D4D4"/>
                <w:sz w:val="18"/>
                <w:szCs w:val="18"/>
              </w:rPr>
              <w:t xml:space="preserve">mean_diff = group_high.mean() - group_low.mean()</w:t>
            </w:r>
          </w:p>
          <w:p>
            <w:pPr>
              <w:spacing w:after="0"/>
            </w:pPr>
            <w:r>
              <w:rPr>
                <w:rFonts w:ascii="Consolas" w:cs="Consolas" w:eastAsia="Consolas" w:hAnsi="Consolas"/>
                <w:color w:val="D4D4D4"/>
                <w:sz w:val="18"/>
                <w:szCs w:val="18"/>
              </w:rPr>
              <w:t xml:space="preserve">se_diff = np.sqrt(group_high.var(ddof=1)/len(group_high) +</w:t>
            </w:r>
          </w:p>
          <w:p>
            <w:pPr>
              <w:spacing w:after="0"/>
            </w:pPr>
            <w:r>
              <w:rPr>
                <w:rFonts w:ascii="Consolas" w:cs="Consolas" w:eastAsia="Consolas" w:hAnsi="Consolas"/>
                <w:color w:val="D4D4D4"/>
                <w:sz w:val="18"/>
                <w:szCs w:val="18"/>
              </w:rPr>
              <w:t xml:space="preserve">                   group_low.var(ddof=1)/len(group_low))</w:t>
            </w:r>
          </w:p>
          <w:p>
            <w:pPr>
              <w:spacing w:after="0"/>
            </w:pPr>
            <w:r>
              <w:rPr>
                <w:rFonts w:ascii="Consolas" w:cs="Consolas" w:eastAsia="Consolas" w:hAnsi="Consolas"/>
                <w:color w:val="D4D4D4"/>
                <w:sz w:val="18"/>
                <w:szCs w:val="18"/>
              </w:rPr>
              <w:t xml:space="preserve">ci = stats.t.interval(0.95, df=len(df)-2, loc=mean_diff, scale=se_diff)</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6. Visualization</w:t>
            </w:r>
          </w:p>
          <w:p>
            <w:pPr>
              <w:spacing w:after="0"/>
            </w:pPr>
            <w:r>
              <w:rPr>
                <w:rFonts w:ascii="Consolas" w:cs="Consolas" w:eastAsia="Consolas" w:hAnsi="Consolas"/>
                <w:color w:val="D4D4D4"/>
                <w:sz w:val="18"/>
                <w:szCs w:val="18"/>
              </w:rPr>
              <w:t xml:space="preserve">df.boxplot(column="exam_score", by="study_hour_group")</w:t>
            </w:r>
          </w:p>
          <w:p>
            <w:pPr>
              <w:spacing w:after="0"/>
            </w:pPr>
            <w:r>
              <w:rPr>
                <w:rFonts w:ascii="Consolas" w:cs="Consolas" w:eastAsia="Consolas" w:hAnsi="Consolas"/>
                <w:color w:val="D4D4D4"/>
                <w:sz w:val="18"/>
                <w:szCs w:val="18"/>
              </w:rPr>
              <w:t xml:space="preserve">plt.title("Exam Scores by Study-Hour Group")</w:t>
            </w:r>
          </w:p>
          <w:p>
            <w:pPr>
              <w:spacing w:after="0"/>
            </w:pPr>
            <w:r>
              <w:rPr>
                <w:rFonts w:ascii="Consolas" w:cs="Consolas" w:eastAsia="Consolas" w:hAnsi="Consolas"/>
                <w:color w:val="D4D4D4"/>
                <w:sz w:val="18"/>
                <w:szCs w:val="18"/>
              </w:rPr>
              <w:t xml:space="preserve">plt.xlabel("Study-hour group"); plt.ylabel("Exam score")</w:t>
            </w:r>
          </w:p>
          <w:p>
            <w:pPr>
              <w:spacing w:after="0"/>
            </w:pPr>
            <w:r>
              <w:rPr>
                <w:rFonts w:ascii="Consolas" w:cs="Consolas" w:eastAsia="Consolas" w:hAnsi="Consolas"/>
                <w:color w:val="D4D4D4"/>
                <w:sz w:val="18"/>
                <w:szCs w:val="18"/>
              </w:rPr>
              <w:t xml:space="preserve">plt.show()</w:t>
            </w:r>
          </w:p>
        </w:tc>
      </w:tr>
    </w:tbl>
    <w:p>
      <w:pPr>
        <w:spacing w:after="300"/>
      </w:pPr>
    </w:p>
    <w:p>
      <w:pPr>
        <w:pStyle w:val="Heading1"/>
        <w:pBdr>
          <w:bottom w:val="single" w:color="2E7D80" w:sz="12" w:space="4"/>
        </w:pBdr>
        <w:spacing w:after="200" w:before="400"/>
      </w:pPr>
      <w:r>
        <w:rPr>
          <w:b/>
          <w:bCs/>
          <w:color w:val="1F3864"/>
          <w:sz w:val="32"/>
          <w:szCs w:val="32"/>
        </w:rPr>
        <w:t xml:space="preserve">8 · Descriptive Analysis</w:t>
      </w:r>
    </w:p>
    <w:p>
      <w:pPr>
        <w:spacing w:after="160" w:line="300"/>
      </w:pPr>
      <w:r>
        <w:rPr>
          <w:color w:val="262626"/>
          <w:sz w:val="22"/>
          <w:szCs w:val="22"/>
        </w:rPr>
        <w:t xml:space="preserve">The mean exam score was 90.95 for students studying 5+ hours per day, compared to 81.68 for students studying below 5 hours per day — a difference of roughly 9.3 points. The standard deviations (6.27 and 7.19 respectively) indicate that scores are somewhat more tightly clustered in the high-study-hours group.</w:t>
      </w:r>
    </w:p>
    <w:p>
      <w:pPr>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19400"/>
                    </a:xfrm>
                    <a:prstGeom prst="rect">
                      <a:avLst/>
                    </a:prstGeom>
                  </pic:spPr>
                </pic:pic>
              </a:graphicData>
            </a:graphic>
          </wp:inline>
        </w:drawing>
      </w:r>
    </w:p>
    <w:p>
      <w:pPr>
        <w:spacing w:after="300" w:before="100"/>
        <w:jc w:val="center"/>
      </w:pPr>
      <w:r>
        <w:rPr>
          <w:i/>
          <w:iCs/>
          <w:color w:val="595959"/>
          <w:sz w:val="20"/>
          <w:szCs w:val="20"/>
        </w:rPr>
        <w:t xml:space="preserve">Figure 1 · Distribution of exam scores by study-hour group.</w:t>
      </w:r>
    </w:p>
    <w:p>
      <w:pPr>
        <w:pStyle w:val="Heading1"/>
        <w:pBdr>
          <w:bottom w:val="single" w:color="2E7D80" w:sz="12" w:space="4"/>
        </w:pBdr>
        <w:spacing w:after="200" w:before="400"/>
      </w:pPr>
      <w:r>
        <w:rPr>
          <w:b/>
          <w:bCs/>
          <w:color w:val="1F3864"/>
          <w:sz w:val="32"/>
          <w:szCs w:val="32"/>
        </w:rPr>
        <w:t xml:space="preserve">9 · Levene's Test and Welch's t-Test Results</w:t>
      </w:r>
    </w:p>
    <w:p>
      <w:pPr>
        <w:spacing w:after="160" w:line="300"/>
      </w:pPr>
      <w:r>
        <w:rPr>
          <w:color w:val="262626"/>
          <w:sz w:val="22"/>
          <w:szCs w:val="22"/>
        </w:rPr>
        <w:t xml:space="preserve">Levene's test produced a statistic of 0.925 and a p-value of 0.338, indicating no significant difference in variances between the two groups. Welch's t-test was nonetheless used, as it is robust regardless of this outcome. The test produced a t-statistic of 7.476 and a p-value of 1.965 × 10⁻¹¹. Because the p-value is far below α = 0.05, the result is statistically significant, and the null hypothesis is rejected.</w:t>
      </w:r>
    </w:p>
    <w:tbl>
      <w:tblPr>
        <w:tblW w:type="dxa" w:w="9349"/>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8"/>
      </w:tblGrid>
      <w:tr>
        <w:trPr>
          <w:tblHeader/>
        </w:trPr>
        <w:tc>
          <w:tcPr>
            <w:tcW w:type="dxa" w:w="2337"/>
            <w:shd w:fill="1F3864" w:val="clear"/>
            <w:tcMar>
              <w:top w:type="dxa" w:w="100"/>
              <w:left w:type="dxa" w:w="120"/>
              <w:bottom w:type="dxa" w:w="100"/>
              <w:right w:type="dxa" w:w="120"/>
            </w:tcMar>
            <w:vAlign w:val="center"/>
          </w:tcPr>
          <w:p>
            <w:pPr>
              <w:jc w:val="center"/>
            </w:pPr>
            <w:r>
              <w:rPr>
                <w:b/>
                <w:bCs/>
                <w:color w:val="FFFFFF"/>
                <w:sz w:val="20"/>
                <w:szCs w:val="20"/>
              </w:rPr>
              <w:t xml:space="preserve">Welch t-statistic</w:t>
            </w:r>
          </w:p>
        </w:tc>
        <w:tc>
          <w:tcPr>
            <w:tcW w:type="dxa" w:w="2337"/>
            <w:shd w:fill="1F3864" w:val="clear"/>
            <w:tcMar>
              <w:top w:type="dxa" w:w="100"/>
              <w:left w:type="dxa" w:w="120"/>
              <w:bottom w:type="dxa" w:w="100"/>
              <w:right w:type="dxa" w:w="120"/>
            </w:tcMar>
            <w:vAlign w:val="center"/>
          </w:tcPr>
          <w:p>
            <w:pPr>
              <w:jc w:val="center"/>
            </w:pPr>
            <w:r>
              <w:rPr>
                <w:b/>
                <w:bCs/>
                <w:color w:val="FFFFFF"/>
                <w:sz w:val="20"/>
                <w:szCs w:val="20"/>
              </w:rPr>
              <w:t xml:space="preserve">p-value</w:t>
            </w:r>
          </w:p>
        </w:tc>
        <w:tc>
          <w:tcPr>
            <w:tcW w:type="dxa" w:w="2337"/>
            <w:shd w:fill="1F3864" w:val="clear"/>
            <w:tcMar>
              <w:top w:type="dxa" w:w="100"/>
              <w:left w:type="dxa" w:w="120"/>
              <w:bottom w:type="dxa" w:w="100"/>
              <w:right w:type="dxa" w:w="120"/>
            </w:tcMar>
            <w:vAlign w:val="center"/>
          </w:tcPr>
          <w:p>
            <w:pPr>
              <w:jc w:val="center"/>
            </w:pPr>
            <w:r>
              <w:rPr>
                <w:b/>
                <w:bCs/>
                <w:color w:val="FFFFFF"/>
                <w:sz w:val="20"/>
                <w:szCs w:val="20"/>
              </w:rPr>
              <w:t xml:space="preserve">Mean Difference</w:t>
            </w:r>
          </w:p>
        </w:tc>
        <w:tc>
          <w:tcPr>
            <w:tcW w:type="dxa" w:w="2338"/>
            <w:shd w:fill="1F3864" w:val="clear"/>
            <w:tcMar>
              <w:top w:type="dxa" w:w="100"/>
              <w:left w:type="dxa" w:w="120"/>
              <w:bottom w:type="dxa" w:w="100"/>
              <w:right w:type="dxa" w:w="120"/>
            </w:tcMar>
            <w:vAlign w:val="center"/>
          </w:tcPr>
          <w:p>
            <w:pPr>
              <w:jc w:val="center"/>
            </w:pPr>
            <w:r>
              <w:rPr>
                <w:b/>
                <w:bCs/>
                <w:color w:val="FFFFFF"/>
                <w:sz w:val="20"/>
                <w:szCs w:val="20"/>
              </w:rPr>
              <w:t xml:space="preserve">Decision</w:t>
            </w:r>
          </w:p>
        </w:tc>
      </w:tr>
      <w:tr>
        <w:tc>
          <w:tcPr>
            <w:tcW w:type="dxa" w:w="2337"/>
            <w:tcMar>
              <w:top w:type="dxa" w:w="90"/>
              <w:left w:type="dxa" w:w="120"/>
              <w:bottom w:type="dxa" w:w="90"/>
              <w:right w:type="dxa" w:w="120"/>
            </w:tcMar>
            <w:vAlign w:val="center"/>
          </w:tcPr>
          <w:p>
            <w:pPr>
              <w:jc w:val="center"/>
            </w:pPr>
            <w:r>
              <w:rPr>
                <w:b/>
                <w:bCs/>
                <w:color w:val="262626"/>
                <w:sz w:val="20"/>
                <w:szCs w:val="20"/>
              </w:rPr>
              <w:t xml:space="preserve">7.476</w:t>
            </w:r>
          </w:p>
        </w:tc>
        <w:tc>
          <w:tcPr>
            <w:tcW w:type="dxa" w:w="2337"/>
            <w:tcMar>
              <w:top w:type="dxa" w:w="90"/>
              <w:left w:type="dxa" w:w="120"/>
              <w:bottom w:type="dxa" w:w="90"/>
              <w:right w:type="dxa" w:w="120"/>
            </w:tcMar>
            <w:vAlign w:val="center"/>
          </w:tcPr>
          <w:p>
            <w:pPr>
              <w:jc w:val="center"/>
            </w:pPr>
            <w:r>
              <w:rPr>
                <w:b/>
                <w:bCs/>
                <w:color w:val="B3261E"/>
                <w:sz w:val="20"/>
                <w:szCs w:val="20"/>
              </w:rPr>
              <w:t xml:space="preserve">1.965 × 10⁻¹¹</w:t>
            </w:r>
          </w:p>
        </w:tc>
        <w:tc>
          <w:tcPr>
            <w:tcW w:type="dxa" w:w="2337"/>
            <w:tcMar>
              <w:top w:type="dxa" w:w="90"/>
              <w:left w:type="dxa" w:w="120"/>
              <w:bottom w:type="dxa" w:w="90"/>
              <w:right w:type="dxa" w:w="120"/>
            </w:tcMar>
            <w:vAlign w:val="center"/>
          </w:tcPr>
          <w:p>
            <w:pPr>
              <w:jc w:val="center"/>
            </w:pPr>
            <w:r>
              <w:rPr>
                <w:b/>
                <w:bCs/>
                <w:color w:val="262626"/>
                <w:sz w:val="20"/>
                <w:szCs w:val="20"/>
              </w:rPr>
              <w:t xml:space="preserve">9.27 points</w:t>
            </w:r>
          </w:p>
        </w:tc>
        <w:tc>
          <w:tcPr>
            <w:tcW w:type="dxa" w:w="2338"/>
            <w:tcMar>
              <w:top w:type="dxa" w:w="90"/>
              <w:left w:type="dxa" w:w="120"/>
              <w:bottom w:type="dxa" w:w="90"/>
              <w:right w:type="dxa" w:w="120"/>
            </w:tcMar>
            <w:vAlign w:val="center"/>
          </w:tcPr>
          <w:p>
            <w:pPr>
              <w:jc w:val="center"/>
            </w:pPr>
            <w:r>
              <w:rPr>
                <w:b/>
                <w:bCs/>
                <w:color w:val="B3261E"/>
                <w:sz w:val="20"/>
                <w:szCs w:val="20"/>
              </w:rPr>
              <w:t xml:space="preserve">Reject H0</w:t>
            </w:r>
          </w:p>
        </w:tc>
      </w:tr>
    </w:tbl>
    <w:p>
      <w:pPr>
        <w:spacing w:after="200"/>
      </w:pPr>
    </w:p>
    <w:p>
      <w:pPr>
        <w:spacing w:after="160" w:line="300"/>
      </w:pPr>
      <w:r>
        <w:rPr>
          <w:color w:val="262626"/>
          <w:sz w:val="22"/>
          <w:szCs w:val="22"/>
        </w:rPr>
        <w:t xml:space="preserve">There is strong evidence that mean exam scores differ between students who study 5+ hours per day and those who study below 5 hours per day.</w:t>
      </w:r>
    </w:p>
    <w:p>
      <w:pPr>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71825"/>
                    </a:xfrm>
                    <a:prstGeom prst="rect">
                      <a:avLst/>
                    </a:prstGeom>
                  </pic:spPr>
                </pic:pic>
              </a:graphicData>
            </a:graphic>
          </wp:inline>
        </w:drawing>
      </w:r>
    </w:p>
    <w:p>
      <w:pPr>
        <w:spacing w:after="300" w:before="100"/>
        <w:jc w:val="center"/>
      </w:pPr>
      <w:r>
        <w:rPr>
          <w:i/>
          <w:iCs/>
          <w:color w:val="595959"/>
          <w:sz w:val="20"/>
          <w:szCs w:val="20"/>
        </w:rPr>
        <w:t xml:space="preserve">Figure 2 · Box plot comparing exam scores across study-hour groups.</w:t>
      </w:r>
    </w:p>
    <w:p>
      <w:pPr>
        <w:pStyle w:val="Heading1"/>
        <w:pBdr>
          <w:bottom w:val="single" w:color="2E7D80" w:sz="12" w:space="4"/>
        </w:pBdr>
        <w:spacing w:after="200" w:before="400"/>
      </w:pPr>
      <w:r>
        <w:rPr>
          <w:b/>
          <w:bCs/>
          <w:color w:val="1F3864"/>
          <w:sz w:val="32"/>
          <w:szCs w:val="32"/>
        </w:rPr>
        <w:t xml:space="preserve">10 · Confidence Interval</w:t>
      </w:r>
    </w:p>
    <w:p>
      <w:pPr>
        <w:spacing w:after="160" w:line="300"/>
      </w:pPr>
      <w:r>
        <w:rPr>
          <w:color w:val="262626"/>
          <w:sz w:val="22"/>
          <w:szCs w:val="22"/>
        </w:rPr>
        <w:t xml:space="preserve">The 95% confidence interval for the difference in mean exam scores between the 5+ hours group and the below-5-hours group is [6.81, 11.73]. Because this interval does not contain zero, it confirms the statistically significant difference found by the t-test, and indicates that students who study 5+ hours per day are likely to score, on average, between about 6.8 and 11.7 points higher.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100"/>
              <w:left w:type="dxa" w:w="120"/>
              <w:bottom w:type="dxa" w:w="100"/>
              <w:right w:type="dxa" w:w="120"/>
            </w:tcMar>
            <w:vAlign w:val="center"/>
          </w:tcPr>
          <w:p>
            <w:pPr>
              <w:jc w:val="center"/>
            </w:pPr>
            <w:r>
              <w:rPr>
                <w:b/>
                <w:bCs/>
                <w:color w:val="FFFFFF"/>
                <w:sz w:val="20"/>
                <w:szCs w:val="20"/>
              </w:rPr>
              <w:t xml:space="preserve">Metric</w:t>
            </w:r>
          </w:p>
        </w:tc>
        <w:tc>
          <w:tcPr>
            <w:tcW w:type="dxa" w:w="4675"/>
            <w:shd w:fill="1F3864" w:val="clear"/>
            <w:tcMar>
              <w:top w:type="dxa" w:w="100"/>
              <w:left w:type="dxa" w:w="120"/>
              <w:bottom w:type="dxa" w:w="100"/>
              <w:right w:type="dxa" w:w="120"/>
            </w:tcMar>
            <w:vAlign w:val="center"/>
          </w:tcPr>
          <w:p>
            <w:pPr>
              <w:jc w:val="center"/>
            </w:pPr>
            <w:r>
              <w:rPr>
                <w:b/>
                <w:bCs/>
                <w:color w:val="FFFFFF"/>
                <w:sz w:val="20"/>
                <w:szCs w:val="20"/>
              </w:rPr>
              <w:t xml:space="preserve">Value</w:t>
            </w:r>
          </w:p>
        </w:tc>
      </w:tr>
      <w:tr>
        <w:tc>
          <w:tcPr>
            <w:tcW w:type="dxa" w:w="4675"/>
            <w:tcMar>
              <w:top w:type="dxa" w:w="90"/>
              <w:left w:type="dxa" w:w="120"/>
              <w:bottom w:type="dxa" w:w="90"/>
              <w:right w:type="dxa" w:w="120"/>
            </w:tcMar>
            <w:vAlign w:val="center"/>
          </w:tcPr>
          <w:p>
            <w:pPr>
              <w:jc w:val="center"/>
            </w:pPr>
            <w:r>
              <w:rPr>
                <w:b w:val="false"/>
                <w:bCs w:val="false"/>
                <w:color w:val="262626"/>
                <w:sz w:val="20"/>
                <w:szCs w:val="20"/>
              </w:rPr>
              <w:t xml:space="preserve">Mean difference</w:t>
            </w:r>
          </w:p>
        </w:tc>
        <w:tc>
          <w:tcPr>
            <w:tcW w:type="dxa" w:w="4675"/>
            <w:tcMar>
              <w:top w:type="dxa" w:w="90"/>
              <w:left w:type="dxa" w:w="120"/>
              <w:bottom w:type="dxa" w:w="90"/>
              <w:right w:type="dxa" w:w="120"/>
            </w:tcMar>
            <w:vAlign w:val="center"/>
          </w:tcPr>
          <w:p>
            <w:pPr>
              <w:jc w:val="center"/>
            </w:pPr>
            <w:r>
              <w:rPr>
                <w:b w:val="false"/>
                <w:bCs w:val="false"/>
                <w:color w:val="262626"/>
                <w:sz w:val="20"/>
                <w:szCs w:val="20"/>
              </w:rPr>
              <w:t xml:space="preserve">9.27 points</w:t>
            </w:r>
          </w:p>
        </w:tc>
      </w:tr>
      <w:tr>
        <w:tc>
          <w:tcPr>
            <w:tcW w:type="dxa" w:w="4675"/>
            <w:shd w:fill="F7F9FB" w:val="clear"/>
            <w:tcMar>
              <w:top w:type="dxa" w:w="90"/>
              <w:left w:type="dxa" w:w="120"/>
              <w:bottom w:type="dxa" w:w="90"/>
              <w:right w:type="dxa" w:w="120"/>
            </w:tcMar>
            <w:vAlign w:val="center"/>
          </w:tcPr>
          <w:p>
            <w:pPr>
              <w:jc w:val="center"/>
            </w:pPr>
            <w:r>
              <w:rPr>
                <w:b w:val="false"/>
                <w:bCs w:val="false"/>
                <w:color w:val="262626"/>
                <w:sz w:val="20"/>
                <w:szCs w:val="20"/>
              </w:rPr>
              <w:t xml:space="preserve">95% CI lower bound</w:t>
            </w:r>
          </w:p>
        </w:tc>
        <w:tc>
          <w:tcPr>
            <w:tcW w:type="dxa" w:w="4675"/>
            <w:shd w:fill="F7F9FB" w:val="clear"/>
            <w:tcMar>
              <w:top w:type="dxa" w:w="90"/>
              <w:left w:type="dxa" w:w="120"/>
              <w:bottom w:type="dxa" w:w="90"/>
              <w:right w:type="dxa" w:w="120"/>
            </w:tcMar>
            <w:vAlign w:val="center"/>
          </w:tcPr>
          <w:p>
            <w:pPr>
              <w:jc w:val="center"/>
            </w:pPr>
            <w:r>
              <w:rPr>
                <w:b w:val="false"/>
                <w:bCs w:val="false"/>
                <w:color w:val="262626"/>
                <w:sz w:val="20"/>
                <w:szCs w:val="20"/>
              </w:rPr>
              <w:t xml:space="preserve">6.81</w:t>
            </w:r>
          </w:p>
        </w:tc>
      </w:tr>
      <w:tr>
        <w:tc>
          <w:tcPr>
            <w:tcW w:type="dxa" w:w="4675"/>
            <w:tcMar>
              <w:top w:type="dxa" w:w="90"/>
              <w:left w:type="dxa" w:w="120"/>
              <w:bottom w:type="dxa" w:w="90"/>
              <w:right w:type="dxa" w:w="120"/>
            </w:tcMar>
            <w:vAlign w:val="center"/>
          </w:tcPr>
          <w:p>
            <w:pPr>
              <w:jc w:val="center"/>
            </w:pPr>
            <w:r>
              <w:rPr>
                <w:b w:val="false"/>
                <w:bCs w:val="false"/>
                <w:color w:val="262626"/>
                <w:sz w:val="20"/>
                <w:szCs w:val="20"/>
              </w:rPr>
              <w:t xml:space="preserve">95% CI upper bound</w:t>
            </w:r>
          </w:p>
        </w:tc>
        <w:tc>
          <w:tcPr>
            <w:tcW w:type="dxa" w:w="4675"/>
            <w:tcMar>
              <w:top w:type="dxa" w:w="90"/>
              <w:left w:type="dxa" w:w="120"/>
              <w:bottom w:type="dxa" w:w="90"/>
              <w:right w:type="dxa" w:w="120"/>
            </w:tcMar>
            <w:vAlign w:val="center"/>
          </w:tcPr>
          <w:p>
            <w:pPr>
              <w:jc w:val="center"/>
            </w:pPr>
            <w:r>
              <w:rPr>
                <w:b w:val="false"/>
                <w:bCs w:val="false"/>
                <w:color w:val="262626"/>
                <w:sz w:val="20"/>
                <w:szCs w:val="20"/>
              </w:rPr>
              <w:t xml:space="preserve">11.73</w:t>
            </w:r>
          </w:p>
        </w:tc>
      </w:tr>
    </w:tbl>
    <w:p>
      <w:pPr>
        <w:spacing w:after="200"/>
      </w:pPr>
    </w:p>
    <w:p>
      <w:pPr>
        <w:jc w:val="center"/>
      </w:pPr>
      <w:r>
        <w:drawing>
          <wp:inline distT="0" distB="0" distL="0" distR="0">
            <wp:extent cx="4381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24200"/>
                    </a:xfrm>
                    <a:prstGeom prst="rect">
                      <a:avLst/>
                    </a:prstGeom>
                  </pic:spPr>
                </pic:pic>
              </a:graphicData>
            </a:graphic>
          </wp:inline>
        </w:drawing>
      </w:r>
    </w:p>
    <w:p>
      <w:pPr>
        <w:spacing w:after="300" w:before="100"/>
        <w:jc w:val="center"/>
      </w:pPr>
      <w:r>
        <w:rPr>
          <w:i/>
          <w:iCs/>
          <w:color w:val="595959"/>
          <w:sz w:val="20"/>
          <w:szCs w:val="20"/>
        </w:rPr>
        <w:t xml:space="preserve">Figure 3 · Study hours per day vs. exam score, with the 5-hour threshold marked.</w:t>
      </w:r>
    </w:p>
    <w:p>
      <w:pPr>
        <w:pStyle w:val="Heading1"/>
        <w:pBdr>
          <w:bottom w:val="single" w:color="2E7D80" w:sz="12" w:space="4"/>
        </w:pBdr>
        <w:spacing w:after="200" w:before="400"/>
      </w:pPr>
      <w:r>
        <w:rPr>
          <w:b/>
          <w:bCs/>
          <w:color w:val="1F3864"/>
          <w:sz w:val="32"/>
          <w:szCs w:val="32"/>
        </w:rPr>
        <w:t xml:space="preserve">11 · Interpretation of Results</w:t>
      </w:r>
    </w:p>
    <w:p>
      <w:pPr>
        <w:spacing w:after="160" w:line="300"/>
      </w:pPr>
      <w:r>
        <w:rPr>
          <w:color w:val="262626"/>
          <w:sz w:val="22"/>
          <w:szCs w:val="22"/>
        </w:rPr>
        <w:t xml:space="preserve">The statistical evidence strongly supports the alternative hypothesis. The Welch's t-test p-value is far smaller than 0.05, so the observed difference in mean exam scores between the two study-hour groups is very unlikely to be explained by random sampling variation alone. The scatter plot further illustrates that exam scores tend to rise as daily study hours increase, particularly beyond the 5-hour threshold, though scores vary noticeably at every study-hour level.</w:t>
      </w:r>
    </w:p>
    <w:p>
      <w:pPr>
        <w:pStyle w:val="Heading1"/>
        <w:pBdr>
          <w:bottom w:val="single" w:color="2E7D80" w:sz="12" w:space="4"/>
        </w:pBdr>
        <w:spacing w:after="200" w:before="400"/>
      </w:pPr>
      <w:r>
        <w:rPr>
          <w:b/>
          <w:bCs/>
          <w:color w:val="1F3864"/>
          <w:sz w:val="32"/>
          <w:szCs w:val="32"/>
        </w:rPr>
        <w:t xml:space="preserve">12 · Conclusion</w:t>
      </w:r>
    </w:p>
    <w:p>
      <w:pPr>
        <w:shd w:fill="E8F3F2" w:val="clear"/>
        <w:spacing w:after="200"/>
      </w:pPr>
      <w:r>
        <w:rPr>
          <w:sz w:val="22"/>
          <w:szCs w:val="22"/>
        </w:rPr>
        <w:t xml:space="preserve">The analysis demonstrates how hypothesis testing can convert an everyday assumption — that studying more improves exam performance — into a statistically supported conclusion. The null hypothesis that there is no difference in mean exam scores between the two study-hour groups was rejected. Students studying 5+ hours per day scored significantly higher on average than students studying below 5 hours per day. Because the dataset is self-generated, this result should be treated as a demonstration of statistical methodology rather than a real-world finding.</w:t>
      </w:r>
    </w:p>
    <w:p>
      <w:pPr>
        <w:pStyle w:val="Heading1"/>
        <w:pBdr>
          <w:bottom w:val="single" w:color="2E7D80" w:sz="12" w:space="4"/>
        </w:pBdr>
        <w:spacing w:after="200" w:before="400"/>
      </w:pPr>
      <w:r>
        <w:rPr>
          <w:b/>
          <w:bCs/>
          <w:color w:val="1F3864"/>
          <w:sz w:val="32"/>
          <w:szCs w:val="32"/>
        </w:rPr>
        <w:t xml:space="preserve">13 · Limitations</w:t>
      </w:r>
    </w:p>
    <w:p>
      <w:pPr>
        <w:pStyle w:val="ListParagraph"/>
        <w:numPr>
          <w:ilvl w:val="0"/>
          <w:numId w:val="2"/>
        </w:numPr>
        <w:spacing w:after="90"/>
      </w:pPr>
      <w:r>
        <w:rPr>
          <w:color w:val="262626"/>
          <w:sz w:val="22"/>
          <w:szCs w:val="22"/>
        </w:rPr>
        <w:t xml:space="preserve">The dataset is self-generated and is mainly useful for educational and demonstration purposes.</w:t>
      </w:r>
    </w:p>
    <w:p>
      <w:pPr>
        <w:pStyle w:val="ListParagraph"/>
        <w:numPr>
          <w:ilvl w:val="0"/>
          <w:numId w:val="2"/>
        </w:numPr>
        <w:spacing w:after="90"/>
      </w:pPr>
      <w:r>
        <w:rPr>
          <w:color w:val="262626"/>
          <w:sz w:val="22"/>
          <w:szCs w:val="22"/>
        </w:rPr>
        <w:t xml:space="preserve">Only study hours and exam score were analyzed; other factors such as sleep, prior academic performance, or subject difficulty were not modeled.</w:t>
      </w:r>
    </w:p>
    <w:p>
      <w:pPr>
        <w:pStyle w:val="ListParagraph"/>
        <w:numPr>
          <w:ilvl w:val="0"/>
          <w:numId w:val="2"/>
        </w:numPr>
        <w:spacing w:after="90"/>
      </w:pPr>
      <w:r>
        <w:rPr>
          <w:color w:val="262626"/>
          <w:sz w:val="22"/>
          <w:szCs w:val="22"/>
        </w:rPr>
        <w:t xml:space="preserve">Statistical significance does not by itself establish causation.</w:t>
      </w:r>
    </w:p>
    <w:p>
      <w:pPr>
        <w:pStyle w:val="ListParagraph"/>
        <w:numPr>
          <w:ilvl w:val="0"/>
          <w:numId w:val="2"/>
        </w:numPr>
        <w:spacing w:after="90"/>
      </w:pPr>
      <w:r>
        <w:rPr>
          <w:color w:val="262626"/>
          <w:sz w:val="22"/>
          <w:szCs w:val="22"/>
        </w:rPr>
        <w:t xml:space="preserve">The findings should not be generalized to real student populations.</w:t>
      </w:r>
    </w:p>
    <w:p>
      <w:pPr>
        <w:spacing w:after="200"/>
      </w:pPr>
    </w:p>
    <w:p>
      <w:pPr>
        <w:pStyle w:val="Heading1"/>
        <w:pBdr>
          <w:bottom w:val="single" w:color="2E7D80" w:sz="12" w:space="4"/>
        </w:pBdr>
        <w:spacing w:after="200" w:before="400"/>
      </w:pPr>
      <w:r>
        <w:rPr>
          <w:b/>
          <w:bCs/>
          <w:color w:val="1F3864"/>
          <w:sz w:val="32"/>
          <w:szCs w:val="32"/>
        </w:rPr>
        <w:t xml:space="preserve">14 · Tools and Technologies</w:t>
      </w:r>
    </w:p>
    <w:p>
      <w:pPr>
        <w:spacing w:after="160" w:line="300"/>
      </w:pPr>
      <w:r>
        <w:rPr>
          <w:color w:val="262626"/>
          <w:sz w:val="22"/>
          <w:szCs w:val="22"/>
        </w:rPr>
        <w:t xml:space="preserve">Python, Pandas, NumPy, SciPy, Matplotlib, and Microsoft Word.</w:t>
      </w:r>
    </w:p>
    <w:p>
      <w:pPr>
        <w:pStyle w:val="Heading1"/>
        <w:pBdr>
          <w:bottom w:val="single" w:color="2E7D80" w:sz="12" w:space="4"/>
        </w:pBdr>
        <w:spacing w:after="200" w:before="400"/>
      </w:pPr>
      <w:r>
        <w:rPr>
          <w:b/>
          <w:bCs/>
          <w:color w:val="1F3864"/>
          <w:sz w:val="32"/>
          <w:szCs w:val="32"/>
        </w:rPr>
        <w:t xml:space="preserve">15 · References</w:t>
      </w:r>
    </w:p>
    <w:p>
      <w:pPr>
        <w:pStyle w:val="ListParagraph"/>
        <w:numPr>
          <w:ilvl w:val="0"/>
          <w:numId w:val="2"/>
        </w:numPr>
        <w:spacing w:after="90"/>
      </w:pPr>
      <w:r>
        <w:rPr>
          <w:color w:val="262626"/>
          <w:sz w:val="22"/>
          <w:szCs w:val="22"/>
        </w:rPr>
        <w:t xml:space="preserve">SciPy documentation: scipy.stats.ttest_ind (Welch's t-test).</w:t>
      </w:r>
    </w:p>
    <w:p>
      <w:pPr>
        <w:pStyle w:val="ListParagraph"/>
        <w:numPr>
          <w:ilvl w:val="0"/>
          <w:numId w:val="2"/>
        </w:numPr>
        <w:spacing w:after="90"/>
      </w:pPr>
      <w:r>
        <w:rPr>
          <w:color w:val="262626"/>
          <w:sz w:val="22"/>
          <w:szCs w:val="22"/>
        </w:rPr>
        <w:t xml:space="preserve">SciPy documentation: scipy.stats.levene for testing equality of variances.</w:t>
      </w:r>
    </w:p>
    <w:p>
      <w:pPr>
        <w:pStyle w:val="ListParagraph"/>
        <w:numPr>
          <w:ilvl w:val="0"/>
          <w:numId w:val="2"/>
        </w:numPr>
        <w:spacing w:after="90"/>
      </w:pPr>
      <w:r>
        <w:rPr>
          <w:color w:val="262626"/>
          <w:sz w:val="22"/>
          <w:szCs w:val="22"/>
        </w:rPr>
        <w:t xml:space="preserve">Pandas documentation: DataFrame.groupby and DataFrame.boxplot.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595959"/>
        <w:sz w:val="16"/>
        <w:szCs w:val="16"/>
      </w:rPr>
      <w:t xml:space="preserve">Week 3 · Study Hours and Exam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5634f3b592509007642fd6c49083ae20b5405f.png"/><Relationship Id="rId10" Type="http://schemas.openxmlformats.org/officeDocument/2006/relationships/image" Target="media/0442530462a02a67903976dc4e7ec3bba7a1e0ee.png"/><Relationship Id="rId11" Type="http://schemas.openxmlformats.org/officeDocument/2006/relationships/image" Target="media/f9b1a954ee7a752404ed506ecf0937c9bc9a8c7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2026-08-28T05:51:20.234Z</dcterms:created>
  <dcterms:modified xsi:type="dcterms:W3CDTF">2026-08-28T05:51:20.246Z</dcterms:modified>
</cp:coreProperties>
</file>

<file path=docProps/custom.xml><?xml version="1.0" encoding="utf-8"?>
<Properties xmlns="http://schemas.openxmlformats.org/officeDocument/2006/custom-properties" xmlns:vt="http://schemas.openxmlformats.org/officeDocument/2006/docPropsVTypes"/>
</file>