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01B" w:rsidRDefault="00E1401B" w:rsidP="00E1401B">
      <w:pPr>
        <w:widowControl/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阅读日期</w:t>
      </w:r>
      <w:r>
        <w:rPr>
          <w:rFonts w:ascii="幼圆" w:eastAsia="幼圆" w:hint="eastAsia"/>
        </w:rPr>
        <w:t>：</w:t>
      </w:r>
      <w:r w:rsidR="007B05BC">
        <w:rPr>
          <w:rFonts w:ascii="幼圆" w:eastAsia="幼圆" w:hint="eastAsia"/>
        </w:rPr>
        <w:t>20190421</w:t>
      </w:r>
    </w:p>
    <w:p w:rsidR="00E1401B" w:rsidRPr="001C06F5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发表日期：</w:t>
      </w:r>
      <w:r w:rsidR="007B05BC">
        <w:rPr>
          <w:rFonts w:ascii="幼圆" w:eastAsia="幼圆" w:hint="eastAsia"/>
        </w:rPr>
        <w:t>20050211</w:t>
      </w:r>
    </w:p>
    <w:p w:rsidR="00E1401B" w:rsidRPr="001C06F5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发表杂志：</w:t>
      </w:r>
      <w:r w:rsidR="007B05BC" w:rsidRPr="007B05BC">
        <w:rPr>
          <w:rFonts w:ascii="AdvP696A" w:hAnsi="AdvP696A"/>
          <w:color w:val="231F1F"/>
          <w:sz w:val="20"/>
          <w:szCs w:val="20"/>
        </w:rPr>
        <w:t>Nucleic Acids Research</w:t>
      </w:r>
    </w:p>
    <w:p w:rsidR="00E1401B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影响因子</w:t>
      </w:r>
      <w:r>
        <w:rPr>
          <w:rFonts w:ascii="幼圆" w:eastAsia="幼圆" w:hint="eastAsia"/>
        </w:rPr>
        <w:t>：</w:t>
      </w:r>
    </w:p>
    <w:p w:rsidR="00E1401B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平均影响因子：</w:t>
      </w:r>
    </w:p>
    <w:p w:rsidR="00E1401B" w:rsidRDefault="00E1401B" w:rsidP="00E1401B">
      <w:pPr>
        <w:jc w:val="right"/>
        <w:rPr>
          <w:rFonts w:ascii="幼圆" w:eastAsia="幼圆"/>
        </w:rPr>
      </w:pPr>
      <w:r>
        <w:rPr>
          <w:rFonts w:ascii="幼圆" w:eastAsia="幼圆" w:hint="eastAsia"/>
        </w:rPr>
        <w:t>标签</w:t>
      </w:r>
      <w:r>
        <w:rPr>
          <w:rFonts w:ascii="幼圆" w:eastAsia="幼圆"/>
        </w:rPr>
        <w:t>：</w:t>
      </w:r>
    </w:p>
    <w:p w:rsidR="00E1401B" w:rsidRDefault="00E1401B" w:rsidP="00E1401B">
      <w:pPr>
        <w:jc w:val="right"/>
        <w:rPr>
          <w:rFonts w:ascii="幼圆" w:eastAsia="幼圆"/>
        </w:rPr>
      </w:pP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410"/>
        <w:gridCol w:w="10056"/>
      </w:tblGrid>
      <w:tr w:rsidR="00E1401B" w:rsidTr="00BE3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il"/>
              <w:left w:val="nil"/>
              <w:bottom w:val="double" w:sz="4" w:space="0" w:color="5B9BD5" w:themeColor="accent1"/>
              <w:right w:val="nil"/>
            </w:tcBorders>
            <w:shd w:val="clear" w:color="auto" w:fill="9CC2E5" w:themeFill="accent1" w:themeFillTint="99"/>
            <w:vAlign w:val="center"/>
          </w:tcPr>
          <w:p w:rsidR="00E1401B" w:rsidRPr="00CD568A" w:rsidRDefault="00E1401B" w:rsidP="00BE3C32">
            <w:pPr>
              <w:jc w:val="left"/>
              <w:rPr>
                <w:rFonts w:ascii="Comic Sans MS" w:eastAsia="幼圆" w:hAnsi="Comic Sans MS"/>
                <w:b w:val="0"/>
                <w:sz w:val="24"/>
                <w:szCs w:val="24"/>
              </w:rPr>
            </w:pPr>
            <w:r w:rsidRPr="00CD568A">
              <w:rPr>
                <w:rFonts w:ascii="Comic Sans MS" w:eastAsia="幼圆" w:hAnsi="Comic Sans MS" w:hint="eastAsia"/>
                <w:b w:val="0"/>
                <w:sz w:val="24"/>
                <w:szCs w:val="24"/>
              </w:rPr>
              <w:t>文章名</w:t>
            </w:r>
            <w:r w:rsidR="007B05BC">
              <w:rPr>
                <w:rFonts w:ascii="Comic Sans MS" w:eastAsia="幼圆" w:hAnsi="Comic Sans MS" w:hint="eastAsia"/>
                <w:b w:val="0"/>
                <w:sz w:val="24"/>
                <w:szCs w:val="24"/>
              </w:rPr>
              <w:t xml:space="preserve"> </w:t>
            </w:r>
            <w:proofErr w:type="spellStart"/>
            <w:r w:rsidR="007B05BC" w:rsidRPr="007B05BC">
              <w:rPr>
                <w:rFonts w:ascii="AdvP69B3" w:hAnsi="AdvP69B3"/>
                <w:b w:val="0"/>
                <w:bCs w:val="0"/>
                <w:color w:val="231F1F"/>
                <w:sz w:val="40"/>
                <w:szCs w:val="40"/>
              </w:rPr>
              <w:t>InterProScan</w:t>
            </w:r>
            <w:proofErr w:type="spellEnd"/>
            <w:r w:rsidR="007B05BC" w:rsidRPr="007B05BC">
              <w:rPr>
                <w:rFonts w:ascii="AdvP69B3" w:hAnsi="AdvP69B3"/>
                <w:b w:val="0"/>
                <w:bCs w:val="0"/>
                <w:color w:val="231F1F"/>
                <w:sz w:val="40"/>
                <w:szCs w:val="40"/>
              </w:rPr>
              <w:t>: protein domains identifier</w:t>
            </w: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top w:val="double" w:sz="4" w:space="0" w:color="5B9BD5" w:themeColor="accent1"/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中文译名</w:t>
            </w:r>
          </w:p>
        </w:tc>
        <w:tc>
          <w:tcPr>
            <w:tcW w:w="4345" w:type="pct"/>
            <w:tcBorders>
              <w:top w:val="double" w:sz="4" w:space="0" w:color="5B9BD5" w:themeColor="accent1"/>
              <w:left w:val="nil"/>
              <w:right w:val="nil"/>
            </w:tcBorders>
            <w:vAlign w:val="center"/>
          </w:tcPr>
          <w:p w:rsidR="007B05BC" w:rsidRDefault="007B05BC" w:rsidP="007B05BC">
            <w:pPr>
              <w:pStyle w:val="src"/>
              <w:numPr>
                <w:ilvl w:val="0"/>
                <w:numId w:val="2"/>
              </w:numPr>
              <w:shd w:val="clear" w:color="auto" w:fill="F7F8FA"/>
              <w:spacing w:before="0" w:beforeAutospacing="0" w:after="0" w:afterAutospacing="0" w:line="39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</w:rPr>
            </w:pPr>
            <w:proofErr w:type="spellStart"/>
            <w:r>
              <w:rPr>
                <w:rFonts w:ascii="Arial" w:hAnsi="Arial" w:cs="Arial"/>
                <w:color w:val="666666"/>
              </w:rPr>
              <w:t>InterProScan</w:t>
            </w:r>
            <w:proofErr w:type="spellEnd"/>
            <w:r>
              <w:rPr>
                <w:rFonts w:ascii="Arial" w:hAnsi="Arial" w:cs="Arial"/>
                <w:color w:val="666666"/>
              </w:rPr>
              <w:t>:</w:t>
            </w:r>
            <w:r>
              <w:rPr>
                <w:rFonts w:ascii="Arial" w:hAnsi="Arial" w:cs="Arial"/>
                <w:color w:val="666666"/>
              </w:rPr>
              <w:t>蛋白质域标识符</w:t>
            </w:r>
          </w:p>
          <w:p w:rsidR="00E1401B" w:rsidRDefault="00E1401B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>
              <w:rPr>
                <w:rFonts w:ascii="幼圆" w:eastAsia="幼圆" w:hint="eastAsia"/>
                <w:b w:val="0"/>
                <w:color w:val="2E74B5" w:themeColor="accent1" w:themeShade="BF"/>
              </w:rPr>
              <w:t>网址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Pr="0033482C" w:rsidRDefault="00E1401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关键词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Pr="0033482C" w:rsidRDefault="00E1401B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摘要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Default="005D0CF7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proofErr w:type="spellStart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>InterProScan</w:t>
            </w:r>
            <w:proofErr w:type="spellEnd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 xml:space="preserve"> [E. M. </w:t>
            </w:r>
            <w:proofErr w:type="spellStart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>Zdobnov</w:t>
            </w:r>
            <w:proofErr w:type="spellEnd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 xml:space="preserve"> and R. </w:t>
            </w:r>
            <w:proofErr w:type="spellStart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>Apweiler</w:t>
            </w:r>
            <w:proofErr w:type="spellEnd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 xml:space="preserve"> (2001)</w:t>
            </w:r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br/>
            </w:r>
            <w:r w:rsidRPr="005D0CF7">
              <w:rPr>
                <w:rFonts w:ascii="AdvP69D3" w:hAnsi="AdvP69D3"/>
                <w:color w:val="231F1F"/>
                <w:sz w:val="20"/>
                <w:szCs w:val="20"/>
              </w:rPr>
              <w:t>Bioinformatics</w:t>
            </w:r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>, 17, 847–848] is a tool that combines</w:t>
            </w:r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br/>
              <w:t>different protein signature recognition methods from</w:t>
            </w:r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br/>
              <w:t xml:space="preserve">the </w:t>
            </w:r>
            <w:proofErr w:type="spellStart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>InterPro</w:t>
            </w:r>
            <w:proofErr w:type="spellEnd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 xml:space="preserve"> [N. J. Mulder, R. </w:t>
            </w:r>
            <w:proofErr w:type="spellStart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>Apweiler</w:t>
            </w:r>
            <w:proofErr w:type="spellEnd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>, T. K. Attwood,</w:t>
            </w:r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br/>
              <w:t xml:space="preserve">A. </w:t>
            </w:r>
            <w:proofErr w:type="spellStart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>Bairoch</w:t>
            </w:r>
            <w:proofErr w:type="spellEnd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 xml:space="preserve">, A. Bateman, D. </w:t>
            </w:r>
            <w:proofErr w:type="spellStart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>Binns</w:t>
            </w:r>
            <w:proofErr w:type="spellEnd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>, P. Bradley, P. Bork,</w:t>
            </w:r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br/>
              <w:t xml:space="preserve">P. Bucher, L. </w:t>
            </w:r>
            <w:proofErr w:type="spellStart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>Cerutti</w:t>
            </w:r>
            <w:proofErr w:type="spellEnd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 xml:space="preserve"> </w:t>
            </w:r>
            <w:r w:rsidRPr="005D0CF7">
              <w:rPr>
                <w:rFonts w:ascii="AdvP69D3" w:hAnsi="AdvP69D3"/>
                <w:color w:val="231F1F"/>
                <w:sz w:val="20"/>
                <w:szCs w:val="20"/>
              </w:rPr>
              <w:t>et al</w:t>
            </w:r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 xml:space="preserve">. (2005) </w:t>
            </w:r>
            <w:r w:rsidRPr="005D0CF7">
              <w:rPr>
                <w:rFonts w:ascii="AdvP69D3" w:hAnsi="AdvP69D3"/>
                <w:color w:val="231F1F"/>
                <w:sz w:val="20"/>
                <w:szCs w:val="20"/>
              </w:rPr>
              <w:t>Nucleic Acids Res</w:t>
            </w:r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>.,</w:t>
            </w:r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br/>
              <w:t>33, D201–D205] consortium member databases into</w:t>
            </w:r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br/>
              <w:t>one resource. At the time of writing there are 10 distinct publicly available databases in the application.</w:t>
            </w:r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br/>
              <w:t xml:space="preserve">Protein as well as DNA sequences can be </w:t>
            </w:r>
            <w:proofErr w:type="spellStart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>analysed</w:t>
            </w:r>
            <w:proofErr w:type="spellEnd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>.</w:t>
            </w:r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br/>
              <w:t>A web-based version is accessible for academic</w:t>
            </w:r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br/>
              <w:t>and commercial organizations from the EBI (http://</w:t>
            </w:r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br/>
              <w:t>www.ebi.ac.uk/InterProScan/). In addition, a standalone Perl version and a SOAP Web Service [J. Snell,</w:t>
            </w:r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br/>
              <w:t xml:space="preserve">D. Tidwell and P. </w:t>
            </w:r>
            <w:proofErr w:type="spellStart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>Kulchenko</w:t>
            </w:r>
            <w:proofErr w:type="spellEnd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 xml:space="preserve"> (2001) </w:t>
            </w:r>
            <w:r w:rsidRPr="005D0CF7">
              <w:rPr>
                <w:rFonts w:ascii="AdvP69D3" w:hAnsi="AdvP69D3"/>
                <w:color w:val="231F1F"/>
                <w:sz w:val="20"/>
                <w:szCs w:val="20"/>
              </w:rPr>
              <w:t>Programming Web</w:t>
            </w:r>
            <w:r w:rsidRPr="005D0CF7">
              <w:rPr>
                <w:rFonts w:ascii="AdvP69D3" w:hAnsi="AdvP69D3"/>
                <w:color w:val="231F1F"/>
                <w:sz w:val="20"/>
                <w:szCs w:val="20"/>
              </w:rPr>
              <w:br/>
              <w:t xml:space="preserve">Services with SOAP, 1st </w:t>
            </w:r>
            <w:proofErr w:type="spellStart"/>
            <w:r w:rsidRPr="005D0CF7">
              <w:rPr>
                <w:rFonts w:ascii="AdvP69D3" w:hAnsi="AdvP69D3"/>
                <w:color w:val="231F1F"/>
                <w:sz w:val="20"/>
                <w:szCs w:val="20"/>
              </w:rPr>
              <w:t>edn</w:t>
            </w:r>
            <w:proofErr w:type="spellEnd"/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t>. O’Reilly Publishers,</w:t>
            </w:r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br/>
              <w:t>Sebastopol, CA, http://www.w3.org/TR/soap/] are</w:t>
            </w:r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br/>
              <w:t>also available to the users. Various output formats</w:t>
            </w:r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br/>
              <w:t>are supported and include text tables, XML documents, as well as various graphs to help interpret</w:t>
            </w:r>
            <w:r w:rsidRPr="005D0CF7">
              <w:rPr>
                <w:rFonts w:ascii="AdvP69B3" w:hAnsi="AdvP69B3"/>
                <w:color w:val="231F1F"/>
                <w:sz w:val="20"/>
                <w:szCs w:val="20"/>
              </w:rPr>
              <w:br/>
              <w:t>the results.</w:t>
            </w: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>
              <w:rPr>
                <w:rFonts w:ascii="幼圆" w:eastAsia="幼圆" w:hint="eastAsia"/>
                <w:b w:val="0"/>
                <w:color w:val="2E74B5" w:themeColor="accent1" w:themeShade="BF"/>
              </w:rPr>
              <w:t>启发</w:t>
            </w:r>
          </w:p>
        </w:tc>
        <w:tc>
          <w:tcPr>
            <w:tcW w:w="4345" w:type="pct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:rsidR="00E1401B" w:rsidRDefault="00682A24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这个就是结合多个数据库，预测蛋白质功能域的工具。</w:t>
            </w:r>
          </w:p>
        </w:tc>
      </w:tr>
      <w:tr w:rsidR="00E1401B" w:rsidTr="00BE3C32">
        <w:trPr>
          <w:trHeight w:val="1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摘录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Default="005D0CF7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  <w:p w:rsidR="005D0CF7" w:rsidRDefault="005D0CF7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5D0CF7">
              <w:rPr>
                <w:rFonts w:ascii="幼圆" w:eastAsia="幼圆"/>
              </w:rPr>
              <w:t xml:space="preserve">To search </w:t>
            </w:r>
            <w:proofErr w:type="spellStart"/>
            <w:r w:rsidRPr="005D0CF7">
              <w:rPr>
                <w:rFonts w:ascii="幼圆" w:eastAsia="幼圆"/>
              </w:rPr>
              <w:t>InterPro</w:t>
            </w:r>
            <w:proofErr w:type="spellEnd"/>
            <w:r w:rsidRPr="005D0CF7">
              <w:rPr>
                <w:rFonts w:ascii="幼圆" w:eastAsia="幼圆"/>
              </w:rPr>
              <w:t xml:space="preserve"> with a novel protein sequence, a tool, </w:t>
            </w:r>
            <w:proofErr w:type="spellStart"/>
            <w:r w:rsidRPr="005D0CF7">
              <w:rPr>
                <w:rFonts w:ascii="幼圆" w:eastAsia="幼圆"/>
              </w:rPr>
              <w:t>InterProScan</w:t>
            </w:r>
            <w:proofErr w:type="spellEnd"/>
            <w:r w:rsidRPr="005D0CF7">
              <w:rPr>
                <w:rFonts w:ascii="幼圆" w:eastAsia="幼圆"/>
              </w:rPr>
              <w:t xml:space="preserve"> (4), has been developed (</w:t>
            </w:r>
            <w:hyperlink r:id="rId7" w:history="1">
              <w:r w:rsidRPr="002D534D">
                <w:rPr>
                  <w:rStyle w:val="a5"/>
                  <w:rFonts w:ascii="幼圆" w:eastAsia="幼圆"/>
                </w:rPr>
                <w:t>http://www.ebi.ac.uk/InterProScan</w:t>
              </w:r>
            </w:hyperlink>
            <w:r>
              <w:rPr>
                <w:rFonts w:ascii="幼圆" w:eastAsia="幼圆"/>
              </w:rPr>
              <w:t xml:space="preserve"> </w:t>
            </w:r>
            <w:r w:rsidRPr="005D0CF7">
              <w:rPr>
                <w:rFonts w:ascii="幼圆" w:eastAsia="幼圆"/>
              </w:rPr>
              <w:t xml:space="preserve">) that combines the protein function recognition methods of the member databases of </w:t>
            </w:r>
            <w:proofErr w:type="spellStart"/>
            <w:r w:rsidRPr="005D0CF7">
              <w:rPr>
                <w:rFonts w:ascii="幼圆" w:eastAsia="幼圆"/>
              </w:rPr>
              <w:t>InterPro</w:t>
            </w:r>
            <w:proofErr w:type="spellEnd"/>
            <w:r w:rsidRPr="005D0CF7">
              <w:rPr>
                <w:rFonts w:ascii="幼圆" w:eastAsia="幼圆"/>
              </w:rPr>
              <w:t xml:space="preserve"> into one application.</w:t>
            </w:r>
          </w:p>
          <w:p w:rsidR="005D0CF7" w:rsidRDefault="005D0CF7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本论文提出的工具是</w:t>
            </w:r>
            <w:proofErr w:type="spellStart"/>
            <w:r>
              <w:rPr>
                <w:rFonts w:ascii="幼圆" w:eastAsia="幼圆" w:hint="eastAsia"/>
              </w:rPr>
              <w:t>i</w:t>
            </w:r>
            <w:r>
              <w:rPr>
                <w:rFonts w:ascii="幼圆" w:eastAsia="幼圆"/>
              </w:rPr>
              <w:t>nterPro</w:t>
            </w:r>
            <w:proofErr w:type="spellEnd"/>
            <w:r>
              <w:rPr>
                <w:rFonts w:ascii="幼圆" w:eastAsia="幼圆" w:hint="eastAsia"/>
              </w:rPr>
              <w:t>版本的“升级版”</w:t>
            </w:r>
          </w:p>
          <w:p w:rsidR="005D0CF7" w:rsidRDefault="005D0CF7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  <w:p w:rsidR="005D0CF7" w:rsidRDefault="005D0CF7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lastRenderedPageBreak/>
              <w:t>输入格式</w:t>
            </w:r>
          </w:p>
          <w:p w:rsidR="005D0CF7" w:rsidRDefault="005D0CF7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首先填写你的邮箱，然后选择你想怎么看返回的数据。如果选“interactive”那么就返回浏览器，如果输入的是“email”则返回text</w:t>
            </w:r>
            <w:r>
              <w:rPr>
                <w:rFonts w:ascii="幼圆" w:eastAsia="幼圆"/>
              </w:rPr>
              <w:t xml:space="preserve"> dialog</w:t>
            </w:r>
          </w:p>
          <w:p w:rsidR="005D0CF7" w:rsidRDefault="005D0CF7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第二步选择的是所需要的</w:t>
            </w:r>
            <w:r w:rsidR="002C2557">
              <w:rPr>
                <w:rFonts w:ascii="幼圆" w:eastAsia="幼圆" w:hint="eastAsia"/>
              </w:rPr>
              <w:t>方法。</w:t>
            </w:r>
            <w:proofErr w:type="gramStart"/>
            <w:r w:rsidR="002C2557">
              <w:rPr>
                <w:rFonts w:ascii="幼圆" w:eastAsia="幼圆" w:hint="eastAsia"/>
              </w:rPr>
              <w:t>若选膜蛋白</w:t>
            </w:r>
            <w:proofErr w:type="gramEnd"/>
            <w:r w:rsidR="002C2557">
              <w:rPr>
                <w:rFonts w:ascii="幼圆" w:eastAsia="幼圆" w:hint="eastAsia"/>
              </w:rPr>
              <w:t>，则</w:t>
            </w:r>
            <w:proofErr w:type="gramStart"/>
            <w:r w:rsidR="002C2557">
              <w:rPr>
                <w:rFonts w:ascii="幼圆" w:eastAsia="幼圆" w:hint="eastAsia"/>
              </w:rPr>
              <w:t>单独勾选那</w:t>
            </w:r>
            <w:proofErr w:type="gramEnd"/>
            <w:r w:rsidR="002C2557">
              <w:rPr>
                <w:rFonts w:ascii="幼圆" w:eastAsia="幼圆" w:hint="eastAsia"/>
              </w:rPr>
              <w:t>一种方法。</w:t>
            </w:r>
          </w:p>
          <w:p w:rsidR="002C2557" w:rsidRDefault="002C2557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第三个选择是针对D</w:t>
            </w:r>
            <w:r>
              <w:rPr>
                <w:rFonts w:ascii="幼圆" w:eastAsia="幼圆"/>
              </w:rPr>
              <w:t>NA</w:t>
            </w:r>
            <w:r>
              <w:rPr>
                <w:rFonts w:ascii="幼圆" w:eastAsia="幼圆" w:hint="eastAsia"/>
              </w:rPr>
              <w:t>的。若输入的是D</w:t>
            </w:r>
            <w:r>
              <w:rPr>
                <w:rFonts w:ascii="幼圆" w:eastAsia="幼圆"/>
              </w:rPr>
              <w:t>NA</w:t>
            </w:r>
            <w:r>
              <w:rPr>
                <w:rFonts w:ascii="幼圆" w:eastAsia="幼圆" w:hint="eastAsia"/>
              </w:rPr>
              <w:t>序列，则转换成蛋白质再寻找。还可以选最小收缩长度。</w:t>
            </w:r>
          </w:p>
          <w:p w:rsidR="002C2557" w:rsidRDefault="002C2557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第四个选择是输入序列，默认输入的是protein的</w:t>
            </w:r>
            <w:r w:rsidR="00343BFB">
              <w:rPr>
                <w:rFonts w:ascii="幼圆" w:eastAsia="幼圆" w:hint="eastAsia"/>
              </w:rPr>
              <w:t>。还有help按钮可以使用。</w:t>
            </w:r>
          </w:p>
          <w:p w:rsidR="00343BFB" w:rsidRDefault="00343BF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最后的是“</w:t>
            </w:r>
            <w:r>
              <w:rPr>
                <w:rFonts w:ascii="幼圆" w:eastAsia="幼圆"/>
              </w:rPr>
              <w:t>submit</w:t>
            </w:r>
            <w:r>
              <w:rPr>
                <w:rFonts w:ascii="幼圆" w:eastAsia="幼圆" w:hint="eastAsia"/>
              </w:rPr>
              <w:t>”“r</w:t>
            </w:r>
            <w:r>
              <w:rPr>
                <w:rFonts w:ascii="幼圆" w:eastAsia="幼圆"/>
              </w:rPr>
              <w:t>eset</w:t>
            </w:r>
            <w:r>
              <w:rPr>
                <w:rFonts w:ascii="幼圆" w:eastAsia="幼圆" w:hint="eastAsia"/>
              </w:rPr>
              <w:t>”按钮。</w:t>
            </w:r>
          </w:p>
          <w:p w:rsidR="002C2557" w:rsidRDefault="002C2557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:rsidR="00343BFB" w:rsidRDefault="00343BF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3网站上可以下载到这个工具，只有</w:t>
            </w:r>
            <w:proofErr w:type="spellStart"/>
            <w:r>
              <w:rPr>
                <w:rFonts w:ascii="幼圆" w:eastAsia="幼圆"/>
              </w:rPr>
              <w:t>linux</w:t>
            </w:r>
            <w:proofErr w:type="spellEnd"/>
            <w:r>
              <w:rPr>
                <w:rFonts w:ascii="幼圆" w:eastAsia="幼圆" w:hint="eastAsia"/>
              </w:rPr>
              <w:t>版本。没有Windows版和</w:t>
            </w:r>
            <w:proofErr w:type="spellStart"/>
            <w:r>
              <w:rPr>
                <w:rFonts w:ascii="幼圆" w:eastAsia="幼圆" w:hint="eastAsia"/>
              </w:rPr>
              <w:t>ios</w:t>
            </w:r>
            <w:proofErr w:type="spellEnd"/>
            <w:r>
              <w:rPr>
                <w:rFonts w:ascii="幼圆" w:eastAsia="幼圆" w:hint="eastAsia"/>
              </w:rPr>
              <w:t>版的原因是“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 xml:space="preserve">This is due to constraints in the various third-party binaries that </w:t>
            </w:r>
            <w:proofErr w:type="spellStart"/>
            <w:r>
              <w:rPr>
                <w:rFonts w:ascii="Helvetica" w:hAnsi="Helvetica"/>
                <w:color w:val="222222"/>
                <w:shd w:val="clear" w:color="auto" w:fill="FFFFFF"/>
              </w:rPr>
              <w:t>InterProScan</w:t>
            </w:r>
            <w:proofErr w:type="spellEnd"/>
            <w:r>
              <w:rPr>
                <w:rFonts w:ascii="Helvetica" w:hAnsi="Helvetica"/>
                <w:color w:val="222222"/>
                <w:shd w:val="clear" w:color="auto" w:fill="FFFFFF"/>
              </w:rPr>
              <w:t xml:space="preserve"> runs.</w:t>
            </w:r>
            <w:r>
              <w:rPr>
                <w:rFonts w:ascii="幼圆" w:eastAsia="幼圆" w:hint="eastAsia"/>
              </w:rPr>
              <w:t>”</w:t>
            </w:r>
          </w:p>
          <w:p w:rsidR="00343BFB" w:rsidRDefault="00343BF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noProof/>
              </w:rPr>
              <w:drawing>
                <wp:inline distT="0" distB="0" distL="0" distR="0" wp14:anchorId="01E04043" wp14:editId="2DACC94B">
                  <wp:extent cx="6645910" cy="3249930"/>
                  <wp:effectExtent l="0" t="0" r="254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24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2557" w:rsidRDefault="00343BFB" w:rsidP="00343BFB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现在的界面。</w:t>
            </w:r>
            <w:hyperlink r:id="rId9" w:history="1">
              <w:r w:rsidRPr="002D534D">
                <w:rPr>
                  <w:rStyle w:val="a5"/>
                  <w:rFonts w:ascii="幼圆" w:eastAsia="幼圆"/>
                </w:rPr>
                <w:t>http://www.ebi.ac.uk/interpro/search/sequence-search</w:t>
              </w:r>
            </w:hyperlink>
            <w:r>
              <w:rPr>
                <w:rFonts w:ascii="幼圆" w:eastAsia="幼圆"/>
              </w:rPr>
              <w:t xml:space="preserve">  </w:t>
            </w:r>
          </w:p>
          <w:p w:rsidR="005D0CF7" w:rsidRDefault="00343BF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  <w:p w:rsidR="005D0CF7" w:rsidRDefault="005D0CF7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输出格式</w:t>
            </w:r>
          </w:p>
          <w:p w:rsidR="005D0CF7" w:rsidRDefault="00343BF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在开始预测前，它会计算所需要查询的序列，并将它的check</w:t>
            </w:r>
            <w:r>
              <w:rPr>
                <w:rFonts w:ascii="幼圆" w:eastAsia="幼圆"/>
              </w:rPr>
              <w:t>sums</w:t>
            </w:r>
            <w:r>
              <w:rPr>
                <w:rFonts w:ascii="幼圆" w:eastAsia="幼圆" w:hint="eastAsia"/>
              </w:rPr>
              <w:t>和数据库已有蛋白质序列的进行比较。</w:t>
            </w:r>
          </w:p>
          <w:p w:rsidR="00343BFB" w:rsidRDefault="00343BF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MT_RM" w:hAnsi="AdvMT_RM"/>
                <w:color w:val="231F1F"/>
                <w:sz w:val="20"/>
                <w:szCs w:val="20"/>
              </w:rPr>
            </w:pPr>
            <w:r>
              <w:rPr>
                <w:rFonts w:ascii="幼圆" w:eastAsia="幼圆" w:hint="eastAsia"/>
              </w:rPr>
              <w:t>这个数据库名叫“</w:t>
            </w:r>
            <w:r w:rsidRPr="00343BFB">
              <w:rPr>
                <w:rFonts w:ascii="AdvMT_RM" w:hAnsi="AdvMT_RM"/>
                <w:color w:val="231F1F"/>
                <w:sz w:val="20"/>
                <w:szCs w:val="20"/>
              </w:rPr>
              <w:t>IPRMATCHES</w:t>
            </w:r>
            <w:r>
              <w:rPr>
                <w:rFonts w:ascii="幼圆" w:eastAsia="幼圆" w:hint="eastAsia"/>
              </w:rPr>
              <w:t>”</w:t>
            </w:r>
            <w:r w:rsidR="00FB58AE">
              <w:rPr>
                <w:rFonts w:ascii="幼圆" w:eastAsia="幼圆" w:hint="eastAsia"/>
              </w:rPr>
              <w:t>它存有所有来自</w:t>
            </w:r>
            <w:proofErr w:type="spellStart"/>
            <w:r w:rsidR="00FB58AE" w:rsidRPr="00FB58AE">
              <w:rPr>
                <w:rFonts w:ascii="AdvMT_RM" w:hAnsi="AdvMT_RM"/>
                <w:color w:val="231F1F"/>
                <w:sz w:val="20"/>
                <w:szCs w:val="20"/>
              </w:rPr>
              <w:t>UniProt</w:t>
            </w:r>
            <w:proofErr w:type="spellEnd"/>
            <w:r w:rsidR="00FB58AE" w:rsidRPr="00FB58AE">
              <w:rPr>
                <w:rFonts w:ascii="AdvMT_RM" w:hAnsi="AdvMT_RM"/>
                <w:color w:val="231F1F"/>
                <w:sz w:val="20"/>
                <w:szCs w:val="20"/>
              </w:rPr>
              <w:t>/Swiss-</w:t>
            </w:r>
            <w:proofErr w:type="spellStart"/>
            <w:r w:rsidR="00FB58AE" w:rsidRPr="00FB58AE">
              <w:rPr>
                <w:rFonts w:ascii="AdvMT_RM" w:hAnsi="AdvMT_RM"/>
                <w:color w:val="231F1F"/>
                <w:sz w:val="20"/>
                <w:szCs w:val="20"/>
              </w:rPr>
              <w:t>Prot</w:t>
            </w:r>
            <w:proofErr w:type="spellEnd"/>
            <w:r w:rsidR="00FB58AE" w:rsidRPr="00FB58AE">
              <w:rPr>
                <w:rFonts w:ascii="AdvMT_RM" w:hAnsi="AdvMT_RM"/>
                <w:color w:val="231F1F"/>
                <w:sz w:val="20"/>
                <w:szCs w:val="20"/>
              </w:rPr>
              <w:t xml:space="preserve"> and </w:t>
            </w:r>
            <w:proofErr w:type="spellStart"/>
            <w:r w:rsidR="00FB58AE" w:rsidRPr="00FB58AE">
              <w:rPr>
                <w:rFonts w:ascii="AdvMT_RM" w:hAnsi="AdvMT_RM"/>
                <w:color w:val="231F1F"/>
                <w:sz w:val="20"/>
                <w:szCs w:val="20"/>
              </w:rPr>
              <w:t>UniProt</w:t>
            </w:r>
            <w:proofErr w:type="spellEnd"/>
            <w:r w:rsidR="00FB58AE" w:rsidRPr="00FB58AE">
              <w:rPr>
                <w:rFonts w:ascii="AdvMT_RM" w:hAnsi="AdvMT_RM"/>
                <w:color w:val="231F1F"/>
                <w:sz w:val="20"/>
                <w:szCs w:val="20"/>
              </w:rPr>
              <w:t>/</w:t>
            </w:r>
            <w:proofErr w:type="spellStart"/>
            <w:r w:rsidR="00FB58AE" w:rsidRPr="00FB58AE">
              <w:rPr>
                <w:rFonts w:ascii="AdvMT_RM" w:hAnsi="AdvMT_RM"/>
                <w:color w:val="231F1F"/>
                <w:sz w:val="20"/>
                <w:szCs w:val="20"/>
              </w:rPr>
              <w:t>TrEMBL</w:t>
            </w:r>
            <w:proofErr w:type="spellEnd"/>
            <w:r w:rsidR="00FB58AE">
              <w:rPr>
                <w:rFonts w:ascii="AdvMT_RM" w:hAnsi="AdvMT_RM" w:hint="eastAsia"/>
                <w:color w:val="231F1F"/>
                <w:sz w:val="20"/>
                <w:szCs w:val="20"/>
              </w:rPr>
              <w:t>的，匹配了一个或者多个的</w:t>
            </w:r>
            <w:r w:rsidR="00FB58AE">
              <w:rPr>
                <w:rFonts w:ascii="AdvMT_RM" w:hAnsi="AdvMT_RM" w:hint="eastAsia"/>
                <w:color w:val="231F1F"/>
                <w:sz w:val="20"/>
                <w:szCs w:val="20"/>
              </w:rPr>
              <w:t>e</w:t>
            </w:r>
            <w:r w:rsidR="00FB58AE">
              <w:rPr>
                <w:rFonts w:ascii="AdvMT_RM" w:hAnsi="AdvMT_RM"/>
                <w:color w:val="231F1F"/>
                <w:sz w:val="20"/>
                <w:szCs w:val="20"/>
              </w:rPr>
              <w:t>ntries(</w:t>
            </w:r>
            <w:r w:rsidR="00FB58AE">
              <w:rPr>
                <w:rFonts w:ascii="AdvMT_RM" w:hAnsi="AdvMT_RM" w:hint="eastAsia"/>
                <w:color w:val="231F1F"/>
                <w:sz w:val="20"/>
                <w:szCs w:val="20"/>
              </w:rPr>
              <w:t>词条</w:t>
            </w:r>
            <w:r w:rsidR="00FB58AE">
              <w:rPr>
                <w:rFonts w:ascii="AdvMT_RM" w:hAnsi="AdvMT_RM"/>
                <w:color w:val="231F1F"/>
                <w:sz w:val="20"/>
                <w:szCs w:val="20"/>
              </w:rPr>
              <w:t>)</w:t>
            </w:r>
            <w:r w:rsidR="00FB58AE">
              <w:rPr>
                <w:rFonts w:ascii="AdvMT_RM" w:hAnsi="AdvMT_RM" w:hint="eastAsia"/>
                <w:color w:val="231F1F"/>
                <w:sz w:val="20"/>
                <w:szCs w:val="20"/>
              </w:rPr>
              <w:t>。若匹配结果不符，则同时启动分析程序。若相符，则返回已有条目。</w:t>
            </w:r>
          </w:p>
          <w:p w:rsidR="00FB58AE" w:rsidRDefault="00FB58AE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MT_RM" w:hAnsi="AdvMT_RM"/>
                <w:color w:val="231F1F"/>
                <w:sz w:val="20"/>
                <w:szCs w:val="20"/>
              </w:rPr>
            </w:pP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5</w:t>
            </w:r>
          </w:p>
          <w:p w:rsidR="00FB58AE" w:rsidRDefault="00FB58AE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MT_RM" w:hAnsi="AdvMT_RM"/>
                <w:color w:val="231F1F"/>
                <w:sz w:val="20"/>
                <w:szCs w:val="20"/>
              </w:rPr>
            </w:pP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最新版运行结果如</w:t>
            </w: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下</w:t>
            </w: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图。</w:t>
            </w: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无“</w:t>
            </w: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table</w:t>
            </w: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”版本，可以导出多种形式。</w:t>
            </w: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X</w:t>
            </w:r>
            <w:r>
              <w:rPr>
                <w:rFonts w:ascii="AdvMT_RM" w:hAnsi="AdvMT_RM"/>
                <w:color w:val="231F1F"/>
                <w:sz w:val="20"/>
                <w:szCs w:val="20"/>
              </w:rPr>
              <w:t>ML</w:t>
            </w: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格式用于生产</w:t>
            </w: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H</w:t>
            </w:r>
            <w:r>
              <w:rPr>
                <w:rFonts w:ascii="AdvMT_RM" w:hAnsi="AdvMT_RM"/>
                <w:color w:val="231F1F"/>
                <w:sz w:val="20"/>
                <w:szCs w:val="20"/>
              </w:rPr>
              <w:t>TML</w:t>
            </w: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视图。</w:t>
            </w:r>
          </w:p>
          <w:p w:rsidR="00FB58AE" w:rsidRDefault="00682A2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MT_RM" w:hAnsi="AdvMT_RM"/>
                <w:color w:val="231F1F"/>
                <w:sz w:val="20"/>
                <w:szCs w:val="20"/>
              </w:rPr>
            </w:pP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运行结果存储</w:t>
            </w: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7</w:t>
            </w: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天（原文中是</w:t>
            </w: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24</w:t>
            </w: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小时）</w:t>
            </w:r>
          </w:p>
          <w:p w:rsidR="00FB58AE" w:rsidRDefault="00FB58AE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MT_RM" w:hAnsi="AdvMT_RM" w:hint="eastAsia"/>
                <w:color w:val="231F1F"/>
                <w:sz w:val="20"/>
                <w:szCs w:val="20"/>
              </w:rPr>
            </w:pPr>
          </w:p>
          <w:p w:rsidR="00FB58AE" w:rsidRDefault="00FB58AE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MT_RM" w:hAnsi="AdvMT_RM"/>
                <w:color w:val="231F1F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E94DB0" wp14:editId="42609B54">
                  <wp:extent cx="6645910" cy="3249930"/>
                  <wp:effectExtent l="0" t="0" r="254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24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58AE" w:rsidRDefault="00FB58AE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MT_RM" w:hAnsi="AdvMT_RM"/>
                <w:color w:val="231F1F"/>
                <w:sz w:val="20"/>
                <w:szCs w:val="20"/>
              </w:rPr>
            </w:pPr>
          </w:p>
          <w:p w:rsidR="00682A24" w:rsidRDefault="00682A2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MT_RM" w:hAnsi="AdvMT_RM"/>
                <w:color w:val="231F1F"/>
                <w:sz w:val="20"/>
                <w:szCs w:val="20"/>
              </w:rPr>
            </w:pP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6</w:t>
            </w: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还有单机版，</w:t>
            </w: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Stand alone</w:t>
            </w: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版本。可以输入一个或者多个。单机版需要各种包。</w:t>
            </w:r>
          </w:p>
          <w:p w:rsidR="00682A24" w:rsidRDefault="00682A2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MT_RM" w:hAnsi="AdvMT_RM" w:hint="eastAsia"/>
                <w:color w:val="231F1F"/>
                <w:sz w:val="20"/>
                <w:szCs w:val="20"/>
              </w:rPr>
            </w:pP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（</w:t>
            </w:r>
            <w:hyperlink r:id="rId11" w:history="1">
              <w:r w:rsidRPr="002D534D">
                <w:rPr>
                  <w:rStyle w:val="a5"/>
                  <w:rFonts w:ascii="AdvMT_RM" w:hAnsi="AdvMT_RM"/>
                  <w:sz w:val="20"/>
                  <w:szCs w:val="20"/>
                </w:rPr>
                <w:t>http://www.ebi.ac.uk/interpro/interproscan.html</w:t>
              </w:r>
            </w:hyperlink>
            <w:r>
              <w:rPr>
                <w:rFonts w:ascii="AdvMT_RM" w:hAnsi="AdvMT_RM"/>
                <w:color w:val="231F1F"/>
                <w:sz w:val="20"/>
                <w:szCs w:val="20"/>
              </w:rPr>
              <w:t xml:space="preserve"> </w:t>
            </w: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）单机版可以在这里下载。</w:t>
            </w:r>
          </w:p>
          <w:p w:rsidR="00FB58AE" w:rsidRDefault="00682A2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MT_RM" w:hAnsi="AdvMT_RM"/>
                <w:color w:val="231F1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9C0C70" wp14:editId="7BF0AAA6">
                  <wp:extent cx="6645910" cy="3249930"/>
                  <wp:effectExtent l="0" t="0" r="254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24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A24" w:rsidRDefault="00682A2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MT_RM" w:hAnsi="AdvMT_RM" w:hint="eastAsia"/>
                <w:color w:val="231F1F"/>
                <w:sz w:val="20"/>
                <w:szCs w:val="20"/>
              </w:rPr>
            </w:pPr>
            <w:r>
              <w:rPr>
                <w:rFonts w:ascii="AdvMT_RM" w:hAnsi="AdvMT_RM" w:hint="eastAsia"/>
                <w:color w:val="231F1F"/>
                <w:sz w:val="20"/>
                <w:szCs w:val="20"/>
              </w:rPr>
              <w:t>比如在这里就看到了各种各样的域。</w:t>
            </w:r>
          </w:p>
          <w:p w:rsidR="00FB58AE" w:rsidRDefault="00FB58AE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MT_RM" w:hAnsi="AdvMT_RM" w:hint="eastAsia"/>
                <w:color w:val="231F1F"/>
                <w:sz w:val="20"/>
                <w:szCs w:val="20"/>
              </w:rPr>
            </w:pPr>
          </w:p>
          <w:p w:rsidR="00FB58AE" w:rsidRDefault="00FB58AE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</w:p>
          <w:p w:rsidR="00343BFB" w:rsidRDefault="00343BF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</w:p>
          <w:p w:rsidR="005D0CF7" w:rsidRDefault="005D0CF7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</w:p>
          <w:p w:rsidR="005D0CF7" w:rsidRDefault="005D0CF7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bottom w:val="nil"/>
              <w:right w:val="nil"/>
            </w:tcBorders>
            <w:vAlign w:val="center"/>
          </w:tcPr>
          <w:p w:rsidR="00E1401B" w:rsidRPr="00CD568A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CD568A">
              <w:rPr>
                <w:rFonts w:ascii="幼圆" w:eastAsia="幼圆" w:hint="eastAsia"/>
                <w:b w:val="0"/>
                <w:color w:val="2E74B5" w:themeColor="accent1" w:themeShade="BF"/>
              </w:rPr>
              <w:lastRenderedPageBreak/>
              <w:t>相关论文</w:t>
            </w:r>
          </w:p>
        </w:tc>
        <w:tc>
          <w:tcPr>
            <w:tcW w:w="4345" w:type="pct"/>
            <w:tcBorders>
              <w:left w:val="nil"/>
              <w:bottom w:val="nil"/>
              <w:right w:val="nil"/>
            </w:tcBorders>
            <w:vAlign w:val="center"/>
          </w:tcPr>
          <w:p w:rsidR="00E1401B" w:rsidRPr="00CD568A" w:rsidRDefault="00E1401B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</w:p>
        </w:tc>
      </w:tr>
    </w:tbl>
    <w:p w:rsidR="001C06F5" w:rsidRDefault="001C06F5" w:rsidP="00516934">
      <w:pPr>
        <w:widowControl/>
        <w:ind w:right="525"/>
        <w:rPr>
          <w:rFonts w:ascii="幼圆" w:eastAsia="幼圆"/>
        </w:rPr>
      </w:pPr>
    </w:p>
    <w:p w:rsidR="007B05BC" w:rsidRDefault="007B05BC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lastRenderedPageBreak/>
        <w:t>1，句子积累</w:t>
      </w:r>
    </w:p>
    <w:p w:rsidR="007B05BC" w:rsidRDefault="007B05BC" w:rsidP="00516934">
      <w:pPr>
        <w:widowControl/>
        <w:ind w:right="525"/>
        <w:rPr>
          <w:rFonts w:ascii="幼圆" w:eastAsia="幼圆"/>
        </w:rPr>
      </w:pPr>
      <w:r w:rsidRPr="007B05BC">
        <w:rPr>
          <w:rFonts w:ascii="幼圆" w:eastAsia="幼圆"/>
        </w:rPr>
        <w:t xml:space="preserve">Searching individually against each of these databases to get the most information is repetitive, time consuming and </w:t>
      </w:r>
      <w:proofErr w:type="spellStart"/>
      <w:r w:rsidRPr="007B05BC">
        <w:rPr>
          <w:rFonts w:ascii="幼圆" w:eastAsia="幼圆"/>
        </w:rPr>
        <w:t>labour</w:t>
      </w:r>
      <w:proofErr w:type="spellEnd"/>
      <w:r w:rsidRPr="007B05BC">
        <w:rPr>
          <w:rFonts w:ascii="幼圆" w:eastAsia="幼圆"/>
        </w:rPr>
        <w:t xml:space="preserve"> intensive.</w:t>
      </w:r>
    </w:p>
    <w:p w:rsidR="00682A24" w:rsidRDefault="00682A24" w:rsidP="00516934">
      <w:pPr>
        <w:widowControl/>
        <w:ind w:right="525"/>
        <w:rPr>
          <w:rFonts w:ascii="幼圆" w:eastAsia="幼圆"/>
        </w:rPr>
      </w:pPr>
    </w:p>
    <w:p w:rsidR="00682A24" w:rsidRDefault="00682A24" w:rsidP="00516934">
      <w:pPr>
        <w:widowControl/>
        <w:ind w:right="525"/>
        <w:rPr>
          <w:rFonts w:ascii="幼圆" w:eastAsia="幼圆"/>
        </w:rPr>
      </w:pPr>
    </w:p>
    <w:p w:rsidR="00682A24" w:rsidRDefault="00682A24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2没有发现哪些功能域标识和药物相互作用，目前看到的功能域也是成段出现，没有成点出现。</w:t>
      </w:r>
    </w:p>
    <w:p w:rsidR="00682A24" w:rsidRDefault="00682A24" w:rsidP="00516934">
      <w:pPr>
        <w:widowControl/>
        <w:ind w:right="525"/>
        <w:rPr>
          <w:rFonts w:ascii="幼圆" w:eastAsia="幼圆"/>
        </w:rPr>
      </w:pPr>
    </w:p>
    <w:p w:rsidR="00682A24" w:rsidRDefault="00682A24" w:rsidP="00516934">
      <w:pPr>
        <w:widowControl/>
        <w:ind w:right="525"/>
        <w:rPr>
          <w:rFonts w:ascii="幼圆" w:eastAsia="幼圆"/>
        </w:rPr>
      </w:pPr>
    </w:p>
    <w:p w:rsidR="00682A24" w:rsidRDefault="00682A24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3测试：输入药物作用靶点蛋白中这一条进行预测。</w:t>
      </w:r>
    </w:p>
    <w:p w:rsidR="00682A24" w:rsidRPr="00682A24" w:rsidRDefault="00682A24" w:rsidP="00682A24">
      <w:pPr>
        <w:widowControl/>
        <w:ind w:right="525"/>
        <w:rPr>
          <w:rFonts w:ascii="幼圆" w:eastAsia="幼圆"/>
        </w:rPr>
      </w:pPr>
      <w:r w:rsidRPr="00682A24">
        <w:rPr>
          <w:rFonts w:ascii="幼圆" w:eastAsia="幼圆"/>
        </w:rPr>
        <w:t>&gt;3T6Q_A</w:t>
      </w:r>
    </w:p>
    <w:p w:rsidR="00682A24" w:rsidRPr="00682A24" w:rsidRDefault="00682A24" w:rsidP="00682A24">
      <w:pPr>
        <w:widowControl/>
        <w:ind w:right="525"/>
        <w:rPr>
          <w:rFonts w:ascii="幼圆" w:eastAsia="幼圆"/>
        </w:rPr>
      </w:pPr>
      <w:r w:rsidRPr="00682A24">
        <w:rPr>
          <w:rFonts w:ascii="幼圆" w:eastAsia="幼圆"/>
        </w:rPr>
        <w:t>QKCIEKEVNKTYNCENLGLNEIPGTLPNSTECLEFSFNVLPTIQNTTFSRLINLTFLDLTRCQIYWIHED</w:t>
      </w:r>
    </w:p>
    <w:p w:rsidR="00682A24" w:rsidRPr="00682A24" w:rsidRDefault="00682A24" w:rsidP="00682A24">
      <w:pPr>
        <w:widowControl/>
        <w:ind w:right="525"/>
        <w:rPr>
          <w:rFonts w:ascii="幼圆" w:eastAsia="幼圆"/>
        </w:rPr>
      </w:pPr>
      <w:r w:rsidRPr="00682A24">
        <w:rPr>
          <w:rFonts w:ascii="幼圆" w:eastAsia="幼圆"/>
        </w:rPr>
        <w:t>TFQSQHRLDTLVLTANPLIFMAETALSGPKALKHLFFIQTGISSIDFIPLHNQKTLESLYLGSNHISSIK</w:t>
      </w:r>
    </w:p>
    <w:p w:rsidR="00682A24" w:rsidRPr="00682A24" w:rsidRDefault="00682A24" w:rsidP="00682A24">
      <w:pPr>
        <w:widowControl/>
        <w:ind w:right="525"/>
        <w:rPr>
          <w:rFonts w:ascii="幼圆" w:eastAsia="幼圆"/>
        </w:rPr>
      </w:pPr>
      <w:r w:rsidRPr="00682A24">
        <w:rPr>
          <w:rFonts w:ascii="幼圆" w:eastAsia="幼圆"/>
        </w:rPr>
        <w:t>LPKGFPTEKLKVLDFQNNAIHYLSKEDMSSLQQATNLSLNLNGNDIAGIEPGAFDSAVFQSLNFGGTQNL</w:t>
      </w:r>
    </w:p>
    <w:p w:rsidR="00682A24" w:rsidRPr="00682A24" w:rsidRDefault="00682A24" w:rsidP="00682A24">
      <w:pPr>
        <w:widowControl/>
        <w:ind w:right="525"/>
        <w:rPr>
          <w:rFonts w:ascii="幼圆" w:eastAsia="幼圆"/>
        </w:rPr>
      </w:pPr>
      <w:r w:rsidRPr="00682A24">
        <w:rPr>
          <w:rFonts w:ascii="幼圆" w:eastAsia="幼圆"/>
        </w:rPr>
        <w:t>LVIFKGLKNSTIQSLWLGTFEDMDDEDISPAVFEGLCEMSVESINLQKHYFFNISSNTFHCFSGLQELDL</w:t>
      </w:r>
    </w:p>
    <w:p w:rsidR="00682A24" w:rsidRPr="00682A24" w:rsidRDefault="00682A24" w:rsidP="00682A24">
      <w:pPr>
        <w:widowControl/>
        <w:ind w:right="525"/>
        <w:rPr>
          <w:rFonts w:ascii="幼圆" w:eastAsia="幼圆"/>
        </w:rPr>
      </w:pPr>
      <w:r w:rsidRPr="00682A24">
        <w:rPr>
          <w:rFonts w:ascii="幼圆" w:eastAsia="幼圆"/>
        </w:rPr>
        <w:t>TATHLSELPSGLVGLSTLKKLVLSANKFENLCQISASNFPSLTHLSIKGNTKRLELGTGCLENLENLREL</w:t>
      </w:r>
    </w:p>
    <w:p w:rsidR="00682A24" w:rsidRPr="00682A24" w:rsidRDefault="00682A24" w:rsidP="00682A24">
      <w:pPr>
        <w:widowControl/>
        <w:ind w:right="525"/>
        <w:rPr>
          <w:rFonts w:ascii="幼圆" w:eastAsia="幼圆"/>
        </w:rPr>
      </w:pPr>
      <w:r w:rsidRPr="00682A24">
        <w:rPr>
          <w:rFonts w:ascii="幼圆" w:eastAsia="幼圆"/>
        </w:rPr>
        <w:t>DLSHDDIETSDCCNLQLRNLSHLQSLNLSYNEPLSLKTEAFKECPQLELLDLAFTRLKVKDAQSPFQNLH</w:t>
      </w:r>
    </w:p>
    <w:p w:rsidR="00682A24" w:rsidRPr="00682A24" w:rsidRDefault="00682A24" w:rsidP="00682A24">
      <w:pPr>
        <w:widowControl/>
        <w:ind w:right="525"/>
        <w:rPr>
          <w:rFonts w:ascii="幼圆" w:eastAsia="幼圆"/>
        </w:rPr>
      </w:pPr>
      <w:r w:rsidRPr="00682A24">
        <w:rPr>
          <w:rFonts w:ascii="幼圆" w:eastAsia="幼圆"/>
        </w:rPr>
        <w:t>LLKVLNLSHSLLDISSEQLFDGLPALQHLNLQGNHFPKGNIQKTNSLQTLGRLEILVLSFCDLSSIDQHA</w:t>
      </w:r>
    </w:p>
    <w:p w:rsidR="00682A24" w:rsidRPr="00682A24" w:rsidRDefault="00682A24" w:rsidP="00682A24">
      <w:pPr>
        <w:widowControl/>
        <w:ind w:right="525"/>
        <w:rPr>
          <w:rFonts w:ascii="幼圆" w:eastAsia="幼圆"/>
        </w:rPr>
      </w:pPr>
      <w:r w:rsidRPr="00682A24">
        <w:rPr>
          <w:rFonts w:ascii="幼圆" w:eastAsia="幼圆"/>
        </w:rPr>
        <w:t>FTSLKMMNHVDLSHNRLTSSSIEALSHLKGIYLNLASNHISIILPSLLPILSQQRTINLRQNPLDCTCSN</w:t>
      </w:r>
    </w:p>
    <w:p w:rsidR="00682A24" w:rsidRDefault="00682A24" w:rsidP="00682A24">
      <w:pPr>
        <w:widowControl/>
        <w:ind w:right="525"/>
        <w:rPr>
          <w:rFonts w:ascii="幼圆" w:eastAsia="幼圆"/>
        </w:rPr>
      </w:pPr>
      <w:r w:rsidRPr="00682A24">
        <w:rPr>
          <w:rFonts w:ascii="幼圆" w:eastAsia="幼圆"/>
        </w:rPr>
        <w:t>IYFLEWYKENMQKLEDTEDTLCENPPLLRGVRLSDVTLSCS</w:t>
      </w:r>
    </w:p>
    <w:p w:rsidR="00682A24" w:rsidRDefault="00682A24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对应的功能位点：</w:t>
      </w:r>
    </w:p>
    <w:p w:rsidR="00682A24" w:rsidRPr="00682A24" w:rsidRDefault="00682A24" w:rsidP="00682A24">
      <w:pPr>
        <w:widowControl/>
        <w:ind w:right="525"/>
        <w:rPr>
          <w:rFonts w:ascii="幼圆" w:eastAsia="幼圆"/>
        </w:rPr>
      </w:pPr>
      <w:r w:rsidRPr="00682A24">
        <w:rPr>
          <w:rFonts w:ascii="幼圆" w:eastAsia="幼圆"/>
        </w:rPr>
        <w:t>&gt;3T6Q_A</w:t>
      </w:r>
    </w:p>
    <w:p w:rsidR="00682A24" w:rsidRPr="00682A24" w:rsidRDefault="00682A24" w:rsidP="00682A24">
      <w:pPr>
        <w:widowControl/>
        <w:ind w:right="525"/>
        <w:rPr>
          <w:rFonts w:ascii="幼圆" w:eastAsia="幼圆"/>
        </w:rPr>
      </w:pPr>
      <w:r w:rsidRPr="00682A24">
        <w:rPr>
          <w:rFonts w:ascii="幼圆" w:eastAsia="幼圆"/>
        </w:rPr>
        <w:t>QKCIEKEVNKTYNCENLGLNEIPGTLPNSTECLEFSFNVLPTIQNTTFSRLINLTFLDLTRCQIYWIHEDTFQSQHRLDTLVLTANPLIFMAETALSGPKALKHLFFIQTGISSIDFIPLHNQKTLESLYLGSNHISSIKLPKGFPTEKLKVLDFQNNAIHYLSKEDMSSLQQATNLSLNLNGNDIAGIEPGAFDSAVFQSLNFGGTQNLLVIFKGLKNSTIQSLWLGTFEDMDDEDISPAVFEGLCEMSVESINLQKHYFFNISSNTFHCFSGLQELDLTATHLSELPSGLVGLSTLKKLVLSANKFENLCQISASNFPSLTHLSIKGNTKRLELGTGCLENLENLRELDLSHDDIETSDCCNLQLRNLSHLQSLNLSYNEPLSLKTEAFKECPQLELLDLAFTRLKVKDAQSPFQNLHLLKVLNLSHSLLDISSEQLFDGLPALQHLNLQGNHFPKGNIQKTNSLQTLGRLEILVLSFCDLSSIDQHAFTSLKMMNHVDLSHNRLTSSSIEALSHLKGIYLNLASNHISIILPSLLPILSQQRTINLRQNPLDCTCSNIYFLEWYKENMQKLEDTEDTLCENPPLLRGVRLSDVTLSCS</w:t>
      </w:r>
    </w:p>
    <w:p w:rsidR="00682A24" w:rsidRDefault="00682A24" w:rsidP="00682A24">
      <w:pPr>
        <w:widowControl/>
        <w:ind w:right="525"/>
        <w:rPr>
          <w:rFonts w:ascii="幼圆" w:eastAsia="幼圆" w:hint="eastAsia"/>
        </w:rPr>
      </w:pPr>
      <w:r w:rsidRPr="00682A24">
        <w:rPr>
          <w:rFonts w:ascii="幼圆" w:eastAsia="幼圆"/>
        </w:rPr>
        <w:t>0000000000000000000000000000000000000000000100000000000100000000110110000000000000000000000000000000000001010000110000000000000000000010000000000000000001010000000000000010010110000000000000000000111000000000000000000000000000000000000000000000000000000000000000000000000000000000000000000000000000000000000000000000000000000000010100000000000000000000011100000000000000000000000000000000000000000000000000000000000000000000000010000000000000000000000100000000000000000000000000010000000000000000000000011000000000000000000000101000000000000110000000000000000000000000000010000000000000000000000000000</w:t>
      </w:r>
    </w:p>
    <w:p w:rsidR="00682A24" w:rsidRDefault="00682A24" w:rsidP="00516934">
      <w:pPr>
        <w:widowControl/>
        <w:ind w:right="525"/>
        <w:rPr>
          <w:rFonts w:ascii="幼圆" w:eastAsia="幼圆"/>
        </w:rPr>
      </w:pPr>
      <w:r>
        <w:rPr>
          <w:noProof/>
        </w:rPr>
        <w:lastRenderedPageBreak/>
        <w:drawing>
          <wp:inline distT="0" distB="0" distL="0" distR="0" wp14:anchorId="6345E471" wp14:editId="02A34A1B">
            <wp:extent cx="6645910" cy="3249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24" w:rsidRDefault="009131B5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具体有没有关系还是编程看吧，手工看没想到好的方案。</w:t>
      </w:r>
    </w:p>
    <w:p w:rsidR="009131B5" w:rsidRDefault="009131B5" w:rsidP="00516934">
      <w:pPr>
        <w:widowControl/>
        <w:ind w:right="525"/>
        <w:rPr>
          <w:rFonts w:ascii="幼圆" w:eastAsia="幼圆"/>
        </w:rPr>
      </w:pPr>
      <w:r>
        <w:rPr>
          <w:noProof/>
        </w:rPr>
        <w:drawing>
          <wp:inline distT="0" distB="0" distL="0" distR="0" wp14:anchorId="3A01A420" wp14:editId="143DC9C8">
            <wp:extent cx="381033" cy="565453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9A" w:rsidRPr="001C06F5" w:rsidRDefault="00210B9A" w:rsidP="00516934">
      <w:pPr>
        <w:widowControl/>
        <w:ind w:right="525"/>
        <w:rPr>
          <w:rFonts w:ascii="幼圆" w:eastAsia="幼圆" w:hint="eastAsia"/>
        </w:rPr>
      </w:pPr>
      <w:r>
        <w:rPr>
          <w:rFonts w:ascii="幼圆" w:eastAsia="幼圆" w:hint="eastAsia"/>
        </w:rPr>
        <w:t>总之，看完这个感觉对当前课题没啥有用的帮助。不过知了前人做那个论文的蛋白质域是怎么来的了。</w:t>
      </w:r>
      <w:bookmarkStart w:id="0" w:name="_GoBack"/>
      <w:bookmarkEnd w:id="0"/>
    </w:p>
    <w:sectPr w:rsidR="00210B9A" w:rsidRPr="001C06F5" w:rsidSect="009C795F">
      <w:footerReference w:type="default" r:id="rId15"/>
      <w:pgSz w:w="11906" w:h="16838"/>
      <w:pgMar w:top="720" w:right="720" w:bottom="720" w:left="72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765" w:rsidRDefault="00A76765" w:rsidP="009C795F">
      <w:r>
        <w:separator/>
      </w:r>
    </w:p>
  </w:endnote>
  <w:endnote w:type="continuationSeparator" w:id="0">
    <w:p w:rsidR="00A76765" w:rsidRDefault="00A76765" w:rsidP="009C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">
    <w:altName w:val="Times New Roman"/>
    <w:panose1 w:val="00000000000000000000"/>
    <w:charset w:val="00"/>
    <w:family w:val="roman"/>
    <w:notTrueType/>
    <w:pitch w:val="default"/>
  </w:font>
  <w:font w:name="OnemtmiguAAAA">
    <w:altName w:val="Times New Roman"/>
    <w:panose1 w:val="00000000000000000000"/>
    <w:charset w:val="00"/>
    <w:family w:val="roman"/>
    <w:notTrueType/>
    <w:pitch w:val="default"/>
  </w:font>
  <w:font w:name="GulliverIT">
    <w:altName w:val="Times New Roman"/>
    <w:panose1 w:val="00000000000000000000"/>
    <w:charset w:val="00"/>
    <w:family w:val="roman"/>
    <w:notTrueType/>
    <w:pitch w:val="default"/>
  </w:font>
  <w:font w:name="AdvMacMthSyN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dvP696A">
    <w:altName w:val="Cambria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vP69B3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P69D3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dvMT_R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218810"/>
      <w:docPartObj>
        <w:docPartGallery w:val="Page Numbers (Bottom of Page)"/>
        <w:docPartUnique/>
      </w:docPartObj>
    </w:sdtPr>
    <w:sdtEndPr/>
    <w:sdtContent>
      <w:p w:rsidR="009C795F" w:rsidRDefault="009C795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934" w:rsidRPr="00516934">
          <w:rPr>
            <w:noProof/>
            <w:lang w:val="zh-CN"/>
          </w:rPr>
          <w:t>1</w:t>
        </w:r>
        <w:r>
          <w:fldChar w:fldCharType="end"/>
        </w:r>
      </w:p>
    </w:sdtContent>
  </w:sdt>
  <w:p w:rsidR="009C795F" w:rsidRDefault="009C795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765" w:rsidRDefault="00A76765" w:rsidP="009C795F">
      <w:r>
        <w:separator/>
      </w:r>
    </w:p>
  </w:footnote>
  <w:footnote w:type="continuationSeparator" w:id="0">
    <w:p w:rsidR="00A76765" w:rsidRDefault="00A76765" w:rsidP="009C7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12ACF"/>
    <w:multiLevelType w:val="multilevel"/>
    <w:tmpl w:val="0F28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42A32"/>
    <w:multiLevelType w:val="hybridMultilevel"/>
    <w:tmpl w:val="0D5CBCAE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97E"/>
    <w:rsid w:val="00057011"/>
    <w:rsid w:val="000A1531"/>
    <w:rsid w:val="000E2A3A"/>
    <w:rsid w:val="000F1935"/>
    <w:rsid w:val="001951C0"/>
    <w:rsid w:val="001C06F5"/>
    <w:rsid w:val="00210B9A"/>
    <w:rsid w:val="00212E0C"/>
    <w:rsid w:val="00213D77"/>
    <w:rsid w:val="002162C5"/>
    <w:rsid w:val="002C2557"/>
    <w:rsid w:val="002C355C"/>
    <w:rsid w:val="002D335F"/>
    <w:rsid w:val="0033482C"/>
    <w:rsid w:val="00336352"/>
    <w:rsid w:val="00343BFB"/>
    <w:rsid w:val="003639F6"/>
    <w:rsid w:val="0039771B"/>
    <w:rsid w:val="003D67FF"/>
    <w:rsid w:val="003F2816"/>
    <w:rsid w:val="004334F0"/>
    <w:rsid w:val="00463CD9"/>
    <w:rsid w:val="004A6B2E"/>
    <w:rsid w:val="004C39DE"/>
    <w:rsid w:val="004F1389"/>
    <w:rsid w:val="005148BA"/>
    <w:rsid w:val="00516311"/>
    <w:rsid w:val="00516934"/>
    <w:rsid w:val="00576015"/>
    <w:rsid w:val="00583064"/>
    <w:rsid w:val="005844B9"/>
    <w:rsid w:val="005D0CF7"/>
    <w:rsid w:val="005D2387"/>
    <w:rsid w:val="005E5A92"/>
    <w:rsid w:val="0060254C"/>
    <w:rsid w:val="006101B4"/>
    <w:rsid w:val="00655837"/>
    <w:rsid w:val="00682A24"/>
    <w:rsid w:val="00692B9D"/>
    <w:rsid w:val="006A746A"/>
    <w:rsid w:val="006B1346"/>
    <w:rsid w:val="006E2A18"/>
    <w:rsid w:val="006F2071"/>
    <w:rsid w:val="006F556A"/>
    <w:rsid w:val="0073336F"/>
    <w:rsid w:val="00766A42"/>
    <w:rsid w:val="007B05BC"/>
    <w:rsid w:val="007E0C63"/>
    <w:rsid w:val="007E2848"/>
    <w:rsid w:val="0081478D"/>
    <w:rsid w:val="00861497"/>
    <w:rsid w:val="008658F8"/>
    <w:rsid w:val="008810AD"/>
    <w:rsid w:val="009131B5"/>
    <w:rsid w:val="0093791B"/>
    <w:rsid w:val="00960B5F"/>
    <w:rsid w:val="00962336"/>
    <w:rsid w:val="009C3735"/>
    <w:rsid w:val="009C795F"/>
    <w:rsid w:val="00A05E01"/>
    <w:rsid w:val="00A165AF"/>
    <w:rsid w:val="00A30ADB"/>
    <w:rsid w:val="00A40C73"/>
    <w:rsid w:val="00A76765"/>
    <w:rsid w:val="00A94F0A"/>
    <w:rsid w:val="00AB1B0E"/>
    <w:rsid w:val="00AD47C4"/>
    <w:rsid w:val="00B11849"/>
    <w:rsid w:val="00BE76F2"/>
    <w:rsid w:val="00C12403"/>
    <w:rsid w:val="00C13468"/>
    <w:rsid w:val="00CA2565"/>
    <w:rsid w:val="00CD3AA3"/>
    <w:rsid w:val="00CD568A"/>
    <w:rsid w:val="00CE0799"/>
    <w:rsid w:val="00D41193"/>
    <w:rsid w:val="00D9512F"/>
    <w:rsid w:val="00DC793A"/>
    <w:rsid w:val="00DF397E"/>
    <w:rsid w:val="00DF72CF"/>
    <w:rsid w:val="00E1401B"/>
    <w:rsid w:val="00EB2BC7"/>
    <w:rsid w:val="00F027B9"/>
    <w:rsid w:val="00F029B9"/>
    <w:rsid w:val="00F14AD6"/>
    <w:rsid w:val="00F41646"/>
    <w:rsid w:val="00F8315E"/>
    <w:rsid w:val="00FB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ECA5D"/>
  <w15:chartTrackingRefBased/>
  <w15:docId w15:val="{E4A93C31-FD15-46BF-8525-B745ADC9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25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C06F5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1C06F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7E0C63"/>
    <w:pPr>
      <w:ind w:firstLineChars="200" w:firstLine="420"/>
    </w:pPr>
  </w:style>
  <w:style w:type="character" w:customStyle="1" w:styleId="fontstyle01">
    <w:name w:val="fontstyle01"/>
    <w:basedOn w:val="a0"/>
    <w:rsid w:val="00D9512F"/>
    <w:rPr>
      <w:rFonts w:ascii="AdvOT863180fb" w:hAnsi="AdvOT863180fb" w:hint="default"/>
      <w:b w:val="0"/>
      <w:bCs w:val="0"/>
      <w:i w:val="0"/>
      <w:iCs w:val="0"/>
      <w:color w:val="0D7FAC"/>
      <w:sz w:val="16"/>
      <w:szCs w:val="16"/>
    </w:rPr>
  </w:style>
  <w:style w:type="character" w:styleId="a5">
    <w:name w:val="Hyperlink"/>
    <w:basedOn w:val="a0"/>
    <w:uiPriority w:val="99"/>
    <w:unhideWhenUsed/>
    <w:rsid w:val="00D9512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9512F"/>
    <w:rPr>
      <w:color w:val="954F72" w:themeColor="followedHyperlink"/>
      <w:u w:val="single"/>
    </w:rPr>
  </w:style>
  <w:style w:type="character" w:customStyle="1" w:styleId="fontstyle21">
    <w:name w:val="fontstyle21"/>
    <w:basedOn w:val="a0"/>
    <w:rsid w:val="003D67FF"/>
    <w:rPr>
      <w:rFonts w:ascii="OnemtmiguAAAA" w:hAnsi="OnemtmiguAAAA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31">
    <w:name w:val="fontstyle31"/>
    <w:basedOn w:val="a0"/>
    <w:rsid w:val="003D67FF"/>
    <w:rPr>
      <w:rFonts w:ascii="GulliverIT" w:hAnsi="GulliverIT" w:hint="default"/>
      <w:b w:val="0"/>
      <w:bCs w:val="0"/>
      <w:i w:val="0"/>
      <w:iCs w:val="0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C7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79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7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79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25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style41">
    <w:name w:val="fontstyle41"/>
    <w:basedOn w:val="a0"/>
    <w:rsid w:val="003F2816"/>
    <w:rPr>
      <w:rFonts w:ascii="AdvMacMthSyN" w:hAnsi="AdvMacMthSyN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11">
    <w:name w:val="fontstyle11"/>
    <w:basedOn w:val="a0"/>
    <w:rsid w:val="00F027B9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paragraph" w:customStyle="1" w:styleId="src">
    <w:name w:val="src"/>
    <w:basedOn w:val="a"/>
    <w:rsid w:val="007B05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5D0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ebi.ac.uk/InterProScan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bi.ac.uk/interpro/interproscan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ebi.ac.uk/interpro/search/sequence-search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\Documents\&#33258;&#23450;&#20041;%20Office%20&#27169;&#26495;\&#25991;&#29486;&#38405;&#35835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文献阅读报告模板.dotx</Template>
  <TotalTime>2190</TotalTime>
  <Pages>5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宇豪 翟</cp:lastModifiedBy>
  <cp:revision>45</cp:revision>
  <dcterms:created xsi:type="dcterms:W3CDTF">2017-05-14T04:01:00Z</dcterms:created>
  <dcterms:modified xsi:type="dcterms:W3CDTF">2019-04-21T02:33:00Z</dcterms:modified>
</cp:coreProperties>
</file>