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42"/>
          <w:szCs w:val="42"/>
        </w:rPr>
        <w:alias w:val="Titel"/>
        <w:tag w:val="TIT"/>
        <w:id w:val="25597846"/>
        <w:lock w:val="sdtLocked"/>
        <w:placeholder>
          <w:docPart w:val="EF6E790800B64406A831A44B6ACFBCDF"/>
        </w:placeholder>
        <w:text w:multiLine="1"/>
      </w:sdtPr>
      <w:sdtEndPr/>
      <w:sdtContent>
        <w:p w14:paraId="2007016E" w14:textId="77777777" w:rsidR="00344523" w:rsidRPr="00720421" w:rsidRDefault="00862C53" w:rsidP="00720421">
          <w:pPr>
            <w:pStyle w:val="Berichtstitel"/>
            <w:framePr w:w="8618" w:h="5387" w:hRule="exact" w:wrap="around"/>
            <w:ind w:right="-165"/>
            <w:rPr>
              <w:sz w:val="42"/>
              <w:szCs w:val="42"/>
            </w:rPr>
          </w:pPr>
          <w:r>
            <w:rPr>
              <w:sz w:val="42"/>
              <w:szCs w:val="42"/>
            </w:rPr>
            <w:t>Altlastenbearbeitung und deren Finanzierung</w:t>
          </w:r>
        </w:p>
      </w:sdtContent>
    </w:sdt>
    <w:sdt>
      <w:sdtPr>
        <w:rPr>
          <w:sz w:val="41"/>
          <w:szCs w:val="41"/>
        </w:rPr>
        <w:alias w:val="Untertitel"/>
        <w:tag w:val="UTIT"/>
        <w:id w:val="25597848"/>
        <w:lock w:val="sdtLocked"/>
        <w:placeholder>
          <w:docPart w:val="14AA2A5C7911460E9D85040AC5AE7281"/>
        </w:placeholder>
        <w:text w:multiLine="1"/>
      </w:sdtPr>
      <w:sdtEndPr/>
      <w:sdtContent>
        <w:p w14:paraId="47CE8DEF" w14:textId="77777777" w:rsidR="00344523" w:rsidRPr="00720421" w:rsidRDefault="00CD74FD" w:rsidP="00720421">
          <w:pPr>
            <w:pStyle w:val="Berichtsthema"/>
            <w:framePr w:w="8618" w:h="5387" w:hRule="exact" w:wrap="around"/>
            <w:ind w:right="-307"/>
            <w:rPr>
              <w:sz w:val="41"/>
              <w:szCs w:val="41"/>
            </w:rPr>
          </w:pPr>
          <w:r>
            <w:rPr>
              <w:sz w:val="41"/>
              <w:szCs w:val="41"/>
            </w:rPr>
            <w:t>Bundesamt für Umwelt</w:t>
          </w:r>
        </w:p>
      </w:sdtContent>
    </w:sdt>
    <w:p w14:paraId="5A27F3C6" w14:textId="77777777" w:rsidR="00344523" w:rsidRDefault="00344523"/>
    <w:p w14:paraId="49BFC6A0" w14:textId="77777777" w:rsidR="00AF4B74" w:rsidRPr="00A339E5" w:rsidRDefault="00AF4B74"/>
    <w:p w14:paraId="5D33BDD7" w14:textId="77777777" w:rsidR="00352509" w:rsidRDefault="00352509" w:rsidP="00AF4B74"/>
    <w:p w14:paraId="2506D984" w14:textId="77777777" w:rsidR="00352509" w:rsidRDefault="00352509" w:rsidP="00AF4B74"/>
    <w:p w14:paraId="12D372D3" w14:textId="77777777" w:rsidR="00344523" w:rsidRDefault="00344523" w:rsidP="00AF4B74"/>
    <w:p w14:paraId="54E8C245" w14:textId="77777777" w:rsidR="00344523" w:rsidRDefault="00344523"/>
    <w:p w14:paraId="0071C50F" w14:textId="77777777" w:rsidR="00344523" w:rsidRDefault="00344523"/>
    <w:p w14:paraId="27A18AD2" w14:textId="77777777" w:rsidR="00344523" w:rsidRDefault="00344523"/>
    <w:p w14:paraId="7B5760DF" w14:textId="77777777" w:rsidR="00344523" w:rsidRDefault="00344523"/>
    <w:p w14:paraId="622C3466" w14:textId="77777777" w:rsidR="00344523" w:rsidRDefault="00344523"/>
    <w:p w14:paraId="54E30625" w14:textId="77777777" w:rsidR="00344523" w:rsidRDefault="00344523"/>
    <w:p w14:paraId="246F9229" w14:textId="77777777" w:rsidR="00344523" w:rsidRDefault="00344523"/>
    <w:p w14:paraId="6746E4C4" w14:textId="77777777" w:rsidR="00A339E5" w:rsidRDefault="00A339E5"/>
    <w:p w14:paraId="25C3240C" w14:textId="77777777" w:rsidR="00A339E5" w:rsidRDefault="00A339E5"/>
    <w:p w14:paraId="4A4AA8F7" w14:textId="77777777" w:rsidR="00A339E5" w:rsidRDefault="00A339E5"/>
    <w:sdt>
      <w:sdtPr>
        <w:alias w:val="Berichtsdatum"/>
        <w:tag w:val="Berichtsdatum"/>
        <w:id w:val="25597850"/>
        <w:lock w:val="sdtLocked"/>
        <w:placeholder>
          <w:docPart w:val="000473CB739B4046AFE9B951C5D89AAE"/>
        </w:placeholder>
        <w:date w:fullDate="2013-05-14T00:00:00Z">
          <w:dateFormat w:val="dd. MMMM yyyy"/>
          <w:lid w:val="de-CH"/>
          <w:storeMappedDataAs w:val="dateTime"/>
          <w:calendar w:val="gregorian"/>
        </w:date>
      </w:sdtPr>
      <w:sdtEndPr/>
      <w:sdtContent>
        <w:p w14:paraId="2D40E5F2" w14:textId="77777777" w:rsidR="00F8577E" w:rsidRPr="00EF5EAF" w:rsidRDefault="00805FF7">
          <w:r>
            <w:t>14. Mai 2013</w:t>
          </w:r>
        </w:p>
      </w:sdtContent>
    </w:sdt>
    <w:p w14:paraId="2DC24311" w14:textId="77777777" w:rsidR="00344523" w:rsidRDefault="00344523"/>
    <w:p w14:paraId="1093A7F7" w14:textId="77777777" w:rsidR="00344523" w:rsidRPr="00EF5EAF" w:rsidRDefault="00344523" w:rsidP="00EF5EAF">
      <w:pPr>
        <w:sectPr w:rsidR="00344523" w:rsidRPr="00EF5EAF" w:rsidSect="006029B7">
          <w:headerReference w:type="default" r:id="rId8"/>
          <w:footerReference w:type="default" r:id="rId9"/>
          <w:headerReference w:type="first" r:id="rId10"/>
          <w:pgSz w:w="11906" w:h="16838" w:code="9"/>
          <w:pgMar w:top="1843" w:right="1416" w:bottom="1304" w:left="1701" w:header="658" w:footer="567" w:gutter="0"/>
          <w:cols w:space="708"/>
          <w:titlePg/>
          <w:docGrid w:linePitch="360"/>
        </w:sectPr>
      </w:pPr>
    </w:p>
    <w:p w14:paraId="0B9F5878" w14:textId="77777777" w:rsidR="001C691F" w:rsidRPr="00B47352" w:rsidRDefault="001C691F" w:rsidP="00263EBF">
      <w:pPr>
        <w:pBdr>
          <w:bottom w:val="single" w:sz="4" w:space="1" w:color="auto"/>
        </w:pBdr>
        <w:spacing w:before="0"/>
        <w:rPr>
          <w:b/>
          <w:highlight w:val="cyan"/>
        </w:rPr>
      </w:pPr>
      <w:r w:rsidRPr="00B47352">
        <w:rPr>
          <w:b/>
          <w:highlight w:val="cyan"/>
        </w:rPr>
        <w:lastRenderedPageBreak/>
        <w:t>Das Wesentliche in Kürze</w:t>
      </w:r>
    </w:p>
    <w:p w14:paraId="7B11ADBC" w14:textId="77777777" w:rsidR="004017C2" w:rsidRPr="00B47352" w:rsidRDefault="00905569" w:rsidP="002802BC">
      <w:pPr>
        <w:rPr>
          <w:highlight w:val="cyan"/>
        </w:rPr>
      </w:pPr>
      <w:r w:rsidRPr="00B47352">
        <w:rPr>
          <w:highlight w:val="cyan"/>
        </w:rPr>
        <w:t>Geprüft wurde di</w:t>
      </w:r>
      <w:r w:rsidR="006A7715" w:rsidRPr="00B47352">
        <w:rPr>
          <w:highlight w:val="cyan"/>
        </w:rPr>
        <w:t xml:space="preserve">e </w:t>
      </w:r>
      <w:r w:rsidR="0064443E" w:rsidRPr="00B47352">
        <w:rPr>
          <w:highlight w:val="cyan"/>
        </w:rPr>
        <w:t>Altlastenbearbeitung nach Mass</w:t>
      </w:r>
      <w:r w:rsidR="004D7225" w:rsidRPr="00B47352">
        <w:rPr>
          <w:highlight w:val="cyan"/>
        </w:rPr>
        <w:t>gabe</w:t>
      </w:r>
      <w:r w:rsidR="0064443E" w:rsidRPr="00B47352">
        <w:rPr>
          <w:highlight w:val="cyan"/>
        </w:rPr>
        <w:t xml:space="preserve"> des Umweltschutzgesetzes und der Altlastenverordnung</w:t>
      </w:r>
      <w:r w:rsidR="004D7225" w:rsidRPr="00B47352">
        <w:rPr>
          <w:highlight w:val="cyan"/>
        </w:rPr>
        <w:t>. Zudem wurde das in der Verordnung über die Abgabe zur Sanierung von Altlasten konk</w:t>
      </w:r>
      <w:r w:rsidR="005A5244" w:rsidRPr="00B47352">
        <w:rPr>
          <w:highlight w:val="cyan"/>
        </w:rPr>
        <w:t>retisierte Finanzie</w:t>
      </w:r>
      <w:r w:rsidR="00E67219" w:rsidRPr="00B47352">
        <w:rPr>
          <w:highlight w:val="cyan"/>
        </w:rPr>
        <w:t>rungssystem einschliesslich</w:t>
      </w:r>
      <w:r w:rsidR="005A5244" w:rsidRPr="00B47352">
        <w:rPr>
          <w:highlight w:val="cyan"/>
        </w:rPr>
        <w:t xml:space="preserve"> des </w:t>
      </w:r>
      <w:r w:rsidR="004D7225" w:rsidRPr="00B47352">
        <w:rPr>
          <w:highlight w:val="cyan"/>
        </w:rPr>
        <w:t xml:space="preserve">damit verbundenen Altlastenfonds verifiziert. </w:t>
      </w:r>
      <w:r w:rsidR="005A5244" w:rsidRPr="00B47352">
        <w:rPr>
          <w:highlight w:val="cyan"/>
        </w:rPr>
        <w:t>Die Kontrollen waren auf die Rechts-, Ordnungs- und Zweckmässigkeit sowie die Wirksamkeit der dem BAFU in diesem Zusammenhang übertragenen Aufsichtsfunktion aus</w:t>
      </w:r>
      <w:r w:rsidR="00263EBF" w:rsidRPr="00B47352">
        <w:rPr>
          <w:highlight w:val="cyan"/>
        </w:rPr>
        <w:t>gerichtet.</w:t>
      </w:r>
    </w:p>
    <w:p w14:paraId="704303B3" w14:textId="77777777" w:rsidR="00226627" w:rsidRPr="00B47352" w:rsidRDefault="00226627" w:rsidP="00856375">
      <w:pPr>
        <w:ind w:right="-142"/>
        <w:rPr>
          <w:highlight w:val="cyan"/>
        </w:rPr>
      </w:pPr>
      <w:r w:rsidRPr="00B47352">
        <w:rPr>
          <w:highlight w:val="cyan"/>
        </w:rPr>
        <w:t>Das BAFU setzt sich mit allen verfügbaren Ressourcen für die haushälterische, umwelt- und zeitgerechte Altlastenbearbeitung ein. Es pflegt auf verschiedenen Führungs- und Fachst</w:t>
      </w:r>
      <w:r w:rsidR="00882CF4" w:rsidRPr="00B47352">
        <w:rPr>
          <w:highlight w:val="cyan"/>
        </w:rPr>
        <w:t>ufen</w:t>
      </w:r>
      <w:r w:rsidRPr="00B47352">
        <w:rPr>
          <w:highlight w:val="cyan"/>
        </w:rPr>
        <w:t xml:space="preserve"> Kontakt mit den kantonalen Behörden.</w:t>
      </w:r>
      <w:r w:rsidR="00E82CC4" w:rsidRPr="00B47352">
        <w:rPr>
          <w:highlight w:val="cyan"/>
        </w:rPr>
        <w:t xml:space="preserve"> U</w:t>
      </w:r>
      <w:r w:rsidR="00B1110D" w:rsidRPr="00B47352">
        <w:rPr>
          <w:highlight w:val="cyan"/>
        </w:rPr>
        <w:t>nter Anhörung der Kantone und</w:t>
      </w:r>
      <w:r w:rsidR="00E82CC4" w:rsidRPr="00B47352">
        <w:rPr>
          <w:highlight w:val="cyan"/>
        </w:rPr>
        <w:t xml:space="preserve"> Wirt</w:t>
      </w:r>
      <w:r w:rsidR="00882CF4" w:rsidRPr="00B47352">
        <w:rPr>
          <w:highlight w:val="cyan"/>
        </w:rPr>
        <w:t>schaftsverbände</w:t>
      </w:r>
      <w:r w:rsidR="00E82CC4" w:rsidRPr="00B47352">
        <w:rPr>
          <w:highlight w:val="cyan"/>
        </w:rPr>
        <w:t xml:space="preserve"> hat das BAFU eine Vielzahl von Vollzugshilfen entwickelt, deren Anwendung weitgehend Gewähr bieten, dass</w:t>
      </w:r>
      <w:r w:rsidR="00856375" w:rsidRPr="00B47352">
        <w:rPr>
          <w:highlight w:val="cyan"/>
        </w:rPr>
        <w:t xml:space="preserve"> die</w:t>
      </w:r>
      <w:r w:rsidR="00E82CC4" w:rsidRPr="00B47352">
        <w:rPr>
          <w:highlight w:val="cyan"/>
        </w:rPr>
        <w:t xml:space="preserve"> Altlastenbearbeitung harmonisiert, umweltge</w:t>
      </w:r>
      <w:r w:rsidR="00856375" w:rsidRPr="00B47352">
        <w:rPr>
          <w:highlight w:val="cyan"/>
        </w:rPr>
        <w:t>recht und ökonomisch verläuft.</w:t>
      </w:r>
    </w:p>
    <w:p w14:paraId="55F1D459" w14:textId="77777777" w:rsidR="00226627" w:rsidRPr="00B47352" w:rsidRDefault="00CF4BED" w:rsidP="002802BC">
      <w:pPr>
        <w:rPr>
          <w:highlight w:val="cyan"/>
        </w:rPr>
      </w:pPr>
      <w:r w:rsidRPr="00B47352">
        <w:rPr>
          <w:highlight w:val="cyan"/>
        </w:rPr>
        <w:t>Der altlastenrechtliche Vollzug wurde anhand der Sanierungsprojekte</w:t>
      </w:r>
      <w:r w:rsidR="00882CF4" w:rsidRPr="00B47352">
        <w:rPr>
          <w:highlight w:val="cyan"/>
        </w:rPr>
        <w:t xml:space="preserve"> </w:t>
      </w:r>
      <w:r w:rsidR="00587620" w:rsidRPr="00B47352">
        <w:rPr>
          <w:highlight w:val="cyan"/>
        </w:rPr>
        <w:t>„Areal Schnepfenmatt/</w:t>
      </w:r>
      <w:proofErr w:type="spellStart"/>
      <w:r w:rsidR="00587620" w:rsidRPr="00B47352">
        <w:rPr>
          <w:highlight w:val="cyan"/>
        </w:rPr>
        <w:t>Canva</w:t>
      </w:r>
      <w:proofErr w:type="spellEnd"/>
      <w:r w:rsidR="00587620" w:rsidRPr="00B47352">
        <w:rPr>
          <w:highlight w:val="cyan"/>
        </w:rPr>
        <w:t>“, Zuchwil, und „Sondermülldeponie Kölliken“</w:t>
      </w:r>
      <w:r w:rsidRPr="00B47352">
        <w:rPr>
          <w:highlight w:val="cyan"/>
        </w:rPr>
        <w:t xml:space="preserve"> geprüft.</w:t>
      </w:r>
    </w:p>
    <w:p w14:paraId="396C50F2" w14:textId="77777777" w:rsidR="00226627" w:rsidRPr="00B47352" w:rsidRDefault="00CF4BED" w:rsidP="002802BC">
      <w:pPr>
        <w:rPr>
          <w:highlight w:val="cyan"/>
        </w:rPr>
      </w:pPr>
      <w:r w:rsidRPr="00B47352">
        <w:rPr>
          <w:highlight w:val="cyan"/>
        </w:rPr>
        <w:t>Beim</w:t>
      </w:r>
      <w:r w:rsidR="0034512F" w:rsidRPr="00B47352">
        <w:rPr>
          <w:highlight w:val="cyan"/>
        </w:rPr>
        <w:t xml:space="preserve"> „Areal Schnepfenmatt/</w:t>
      </w:r>
      <w:proofErr w:type="spellStart"/>
      <w:r w:rsidR="0034512F" w:rsidRPr="00B47352">
        <w:rPr>
          <w:highlight w:val="cyan"/>
        </w:rPr>
        <w:t>Canva</w:t>
      </w:r>
      <w:proofErr w:type="spellEnd"/>
      <w:r w:rsidR="0034512F" w:rsidRPr="00B47352">
        <w:rPr>
          <w:highlight w:val="cyan"/>
        </w:rPr>
        <w:t xml:space="preserve">“ </w:t>
      </w:r>
      <w:r w:rsidRPr="00B47352">
        <w:rPr>
          <w:highlight w:val="cyan"/>
        </w:rPr>
        <w:t>hat in der</w:t>
      </w:r>
      <w:r w:rsidR="0034512F" w:rsidRPr="00B47352">
        <w:rPr>
          <w:highlight w:val="cyan"/>
        </w:rPr>
        <w:t xml:space="preserve"> Abgeltungszusicherun</w:t>
      </w:r>
      <w:r w:rsidRPr="00B47352">
        <w:rPr>
          <w:highlight w:val="cyan"/>
        </w:rPr>
        <w:t>g der</w:t>
      </w:r>
      <w:r w:rsidR="0034512F" w:rsidRPr="00B47352">
        <w:rPr>
          <w:highlight w:val="cyan"/>
        </w:rPr>
        <w:t xml:space="preserve"> explizi</w:t>
      </w:r>
      <w:r w:rsidRPr="00B47352">
        <w:rPr>
          <w:highlight w:val="cyan"/>
        </w:rPr>
        <w:t>te</w:t>
      </w:r>
      <w:r w:rsidR="0034512F" w:rsidRPr="00B47352">
        <w:rPr>
          <w:highlight w:val="cyan"/>
        </w:rPr>
        <w:t xml:space="preserve"> Hinweis auf das Sanierungsziel und die</w:t>
      </w:r>
      <w:r w:rsidRPr="00B47352">
        <w:rPr>
          <w:highlight w:val="cyan"/>
        </w:rPr>
        <w:t xml:space="preserve"> für die Dauer der Sanierungsmassnahme</w:t>
      </w:r>
      <w:r w:rsidR="0034512F" w:rsidRPr="00B47352">
        <w:rPr>
          <w:highlight w:val="cyan"/>
        </w:rPr>
        <w:t xml:space="preserve"> vom Beitragsempfänger erwarte</w:t>
      </w:r>
      <w:r w:rsidRPr="00B47352">
        <w:rPr>
          <w:highlight w:val="cyan"/>
        </w:rPr>
        <w:t xml:space="preserve">te Berichterstattung gefehlt. Diese </w:t>
      </w:r>
      <w:r w:rsidR="00A37215" w:rsidRPr="00B47352">
        <w:rPr>
          <w:highlight w:val="cyan"/>
        </w:rPr>
        <w:t>Elemente sollten künftig Bestandteil jeder Zusicherungsverfügung sein.</w:t>
      </w:r>
    </w:p>
    <w:p w14:paraId="0B6A1C00" w14:textId="77777777" w:rsidR="00226627" w:rsidRPr="00B47352" w:rsidRDefault="00686A56" w:rsidP="002802BC">
      <w:pPr>
        <w:rPr>
          <w:highlight w:val="cyan"/>
        </w:rPr>
      </w:pPr>
      <w:r w:rsidRPr="00B47352">
        <w:rPr>
          <w:highlight w:val="cyan"/>
        </w:rPr>
        <w:t>Beim Sanierungsprojekt</w:t>
      </w:r>
      <w:r w:rsidR="00BB4B05" w:rsidRPr="00B47352">
        <w:rPr>
          <w:highlight w:val="cyan"/>
        </w:rPr>
        <w:t xml:space="preserve"> „Sondermülldeponie Kölliken“ stand die Nachvollziehbarkeit einer neu erarbeiteten Abgeltungszusicherung im Zentrum der Prüfung. Aus den Plausibilitätsprüfungen</w:t>
      </w:r>
      <w:r w:rsidR="00856375" w:rsidRPr="00B47352">
        <w:rPr>
          <w:highlight w:val="cyan"/>
        </w:rPr>
        <w:t xml:space="preserve"> </w:t>
      </w:r>
      <w:proofErr w:type="gramStart"/>
      <w:r w:rsidR="00856375" w:rsidRPr="00B47352">
        <w:rPr>
          <w:highlight w:val="cyan"/>
        </w:rPr>
        <w:t>betreffend der Verfügung</w:t>
      </w:r>
      <w:proofErr w:type="gramEnd"/>
      <w:r w:rsidR="00856375" w:rsidRPr="00B47352">
        <w:rPr>
          <w:highlight w:val="cyan"/>
        </w:rPr>
        <w:t xml:space="preserve"> um Zusicherung und Auszahlung von Abgeltungen </w:t>
      </w:r>
      <w:r w:rsidR="00B63261" w:rsidRPr="00B47352">
        <w:rPr>
          <w:highlight w:val="cyan"/>
        </w:rPr>
        <w:t>an die Sanierung dieses</w:t>
      </w:r>
      <w:r w:rsidR="00856375" w:rsidRPr="00B47352">
        <w:rPr>
          <w:highlight w:val="cyan"/>
        </w:rPr>
        <w:t xml:space="preserve"> komplexen Grossprojek</w:t>
      </w:r>
      <w:r w:rsidR="00F21964" w:rsidRPr="00B47352">
        <w:rPr>
          <w:highlight w:val="cyan"/>
        </w:rPr>
        <w:t>ts</w:t>
      </w:r>
      <w:r w:rsidR="00856375" w:rsidRPr="00B47352">
        <w:rPr>
          <w:highlight w:val="cyan"/>
        </w:rPr>
        <w:t xml:space="preserve"> lässt sich schliessen, dass</w:t>
      </w:r>
    </w:p>
    <w:p w14:paraId="00C0D571" w14:textId="77777777" w:rsidR="00856375" w:rsidRPr="00B47352" w:rsidRDefault="00856375" w:rsidP="0017591F">
      <w:pPr>
        <w:spacing w:before="0" w:line="240" w:lineRule="atLeast"/>
        <w:rPr>
          <w:highlight w:val="cyan"/>
        </w:rPr>
      </w:pPr>
    </w:p>
    <w:p w14:paraId="00C8EE53" w14:textId="77777777" w:rsidR="00856375" w:rsidRPr="00B47352" w:rsidRDefault="00856375" w:rsidP="00856375">
      <w:pPr>
        <w:pStyle w:val="Listenabsatz"/>
        <w:numPr>
          <w:ilvl w:val="0"/>
          <w:numId w:val="9"/>
        </w:numPr>
        <w:spacing w:before="0"/>
        <w:rPr>
          <w:highlight w:val="cyan"/>
        </w:rPr>
      </w:pPr>
      <w:r w:rsidRPr="00B47352">
        <w:rPr>
          <w:highlight w:val="cyan"/>
        </w:rPr>
        <w:t>der Ersatz der ursprünglichen Verfügung vom 24. August 2006 aufgrund der subventionsrechtli</w:t>
      </w:r>
      <w:r w:rsidR="00263D42" w:rsidRPr="00B47352">
        <w:rPr>
          <w:highlight w:val="cyan"/>
        </w:rPr>
        <w:t>chen Normen zurecht erfolgt ist und</w:t>
      </w:r>
    </w:p>
    <w:p w14:paraId="376BA851" w14:textId="77777777" w:rsidR="00856375" w:rsidRPr="00B47352" w:rsidRDefault="00856375" w:rsidP="00C73EBF">
      <w:pPr>
        <w:pStyle w:val="Listenabsatz"/>
        <w:numPr>
          <w:ilvl w:val="0"/>
          <w:numId w:val="9"/>
        </w:numPr>
        <w:spacing w:before="120" w:after="120"/>
        <w:ind w:left="357" w:hanging="357"/>
        <w:contextualSpacing w:val="0"/>
        <w:rPr>
          <w:highlight w:val="cyan"/>
        </w:rPr>
      </w:pPr>
      <w:r w:rsidRPr="00B47352">
        <w:rPr>
          <w:highlight w:val="cyan"/>
        </w:rPr>
        <w:t xml:space="preserve">der aufgrund der voraussichtlichen Gesamtkosten von 993 Millionen Franken bzw. auf der Basis </w:t>
      </w:r>
      <w:proofErr w:type="gramStart"/>
      <w:r w:rsidRPr="00B47352">
        <w:rPr>
          <w:highlight w:val="cyan"/>
        </w:rPr>
        <w:t>der anrechenbaren Kosen</w:t>
      </w:r>
      <w:proofErr w:type="gramEnd"/>
      <w:r w:rsidRPr="00B47352">
        <w:rPr>
          <w:highlight w:val="cyan"/>
        </w:rPr>
        <w:t xml:space="preserve"> von 883 Millionen Franken zugesicherte Subventionsbeitrag in der Grössenordnung von 215 Millionen Franken als realistisch taxiert werden kann.</w:t>
      </w:r>
    </w:p>
    <w:p w14:paraId="3824F950" w14:textId="77777777" w:rsidR="00856375" w:rsidRPr="00B47352" w:rsidRDefault="00C73EBF" w:rsidP="002802BC">
      <w:pPr>
        <w:rPr>
          <w:highlight w:val="cyan"/>
        </w:rPr>
      </w:pPr>
      <w:r w:rsidRPr="00B47352">
        <w:rPr>
          <w:highlight w:val="cyan"/>
        </w:rPr>
        <w:t xml:space="preserve">Die Komplexität des Sanierungsprojekts „Sondermülldeponie Kölliken“ </w:t>
      </w:r>
      <w:r w:rsidR="00C1090E" w:rsidRPr="00B47352">
        <w:rPr>
          <w:highlight w:val="cyan"/>
        </w:rPr>
        <w:t>zeigt auf, dass für die Überwachung ein spezifisches Controllingkonzept nötig i</w:t>
      </w:r>
      <w:r w:rsidR="00CB4CA4" w:rsidRPr="00B47352">
        <w:rPr>
          <w:highlight w:val="cyan"/>
        </w:rPr>
        <w:t>st. Ein solches sollte auch</w:t>
      </w:r>
      <w:r w:rsidR="00C1090E" w:rsidRPr="00B47352">
        <w:rPr>
          <w:highlight w:val="cyan"/>
        </w:rPr>
        <w:t xml:space="preserve"> für die ausstehenden Grosssanierungen der Deponien La </w:t>
      </w:r>
      <w:proofErr w:type="spellStart"/>
      <w:r w:rsidR="00C1090E" w:rsidRPr="00B47352">
        <w:rPr>
          <w:highlight w:val="cyan"/>
        </w:rPr>
        <w:t>Pila</w:t>
      </w:r>
      <w:proofErr w:type="spellEnd"/>
      <w:r w:rsidR="00C1090E" w:rsidRPr="00B47352">
        <w:rPr>
          <w:highlight w:val="cyan"/>
        </w:rPr>
        <w:t xml:space="preserve"> (FR), Muttenz (BL) und Stadtmist (SO) ausgearbeitet werden.</w:t>
      </w:r>
    </w:p>
    <w:p w14:paraId="7D7D4109" w14:textId="77777777" w:rsidR="00856375" w:rsidRPr="00B47352" w:rsidRDefault="00C1090E" w:rsidP="002802BC">
      <w:pPr>
        <w:rPr>
          <w:highlight w:val="cyan"/>
        </w:rPr>
      </w:pPr>
      <w:r w:rsidRPr="00B47352">
        <w:rPr>
          <w:highlight w:val="cyan"/>
        </w:rPr>
        <w:t xml:space="preserve">Die VASA-Abgabeerhebungen mit aktuell </w:t>
      </w:r>
      <w:r w:rsidR="00291486" w:rsidRPr="00B47352">
        <w:rPr>
          <w:highlight w:val="cyan"/>
        </w:rPr>
        <w:t xml:space="preserve">jährlich </w:t>
      </w:r>
      <w:r w:rsidRPr="00B47352">
        <w:rPr>
          <w:highlight w:val="cyan"/>
        </w:rPr>
        <w:t>rund 35 Mil</w:t>
      </w:r>
      <w:r w:rsidR="006C5534" w:rsidRPr="00B47352">
        <w:rPr>
          <w:highlight w:val="cyan"/>
        </w:rPr>
        <w:t>lionen Franken Einnahmen erfolgen</w:t>
      </w:r>
      <w:r w:rsidRPr="00B47352">
        <w:rPr>
          <w:highlight w:val="cyan"/>
        </w:rPr>
        <w:t xml:space="preserve"> ord</w:t>
      </w:r>
      <w:r w:rsidR="006C5534" w:rsidRPr="00B47352">
        <w:rPr>
          <w:highlight w:val="cyan"/>
        </w:rPr>
        <w:t xml:space="preserve">nungsgemäss und zeitgerecht. </w:t>
      </w:r>
      <w:r w:rsidR="00CB4CA4" w:rsidRPr="00B47352">
        <w:rPr>
          <w:highlight w:val="cyan"/>
        </w:rPr>
        <w:t>K</w:t>
      </w:r>
      <w:r w:rsidR="00291486" w:rsidRPr="00B47352">
        <w:rPr>
          <w:highlight w:val="cyan"/>
        </w:rPr>
        <w:t>leiner</w:t>
      </w:r>
      <w:r w:rsidR="00CB4CA4" w:rsidRPr="00B47352">
        <w:rPr>
          <w:highlight w:val="cyan"/>
        </w:rPr>
        <w:t>e</w:t>
      </w:r>
      <w:r w:rsidR="00291486" w:rsidRPr="00B47352">
        <w:rPr>
          <w:highlight w:val="cyan"/>
        </w:rPr>
        <w:t xml:space="preserve"> Anpassungen bei den Prozessbeschreibungen sind noch zu erledigen.</w:t>
      </w:r>
    </w:p>
    <w:p w14:paraId="4934E158" w14:textId="77777777" w:rsidR="001C691F" w:rsidRDefault="00291486" w:rsidP="00263EBF">
      <w:pPr>
        <w:rPr>
          <w:rFonts w:cs="Arial"/>
          <w:lang w:eastAsia="de-DE"/>
        </w:rPr>
      </w:pPr>
      <w:r w:rsidRPr="00B47352">
        <w:rPr>
          <w:highlight w:val="cyan"/>
        </w:rPr>
        <w:t>Der komfortabel erscheinende Fondssaldo per Ende 2012 von rund 170 Millionen Franken wird sich in absehbarer Zeit</w:t>
      </w:r>
      <w:r w:rsidR="00CB4CA4" w:rsidRPr="00B47352">
        <w:rPr>
          <w:highlight w:val="cyan"/>
        </w:rPr>
        <w:t xml:space="preserve"> -</w:t>
      </w:r>
      <w:r w:rsidRPr="00B47352">
        <w:rPr>
          <w:highlight w:val="cyan"/>
        </w:rPr>
        <w:t xml:space="preserve"> bedingt durch </w:t>
      </w:r>
      <w:r w:rsidR="00CB4CA4" w:rsidRPr="00B47352">
        <w:rPr>
          <w:highlight w:val="cyan"/>
        </w:rPr>
        <w:t>anstehende</w:t>
      </w:r>
      <w:r w:rsidRPr="00B47352">
        <w:rPr>
          <w:highlight w:val="cyan"/>
        </w:rPr>
        <w:t xml:space="preserve"> Grosssanierungen</w:t>
      </w:r>
      <w:r w:rsidR="00CB4CA4" w:rsidRPr="00B47352">
        <w:rPr>
          <w:highlight w:val="cyan"/>
        </w:rPr>
        <w:t xml:space="preserve"> - deutlich reduzieren. U</w:t>
      </w:r>
      <w:r w:rsidRPr="00B47352">
        <w:rPr>
          <w:highlight w:val="cyan"/>
        </w:rPr>
        <w:t xml:space="preserve">ngewiss ist auch der Einfluss der parlamentarischen Initiative </w:t>
      </w:r>
      <w:r w:rsidR="00263EBF" w:rsidRPr="00B47352">
        <w:rPr>
          <w:highlight w:val="cyan"/>
        </w:rPr>
        <w:t>„</w:t>
      </w:r>
      <w:proofErr w:type="spellStart"/>
      <w:r w:rsidRPr="00B47352">
        <w:rPr>
          <w:highlight w:val="cyan"/>
        </w:rPr>
        <w:t>R</w:t>
      </w:r>
      <w:r w:rsidR="00CA1FC7" w:rsidRPr="00B47352">
        <w:rPr>
          <w:highlight w:val="cyan"/>
        </w:rPr>
        <w:t>e</w:t>
      </w:r>
      <w:r w:rsidRPr="00B47352">
        <w:rPr>
          <w:highlight w:val="cyan"/>
        </w:rPr>
        <w:t>cordon</w:t>
      </w:r>
      <w:proofErr w:type="spellEnd"/>
      <w:r w:rsidRPr="00B47352">
        <w:rPr>
          <w:highlight w:val="cyan"/>
        </w:rPr>
        <w:t xml:space="preserve"> 11.466</w:t>
      </w:r>
      <w:r w:rsidR="00263EBF" w:rsidRPr="00B47352">
        <w:rPr>
          <w:highlight w:val="cyan"/>
        </w:rPr>
        <w:t>“</w:t>
      </w:r>
      <w:r w:rsidRPr="00B47352">
        <w:rPr>
          <w:highlight w:val="cyan"/>
        </w:rPr>
        <w:t>. Es ist davon auszugehen, dass die Finanzierung des</w:t>
      </w:r>
      <w:r w:rsidR="00F307F4" w:rsidRPr="00B47352">
        <w:rPr>
          <w:highlight w:val="cyan"/>
        </w:rPr>
        <w:t xml:space="preserve"> Fonds zu gegebener Zeit eine Anpassung erfahren muss.</w:t>
      </w:r>
      <w:r w:rsidR="001C691F">
        <w:br w:type="page"/>
      </w:r>
    </w:p>
    <w:p w14:paraId="0CB5B62D" w14:textId="77777777" w:rsidR="001F5384" w:rsidRPr="00C80CDE" w:rsidRDefault="001F5384" w:rsidP="001F5384">
      <w:pPr>
        <w:pStyle w:val="Verzeichnis1"/>
      </w:pPr>
      <w:r w:rsidRPr="00C80CDE">
        <w:lastRenderedPageBreak/>
        <w:t>Inhaltsverzeichnis</w:t>
      </w:r>
    </w:p>
    <w:p w14:paraId="321AA195" w14:textId="77777777" w:rsidR="00344523" w:rsidRDefault="00344523" w:rsidP="0064570C"/>
    <w:p w14:paraId="42B5A4AD" w14:textId="77777777" w:rsidR="003C1012" w:rsidRDefault="00AC0E03">
      <w:pPr>
        <w:pStyle w:val="Verzeichnis1"/>
        <w:rPr>
          <w:rFonts w:asciiTheme="minorHAnsi" w:eastAsiaTheme="minorEastAsia" w:hAnsiTheme="minorHAnsi" w:cstheme="minorBidi"/>
          <w:b w:val="0"/>
          <w:noProof/>
          <w:sz w:val="22"/>
          <w:szCs w:val="22"/>
          <w:lang w:eastAsia="de-CH"/>
        </w:rPr>
      </w:pPr>
      <w:r>
        <w:rPr>
          <w:b w:val="0"/>
          <w:color w:val="FF0000"/>
        </w:rPr>
        <w:fldChar w:fldCharType="begin"/>
      </w:r>
      <w:r w:rsidR="007A3DBE">
        <w:rPr>
          <w:b w:val="0"/>
          <w:color w:val="FF0000"/>
        </w:rPr>
        <w:instrText xml:space="preserve"> TOC \o \h \z \u </w:instrText>
      </w:r>
      <w:r>
        <w:rPr>
          <w:b w:val="0"/>
          <w:color w:val="FF0000"/>
        </w:rPr>
        <w:fldChar w:fldCharType="separate"/>
      </w:r>
      <w:hyperlink w:anchor="_Toc356294686" w:history="1">
        <w:r w:rsidR="003C1012" w:rsidRPr="00601158">
          <w:rPr>
            <w:rStyle w:val="Hyperlink"/>
            <w:noProof/>
          </w:rPr>
          <w:t>1</w:t>
        </w:r>
        <w:r w:rsidR="003C1012">
          <w:rPr>
            <w:rFonts w:asciiTheme="minorHAnsi" w:eastAsiaTheme="minorEastAsia" w:hAnsiTheme="minorHAnsi" w:cstheme="minorBidi"/>
            <w:b w:val="0"/>
            <w:noProof/>
            <w:sz w:val="22"/>
            <w:szCs w:val="22"/>
            <w:lang w:eastAsia="de-CH"/>
          </w:rPr>
          <w:tab/>
        </w:r>
        <w:r w:rsidR="003C1012" w:rsidRPr="00601158">
          <w:rPr>
            <w:rStyle w:val="Hyperlink"/>
            <w:noProof/>
          </w:rPr>
          <w:t>Auftrag und Vorgehen</w:t>
        </w:r>
        <w:r w:rsidR="003C1012">
          <w:rPr>
            <w:noProof/>
            <w:webHidden/>
          </w:rPr>
          <w:tab/>
        </w:r>
        <w:r w:rsidR="003C1012">
          <w:rPr>
            <w:noProof/>
            <w:webHidden/>
          </w:rPr>
          <w:fldChar w:fldCharType="begin"/>
        </w:r>
        <w:r w:rsidR="003C1012">
          <w:rPr>
            <w:noProof/>
            <w:webHidden/>
          </w:rPr>
          <w:instrText xml:space="preserve"> PAGEREF _Toc356294686 \h </w:instrText>
        </w:r>
        <w:r w:rsidR="003C1012">
          <w:rPr>
            <w:noProof/>
            <w:webHidden/>
          </w:rPr>
        </w:r>
        <w:r w:rsidR="003C1012">
          <w:rPr>
            <w:noProof/>
            <w:webHidden/>
          </w:rPr>
          <w:fldChar w:fldCharType="separate"/>
        </w:r>
        <w:r w:rsidR="00FB4B41">
          <w:rPr>
            <w:noProof/>
            <w:webHidden/>
          </w:rPr>
          <w:t>5</w:t>
        </w:r>
        <w:r w:rsidR="003C1012">
          <w:rPr>
            <w:noProof/>
            <w:webHidden/>
          </w:rPr>
          <w:fldChar w:fldCharType="end"/>
        </w:r>
      </w:hyperlink>
    </w:p>
    <w:p w14:paraId="4D7B48A1" w14:textId="77777777" w:rsidR="003C1012" w:rsidRDefault="00B47352">
      <w:pPr>
        <w:pStyle w:val="Verzeichnis2"/>
        <w:rPr>
          <w:rFonts w:asciiTheme="minorHAnsi" w:eastAsiaTheme="minorEastAsia" w:hAnsiTheme="minorHAnsi" w:cstheme="minorBidi"/>
          <w:noProof/>
          <w:sz w:val="22"/>
          <w:szCs w:val="22"/>
          <w:lang w:eastAsia="de-CH"/>
        </w:rPr>
      </w:pPr>
      <w:hyperlink w:anchor="_Toc356294687" w:history="1">
        <w:r w:rsidR="003C1012" w:rsidRPr="00601158">
          <w:rPr>
            <w:rStyle w:val="Hyperlink"/>
            <w:noProof/>
          </w:rPr>
          <w:t>1.1</w:t>
        </w:r>
        <w:r w:rsidR="003C1012">
          <w:rPr>
            <w:rFonts w:asciiTheme="minorHAnsi" w:eastAsiaTheme="minorEastAsia" w:hAnsiTheme="minorHAnsi" w:cstheme="minorBidi"/>
            <w:noProof/>
            <w:sz w:val="22"/>
            <w:szCs w:val="22"/>
            <w:lang w:eastAsia="de-CH"/>
          </w:rPr>
          <w:tab/>
        </w:r>
        <w:r w:rsidR="003C1012" w:rsidRPr="00601158">
          <w:rPr>
            <w:rStyle w:val="Hyperlink"/>
            <w:noProof/>
          </w:rPr>
          <w:t>Ausgangslage</w:t>
        </w:r>
        <w:r w:rsidR="003C1012">
          <w:rPr>
            <w:noProof/>
            <w:webHidden/>
          </w:rPr>
          <w:tab/>
        </w:r>
        <w:r w:rsidR="003C1012">
          <w:rPr>
            <w:noProof/>
            <w:webHidden/>
          </w:rPr>
          <w:fldChar w:fldCharType="begin"/>
        </w:r>
        <w:r w:rsidR="003C1012">
          <w:rPr>
            <w:noProof/>
            <w:webHidden/>
          </w:rPr>
          <w:instrText xml:space="preserve"> PAGEREF _Toc356294687 \h </w:instrText>
        </w:r>
        <w:r w:rsidR="003C1012">
          <w:rPr>
            <w:noProof/>
            <w:webHidden/>
          </w:rPr>
        </w:r>
        <w:r w:rsidR="003C1012">
          <w:rPr>
            <w:noProof/>
            <w:webHidden/>
          </w:rPr>
          <w:fldChar w:fldCharType="separate"/>
        </w:r>
        <w:r w:rsidR="00FB4B41">
          <w:rPr>
            <w:noProof/>
            <w:webHidden/>
          </w:rPr>
          <w:t>5</w:t>
        </w:r>
        <w:r w:rsidR="003C1012">
          <w:rPr>
            <w:noProof/>
            <w:webHidden/>
          </w:rPr>
          <w:fldChar w:fldCharType="end"/>
        </w:r>
      </w:hyperlink>
    </w:p>
    <w:p w14:paraId="0D9E22C8" w14:textId="77777777" w:rsidR="003C1012" w:rsidRDefault="00B47352">
      <w:pPr>
        <w:pStyle w:val="Verzeichnis2"/>
        <w:rPr>
          <w:rFonts w:asciiTheme="minorHAnsi" w:eastAsiaTheme="minorEastAsia" w:hAnsiTheme="minorHAnsi" w:cstheme="minorBidi"/>
          <w:noProof/>
          <w:sz w:val="22"/>
          <w:szCs w:val="22"/>
          <w:lang w:eastAsia="de-CH"/>
        </w:rPr>
      </w:pPr>
      <w:hyperlink w:anchor="_Toc356294688" w:history="1">
        <w:r w:rsidR="003C1012" w:rsidRPr="00601158">
          <w:rPr>
            <w:rStyle w:val="Hyperlink"/>
            <w:noProof/>
          </w:rPr>
          <w:t>1.2</w:t>
        </w:r>
        <w:r w:rsidR="003C1012">
          <w:rPr>
            <w:rFonts w:asciiTheme="minorHAnsi" w:eastAsiaTheme="minorEastAsia" w:hAnsiTheme="minorHAnsi" w:cstheme="minorBidi"/>
            <w:noProof/>
            <w:sz w:val="22"/>
            <w:szCs w:val="22"/>
            <w:lang w:eastAsia="de-CH"/>
          </w:rPr>
          <w:tab/>
        </w:r>
        <w:r w:rsidR="003C1012" w:rsidRPr="00601158">
          <w:rPr>
            <w:rStyle w:val="Hyperlink"/>
            <w:noProof/>
          </w:rPr>
          <w:t>Prüfungsziel</w:t>
        </w:r>
        <w:r w:rsidR="003C1012">
          <w:rPr>
            <w:noProof/>
            <w:webHidden/>
          </w:rPr>
          <w:tab/>
        </w:r>
        <w:r w:rsidR="003C1012">
          <w:rPr>
            <w:noProof/>
            <w:webHidden/>
          </w:rPr>
          <w:fldChar w:fldCharType="begin"/>
        </w:r>
        <w:r w:rsidR="003C1012">
          <w:rPr>
            <w:noProof/>
            <w:webHidden/>
          </w:rPr>
          <w:instrText xml:space="preserve"> PAGEREF _Toc356294688 \h </w:instrText>
        </w:r>
        <w:r w:rsidR="003C1012">
          <w:rPr>
            <w:noProof/>
            <w:webHidden/>
          </w:rPr>
        </w:r>
        <w:r w:rsidR="003C1012">
          <w:rPr>
            <w:noProof/>
            <w:webHidden/>
          </w:rPr>
          <w:fldChar w:fldCharType="separate"/>
        </w:r>
        <w:r w:rsidR="00FB4B41">
          <w:rPr>
            <w:noProof/>
            <w:webHidden/>
          </w:rPr>
          <w:t>5</w:t>
        </w:r>
        <w:r w:rsidR="003C1012">
          <w:rPr>
            <w:noProof/>
            <w:webHidden/>
          </w:rPr>
          <w:fldChar w:fldCharType="end"/>
        </w:r>
      </w:hyperlink>
    </w:p>
    <w:p w14:paraId="06A9016A" w14:textId="77777777" w:rsidR="003C1012" w:rsidRDefault="00B47352">
      <w:pPr>
        <w:pStyle w:val="Verzeichnis2"/>
        <w:rPr>
          <w:rFonts w:asciiTheme="minorHAnsi" w:eastAsiaTheme="minorEastAsia" w:hAnsiTheme="minorHAnsi" w:cstheme="minorBidi"/>
          <w:noProof/>
          <w:sz w:val="22"/>
          <w:szCs w:val="22"/>
          <w:lang w:eastAsia="de-CH"/>
        </w:rPr>
      </w:pPr>
      <w:hyperlink w:anchor="_Toc356294689" w:history="1">
        <w:r w:rsidR="003C1012" w:rsidRPr="00601158">
          <w:rPr>
            <w:rStyle w:val="Hyperlink"/>
            <w:noProof/>
          </w:rPr>
          <w:t>1.3</w:t>
        </w:r>
        <w:r w:rsidR="003C1012">
          <w:rPr>
            <w:rFonts w:asciiTheme="minorHAnsi" w:eastAsiaTheme="minorEastAsia" w:hAnsiTheme="minorHAnsi" w:cstheme="minorBidi"/>
            <w:noProof/>
            <w:sz w:val="22"/>
            <w:szCs w:val="22"/>
            <w:lang w:eastAsia="de-CH"/>
          </w:rPr>
          <w:tab/>
        </w:r>
        <w:r w:rsidR="003C1012" w:rsidRPr="00601158">
          <w:rPr>
            <w:rStyle w:val="Hyperlink"/>
            <w:noProof/>
          </w:rPr>
          <w:t>Prüfungsumfang und -grundsätze</w:t>
        </w:r>
        <w:r w:rsidR="003C1012">
          <w:rPr>
            <w:noProof/>
            <w:webHidden/>
          </w:rPr>
          <w:tab/>
        </w:r>
        <w:r w:rsidR="003C1012">
          <w:rPr>
            <w:noProof/>
            <w:webHidden/>
          </w:rPr>
          <w:fldChar w:fldCharType="begin"/>
        </w:r>
        <w:r w:rsidR="003C1012">
          <w:rPr>
            <w:noProof/>
            <w:webHidden/>
          </w:rPr>
          <w:instrText xml:space="preserve"> PAGEREF _Toc356294689 \h </w:instrText>
        </w:r>
        <w:r w:rsidR="003C1012">
          <w:rPr>
            <w:noProof/>
            <w:webHidden/>
          </w:rPr>
        </w:r>
        <w:r w:rsidR="003C1012">
          <w:rPr>
            <w:noProof/>
            <w:webHidden/>
          </w:rPr>
          <w:fldChar w:fldCharType="separate"/>
        </w:r>
        <w:r w:rsidR="00FB4B41">
          <w:rPr>
            <w:noProof/>
            <w:webHidden/>
          </w:rPr>
          <w:t>5</w:t>
        </w:r>
        <w:r w:rsidR="003C1012">
          <w:rPr>
            <w:noProof/>
            <w:webHidden/>
          </w:rPr>
          <w:fldChar w:fldCharType="end"/>
        </w:r>
      </w:hyperlink>
    </w:p>
    <w:p w14:paraId="1CA8002C" w14:textId="77777777" w:rsidR="003C1012" w:rsidRDefault="00B47352">
      <w:pPr>
        <w:pStyle w:val="Verzeichnis2"/>
        <w:rPr>
          <w:rFonts w:asciiTheme="minorHAnsi" w:eastAsiaTheme="minorEastAsia" w:hAnsiTheme="minorHAnsi" w:cstheme="minorBidi"/>
          <w:noProof/>
          <w:sz w:val="22"/>
          <w:szCs w:val="22"/>
          <w:lang w:eastAsia="de-CH"/>
        </w:rPr>
      </w:pPr>
      <w:hyperlink w:anchor="_Toc356294690" w:history="1">
        <w:r w:rsidR="003C1012" w:rsidRPr="00601158">
          <w:rPr>
            <w:rStyle w:val="Hyperlink"/>
            <w:noProof/>
          </w:rPr>
          <w:t>1.4</w:t>
        </w:r>
        <w:r w:rsidR="003C1012">
          <w:rPr>
            <w:rFonts w:asciiTheme="minorHAnsi" w:eastAsiaTheme="minorEastAsia" w:hAnsiTheme="minorHAnsi" w:cstheme="minorBidi"/>
            <w:noProof/>
            <w:sz w:val="22"/>
            <w:szCs w:val="22"/>
            <w:lang w:eastAsia="de-CH"/>
          </w:rPr>
          <w:tab/>
        </w:r>
        <w:r w:rsidR="003C1012" w:rsidRPr="00601158">
          <w:rPr>
            <w:rStyle w:val="Hyperlink"/>
            <w:noProof/>
          </w:rPr>
          <w:t>Unterlagen und Auskunftserteilung</w:t>
        </w:r>
        <w:r w:rsidR="003C1012">
          <w:rPr>
            <w:noProof/>
            <w:webHidden/>
          </w:rPr>
          <w:tab/>
        </w:r>
        <w:r w:rsidR="003C1012">
          <w:rPr>
            <w:noProof/>
            <w:webHidden/>
          </w:rPr>
          <w:fldChar w:fldCharType="begin"/>
        </w:r>
        <w:r w:rsidR="003C1012">
          <w:rPr>
            <w:noProof/>
            <w:webHidden/>
          </w:rPr>
          <w:instrText xml:space="preserve"> PAGEREF _Toc356294690 \h </w:instrText>
        </w:r>
        <w:r w:rsidR="003C1012">
          <w:rPr>
            <w:noProof/>
            <w:webHidden/>
          </w:rPr>
        </w:r>
        <w:r w:rsidR="003C1012">
          <w:rPr>
            <w:noProof/>
            <w:webHidden/>
          </w:rPr>
          <w:fldChar w:fldCharType="separate"/>
        </w:r>
        <w:r w:rsidR="00FB4B41">
          <w:rPr>
            <w:noProof/>
            <w:webHidden/>
          </w:rPr>
          <w:t>5</w:t>
        </w:r>
        <w:r w:rsidR="003C1012">
          <w:rPr>
            <w:noProof/>
            <w:webHidden/>
          </w:rPr>
          <w:fldChar w:fldCharType="end"/>
        </w:r>
      </w:hyperlink>
    </w:p>
    <w:p w14:paraId="741B6874" w14:textId="77777777" w:rsidR="003C1012" w:rsidRDefault="00B47352">
      <w:pPr>
        <w:pStyle w:val="Verzeichnis1"/>
        <w:rPr>
          <w:rFonts w:asciiTheme="minorHAnsi" w:eastAsiaTheme="minorEastAsia" w:hAnsiTheme="minorHAnsi" w:cstheme="minorBidi"/>
          <w:b w:val="0"/>
          <w:noProof/>
          <w:sz w:val="22"/>
          <w:szCs w:val="22"/>
          <w:lang w:eastAsia="de-CH"/>
        </w:rPr>
      </w:pPr>
      <w:hyperlink w:anchor="_Toc356294691" w:history="1">
        <w:r w:rsidR="003C1012" w:rsidRPr="00601158">
          <w:rPr>
            <w:rStyle w:val="Hyperlink"/>
            <w:noProof/>
          </w:rPr>
          <w:t>2</w:t>
        </w:r>
        <w:r w:rsidR="003C1012">
          <w:rPr>
            <w:rFonts w:asciiTheme="minorHAnsi" w:eastAsiaTheme="minorEastAsia" w:hAnsiTheme="minorHAnsi" w:cstheme="minorBidi"/>
            <w:b w:val="0"/>
            <w:noProof/>
            <w:sz w:val="22"/>
            <w:szCs w:val="22"/>
            <w:lang w:eastAsia="de-CH"/>
          </w:rPr>
          <w:tab/>
        </w:r>
        <w:r w:rsidR="003C1012" w:rsidRPr="00601158">
          <w:rPr>
            <w:rStyle w:val="Hyperlink"/>
            <w:noProof/>
          </w:rPr>
          <w:t>Reorganisation in den Funktionsbereichen Altlastenbearbeitung und Abgabeerhebung</w:t>
        </w:r>
        <w:r w:rsidR="003C1012">
          <w:rPr>
            <w:noProof/>
            <w:webHidden/>
          </w:rPr>
          <w:tab/>
        </w:r>
        <w:r w:rsidR="003C1012">
          <w:rPr>
            <w:noProof/>
            <w:webHidden/>
          </w:rPr>
          <w:fldChar w:fldCharType="begin"/>
        </w:r>
        <w:r w:rsidR="003C1012">
          <w:rPr>
            <w:noProof/>
            <w:webHidden/>
          </w:rPr>
          <w:instrText xml:space="preserve"> PAGEREF _Toc356294691 \h </w:instrText>
        </w:r>
        <w:r w:rsidR="003C1012">
          <w:rPr>
            <w:noProof/>
            <w:webHidden/>
          </w:rPr>
        </w:r>
        <w:r w:rsidR="003C1012">
          <w:rPr>
            <w:noProof/>
            <w:webHidden/>
          </w:rPr>
          <w:fldChar w:fldCharType="separate"/>
        </w:r>
        <w:r w:rsidR="00FB4B41">
          <w:rPr>
            <w:noProof/>
            <w:webHidden/>
          </w:rPr>
          <w:t>6</w:t>
        </w:r>
        <w:r w:rsidR="003C1012">
          <w:rPr>
            <w:noProof/>
            <w:webHidden/>
          </w:rPr>
          <w:fldChar w:fldCharType="end"/>
        </w:r>
      </w:hyperlink>
    </w:p>
    <w:p w14:paraId="5A832D7D" w14:textId="77777777" w:rsidR="003C1012" w:rsidRDefault="00B47352">
      <w:pPr>
        <w:pStyle w:val="Verzeichnis1"/>
        <w:rPr>
          <w:rFonts w:asciiTheme="minorHAnsi" w:eastAsiaTheme="minorEastAsia" w:hAnsiTheme="minorHAnsi" w:cstheme="minorBidi"/>
          <w:b w:val="0"/>
          <w:noProof/>
          <w:sz w:val="22"/>
          <w:szCs w:val="22"/>
          <w:lang w:eastAsia="de-CH"/>
        </w:rPr>
      </w:pPr>
      <w:hyperlink w:anchor="_Toc356294692" w:history="1">
        <w:r w:rsidR="003C1012" w:rsidRPr="00601158">
          <w:rPr>
            <w:rStyle w:val="Hyperlink"/>
            <w:noProof/>
          </w:rPr>
          <w:t>3</w:t>
        </w:r>
        <w:r w:rsidR="003C1012">
          <w:rPr>
            <w:rFonts w:asciiTheme="minorHAnsi" w:eastAsiaTheme="minorEastAsia" w:hAnsiTheme="minorHAnsi" w:cstheme="minorBidi"/>
            <w:b w:val="0"/>
            <w:noProof/>
            <w:sz w:val="22"/>
            <w:szCs w:val="22"/>
            <w:lang w:eastAsia="de-CH"/>
          </w:rPr>
          <w:tab/>
        </w:r>
        <w:r w:rsidR="003C1012" w:rsidRPr="00601158">
          <w:rPr>
            <w:rStyle w:val="Hyperlink"/>
            <w:noProof/>
          </w:rPr>
          <w:t>Die Altlastenbearbeitung im Überblick</w:t>
        </w:r>
        <w:r w:rsidR="003C1012">
          <w:rPr>
            <w:noProof/>
            <w:webHidden/>
          </w:rPr>
          <w:tab/>
        </w:r>
        <w:r w:rsidR="003C1012">
          <w:rPr>
            <w:noProof/>
            <w:webHidden/>
          </w:rPr>
          <w:fldChar w:fldCharType="begin"/>
        </w:r>
        <w:r w:rsidR="003C1012">
          <w:rPr>
            <w:noProof/>
            <w:webHidden/>
          </w:rPr>
          <w:instrText xml:space="preserve"> PAGEREF _Toc356294692 \h </w:instrText>
        </w:r>
        <w:r w:rsidR="003C1012">
          <w:rPr>
            <w:noProof/>
            <w:webHidden/>
          </w:rPr>
        </w:r>
        <w:r w:rsidR="003C1012">
          <w:rPr>
            <w:noProof/>
            <w:webHidden/>
          </w:rPr>
          <w:fldChar w:fldCharType="separate"/>
        </w:r>
        <w:r w:rsidR="00FB4B41">
          <w:rPr>
            <w:noProof/>
            <w:webHidden/>
          </w:rPr>
          <w:t>6</w:t>
        </w:r>
        <w:r w:rsidR="003C1012">
          <w:rPr>
            <w:noProof/>
            <w:webHidden/>
          </w:rPr>
          <w:fldChar w:fldCharType="end"/>
        </w:r>
      </w:hyperlink>
    </w:p>
    <w:p w14:paraId="7574FE48" w14:textId="77777777" w:rsidR="003C1012" w:rsidRDefault="00B47352">
      <w:pPr>
        <w:pStyle w:val="Verzeichnis2"/>
        <w:rPr>
          <w:rFonts w:asciiTheme="minorHAnsi" w:eastAsiaTheme="minorEastAsia" w:hAnsiTheme="minorHAnsi" w:cstheme="minorBidi"/>
          <w:noProof/>
          <w:sz w:val="22"/>
          <w:szCs w:val="22"/>
          <w:lang w:eastAsia="de-CH"/>
        </w:rPr>
      </w:pPr>
      <w:hyperlink w:anchor="_Toc356294693" w:history="1">
        <w:r w:rsidR="003C1012" w:rsidRPr="00601158">
          <w:rPr>
            <w:rStyle w:val="Hyperlink"/>
            <w:noProof/>
          </w:rPr>
          <w:t>3.1</w:t>
        </w:r>
        <w:r w:rsidR="003C1012">
          <w:rPr>
            <w:rFonts w:asciiTheme="minorHAnsi" w:eastAsiaTheme="minorEastAsia" w:hAnsiTheme="minorHAnsi" w:cstheme="minorBidi"/>
            <w:noProof/>
            <w:sz w:val="22"/>
            <w:szCs w:val="22"/>
            <w:lang w:eastAsia="de-CH"/>
          </w:rPr>
          <w:tab/>
        </w:r>
        <w:r w:rsidR="003C1012" w:rsidRPr="00601158">
          <w:rPr>
            <w:rStyle w:val="Hyperlink"/>
            <w:noProof/>
          </w:rPr>
          <w:t>Rollenverteilung in der Altlastenbearbeitung</w:t>
        </w:r>
        <w:r w:rsidR="003C1012">
          <w:rPr>
            <w:noProof/>
            <w:webHidden/>
          </w:rPr>
          <w:tab/>
        </w:r>
        <w:r w:rsidR="003C1012">
          <w:rPr>
            <w:noProof/>
            <w:webHidden/>
          </w:rPr>
          <w:fldChar w:fldCharType="begin"/>
        </w:r>
        <w:r w:rsidR="003C1012">
          <w:rPr>
            <w:noProof/>
            <w:webHidden/>
          </w:rPr>
          <w:instrText xml:space="preserve"> PAGEREF _Toc356294693 \h </w:instrText>
        </w:r>
        <w:r w:rsidR="003C1012">
          <w:rPr>
            <w:noProof/>
            <w:webHidden/>
          </w:rPr>
        </w:r>
        <w:r w:rsidR="003C1012">
          <w:rPr>
            <w:noProof/>
            <w:webHidden/>
          </w:rPr>
          <w:fldChar w:fldCharType="separate"/>
        </w:r>
        <w:r w:rsidR="00FB4B41">
          <w:rPr>
            <w:noProof/>
            <w:webHidden/>
          </w:rPr>
          <w:t>7</w:t>
        </w:r>
        <w:r w:rsidR="003C1012">
          <w:rPr>
            <w:noProof/>
            <w:webHidden/>
          </w:rPr>
          <w:fldChar w:fldCharType="end"/>
        </w:r>
      </w:hyperlink>
    </w:p>
    <w:p w14:paraId="244C0340" w14:textId="77777777" w:rsidR="003C1012" w:rsidRDefault="00B47352">
      <w:pPr>
        <w:pStyle w:val="Verzeichnis1"/>
        <w:rPr>
          <w:rFonts w:asciiTheme="minorHAnsi" w:eastAsiaTheme="minorEastAsia" w:hAnsiTheme="minorHAnsi" w:cstheme="minorBidi"/>
          <w:b w:val="0"/>
          <w:noProof/>
          <w:sz w:val="22"/>
          <w:szCs w:val="22"/>
          <w:lang w:eastAsia="de-CH"/>
        </w:rPr>
      </w:pPr>
      <w:hyperlink w:anchor="_Toc356294694" w:history="1">
        <w:r w:rsidR="003C1012" w:rsidRPr="00601158">
          <w:rPr>
            <w:rStyle w:val="Hyperlink"/>
            <w:noProof/>
          </w:rPr>
          <w:t>4</w:t>
        </w:r>
        <w:r w:rsidR="003C1012">
          <w:rPr>
            <w:rFonts w:asciiTheme="minorHAnsi" w:eastAsiaTheme="minorEastAsia" w:hAnsiTheme="minorHAnsi" w:cstheme="minorBidi"/>
            <w:b w:val="0"/>
            <w:noProof/>
            <w:sz w:val="22"/>
            <w:szCs w:val="22"/>
            <w:lang w:eastAsia="de-CH"/>
          </w:rPr>
          <w:tab/>
        </w:r>
        <w:r w:rsidR="003C1012" w:rsidRPr="00601158">
          <w:rPr>
            <w:rStyle w:val="Hyperlink"/>
            <w:noProof/>
          </w:rPr>
          <w:t>Vollzug der Altlastenbearbeitung</w:t>
        </w:r>
        <w:r w:rsidR="003C1012">
          <w:rPr>
            <w:noProof/>
            <w:webHidden/>
          </w:rPr>
          <w:tab/>
        </w:r>
        <w:r w:rsidR="003C1012">
          <w:rPr>
            <w:noProof/>
            <w:webHidden/>
          </w:rPr>
          <w:fldChar w:fldCharType="begin"/>
        </w:r>
        <w:r w:rsidR="003C1012">
          <w:rPr>
            <w:noProof/>
            <w:webHidden/>
          </w:rPr>
          <w:instrText xml:space="preserve"> PAGEREF _Toc356294694 \h </w:instrText>
        </w:r>
        <w:r w:rsidR="003C1012">
          <w:rPr>
            <w:noProof/>
            <w:webHidden/>
          </w:rPr>
        </w:r>
        <w:r w:rsidR="003C1012">
          <w:rPr>
            <w:noProof/>
            <w:webHidden/>
          </w:rPr>
          <w:fldChar w:fldCharType="separate"/>
        </w:r>
        <w:r w:rsidR="00FB4B41">
          <w:rPr>
            <w:noProof/>
            <w:webHidden/>
          </w:rPr>
          <w:t>8</w:t>
        </w:r>
        <w:r w:rsidR="003C1012">
          <w:rPr>
            <w:noProof/>
            <w:webHidden/>
          </w:rPr>
          <w:fldChar w:fldCharType="end"/>
        </w:r>
      </w:hyperlink>
    </w:p>
    <w:p w14:paraId="132561BB" w14:textId="77777777" w:rsidR="003C1012" w:rsidRDefault="00B47352">
      <w:pPr>
        <w:pStyle w:val="Verzeichnis2"/>
        <w:rPr>
          <w:rFonts w:asciiTheme="minorHAnsi" w:eastAsiaTheme="minorEastAsia" w:hAnsiTheme="minorHAnsi" w:cstheme="minorBidi"/>
          <w:noProof/>
          <w:sz w:val="22"/>
          <w:szCs w:val="22"/>
          <w:lang w:eastAsia="de-CH"/>
        </w:rPr>
      </w:pPr>
      <w:hyperlink w:anchor="_Toc356294695" w:history="1">
        <w:r w:rsidR="003C1012" w:rsidRPr="00601158">
          <w:rPr>
            <w:rStyle w:val="Hyperlink"/>
            <w:noProof/>
          </w:rPr>
          <w:t>4.1</w:t>
        </w:r>
        <w:r w:rsidR="003C1012">
          <w:rPr>
            <w:rFonts w:asciiTheme="minorHAnsi" w:eastAsiaTheme="minorEastAsia" w:hAnsiTheme="minorHAnsi" w:cstheme="minorBidi"/>
            <w:noProof/>
            <w:sz w:val="22"/>
            <w:szCs w:val="22"/>
            <w:lang w:eastAsia="de-CH"/>
          </w:rPr>
          <w:tab/>
        </w:r>
        <w:r w:rsidR="003C1012" w:rsidRPr="00601158">
          <w:rPr>
            <w:rStyle w:val="Hyperlink"/>
            <w:noProof/>
          </w:rPr>
          <w:t>Kataster der belasteten Standorte</w:t>
        </w:r>
        <w:r w:rsidR="003C1012">
          <w:rPr>
            <w:noProof/>
            <w:webHidden/>
          </w:rPr>
          <w:tab/>
        </w:r>
        <w:r w:rsidR="003C1012">
          <w:rPr>
            <w:noProof/>
            <w:webHidden/>
          </w:rPr>
          <w:fldChar w:fldCharType="begin"/>
        </w:r>
        <w:r w:rsidR="003C1012">
          <w:rPr>
            <w:noProof/>
            <w:webHidden/>
          </w:rPr>
          <w:instrText xml:space="preserve"> PAGEREF _Toc356294695 \h </w:instrText>
        </w:r>
        <w:r w:rsidR="003C1012">
          <w:rPr>
            <w:noProof/>
            <w:webHidden/>
          </w:rPr>
        </w:r>
        <w:r w:rsidR="003C1012">
          <w:rPr>
            <w:noProof/>
            <w:webHidden/>
          </w:rPr>
          <w:fldChar w:fldCharType="separate"/>
        </w:r>
        <w:r w:rsidR="00FB4B41">
          <w:rPr>
            <w:noProof/>
            <w:webHidden/>
          </w:rPr>
          <w:t>9</w:t>
        </w:r>
        <w:r w:rsidR="003C1012">
          <w:rPr>
            <w:noProof/>
            <w:webHidden/>
          </w:rPr>
          <w:fldChar w:fldCharType="end"/>
        </w:r>
      </w:hyperlink>
    </w:p>
    <w:p w14:paraId="1C22EE3F" w14:textId="77777777" w:rsidR="003C1012" w:rsidRDefault="00B47352">
      <w:pPr>
        <w:pStyle w:val="Verzeichnis2"/>
        <w:rPr>
          <w:rFonts w:asciiTheme="minorHAnsi" w:eastAsiaTheme="minorEastAsia" w:hAnsiTheme="minorHAnsi" w:cstheme="minorBidi"/>
          <w:noProof/>
          <w:sz w:val="22"/>
          <w:szCs w:val="22"/>
          <w:lang w:eastAsia="de-CH"/>
        </w:rPr>
      </w:pPr>
      <w:hyperlink w:anchor="_Toc356294696" w:history="1">
        <w:r w:rsidR="003C1012" w:rsidRPr="00601158">
          <w:rPr>
            <w:rStyle w:val="Hyperlink"/>
            <w:noProof/>
          </w:rPr>
          <w:t>4.2</w:t>
        </w:r>
        <w:r w:rsidR="003C1012">
          <w:rPr>
            <w:rFonts w:asciiTheme="minorHAnsi" w:eastAsiaTheme="minorEastAsia" w:hAnsiTheme="minorHAnsi" w:cstheme="minorBidi"/>
            <w:noProof/>
            <w:sz w:val="22"/>
            <w:szCs w:val="22"/>
            <w:lang w:eastAsia="de-CH"/>
          </w:rPr>
          <w:tab/>
        </w:r>
        <w:r w:rsidR="003C1012" w:rsidRPr="00601158">
          <w:rPr>
            <w:rStyle w:val="Hyperlink"/>
            <w:noProof/>
          </w:rPr>
          <w:t>Aktueller Stand bei den Schiessanlagenstandorten</w:t>
        </w:r>
        <w:r w:rsidR="003C1012">
          <w:rPr>
            <w:noProof/>
            <w:webHidden/>
          </w:rPr>
          <w:tab/>
        </w:r>
        <w:r w:rsidR="003C1012">
          <w:rPr>
            <w:noProof/>
            <w:webHidden/>
          </w:rPr>
          <w:fldChar w:fldCharType="begin"/>
        </w:r>
        <w:r w:rsidR="003C1012">
          <w:rPr>
            <w:noProof/>
            <w:webHidden/>
          </w:rPr>
          <w:instrText xml:space="preserve"> PAGEREF _Toc356294696 \h </w:instrText>
        </w:r>
        <w:r w:rsidR="003C1012">
          <w:rPr>
            <w:noProof/>
            <w:webHidden/>
          </w:rPr>
        </w:r>
        <w:r w:rsidR="003C1012">
          <w:rPr>
            <w:noProof/>
            <w:webHidden/>
          </w:rPr>
          <w:fldChar w:fldCharType="separate"/>
        </w:r>
        <w:r w:rsidR="00FB4B41">
          <w:rPr>
            <w:noProof/>
            <w:webHidden/>
          </w:rPr>
          <w:t>10</w:t>
        </w:r>
        <w:r w:rsidR="003C1012">
          <w:rPr>
            <w:noProof/>
            <w:webHidden/>
          </w:rPr>
          <w:fldChar w:fldCharType="end"/>
        </w:r>
      </w:hyperlink>
    </w:p>
    <w:p w14:paraId="031A99EB" w14:textId="77777777" w:rsidR="003C1012" w:rsidRDefault="00B47352">
      <w:pPr>
        <w:pStyle w:val="Verzeichnis1"/>
        <w:rPr>
          <w:rFonts w:asciiTheme="minorHAnsi" w:eastAsiaTheme="minorEastAsia" w:hAnsiTheme="minorHAnsi" w:cstheme="minorBidi"/>
          <w:b w:val="0"/>
          <w:noProof/>
          <w:sz w:val="22"/>
          <w:szCs w:val="22"/>
          <w:lang w:eastAsia="de-CH"/>
        </w:rPr>
      </w:pPr>
      <w:hyperlink w:anchor="_Toc356294697" w:history="1">
        <w:r w:rsidR="003C1012" w:rsidRPr="00601158">
          <w:rPr>
            <w:rStyle w:val="Hyperlink"/>
            <w:noProof/>
          </w:rPr>
          <w:t>5</w:t>
        </w:r>
        <w:r w:rsidR="003C1012">
          <w:rPr>
            <w:rFonts w:asciiTheme="minorHAnsi" w:eastAsiaTheme="minorEastAsia" w:hAnsiTheme="minorHAnsi" w:cstheme="minorBidi"/>
            <w:b w:val="0"/>
            <w:noProof/>
            <w:sz w:val="22"/>
            <w:szCs w:val="22"/>
            <w:lang w:eastAsia="de-CH"/>
          </w:rPr>
          <w:tab/>
        </w:r>
        <w:r w:rsidR="003C1012" w:rsidRPr="00601158">
          <w:rPr>
            <w:rStyle w:val="Hyperlink"/>
            <w:noProof/>
          </w:rPr>
          <w:t>Projektprüfungen im Bereich Abgeltungen für Sanierungsmassnahmen</w:t>
        </w:r>
        <w:r w:rsidR="003C1012">
          <w:rPr>
            <w:noProof/>
            <w:webHidden/>
          </w:rPr>
          <w:tab/>
        </w:r>
        <w:r w:rsidR="003C1012">
          <w:rPr>
            <w:noProof/>
            <w:webHidden/>
          </w:rPr>
          <w:fldChar w:fldCharType="begin"/>
        </w:r>
        <w:r w:rsidR="003C1012">
          <w:rPr>
            <w:noProof/>
            <w:webHidden/>
          </w:rPr>
          <w:instrText xml:space="preserve"> PAGEREF _Toc356294697 \h </w:instrText>
        </w:r>
        <w:r w:rsidR="003C1012">
          <w:rPr>
            <w:noProof/>
            <w:webHidden/>
          </w:rPr>
        </w:r>
        <w:r w:rsidR="003C1012">
          <w:rPr>
            <w:noProof/>
            <w:webHidden/>
          </w:rPr>
          <w:fldChar w:fldCharType="separate"/>
        </w:r>
        <w:r w:rsidR="00FB4B41">
          <w:rPr>
            <w:noProof/>
            <w:webHidden/>
          </w:rPr>
          <w:t>10</w:t>
        </w:r>
        <w:r w:rsidR="003C1012">
          <w:rPr>
            <w:noProof/>
            <w:webHidden/>
          </w:rPr>
          <w:fldChar w:fldCharType="end"/>
        </w:r>
      </w:hyperlink>
    </w:p>
    <w:p w14:paraId="2E8F743C" w14:textId="77777777" w:rsidR="003C1012" w:rsidRDefault="00B47352">
      <w:pPr>
        <w:pStyle w:val="Verzeichnis2"/>
        <w:rPr>
          <w:rFonts w:asciiTheme="minorHAnsi" w:eastAsiaTheme="minorEastAsia" w:hAnsiTheme="minorHAnsi" w:cstheme="minorBidi"/>
          <w:noProof/>
          <w:sz w:val="22"/>
          <w:szCs w:val="22"/>
          <w:lang w:eastAsia="de-CH"/>
        </w:rPr>
      </w:pPr>
      <w:hyperlink w:anchor="_Toc356294698" w:history="1">
        <w:r w:rsidR="003C1012" w:rsidRPr="00601158">
          <w:rPr>
            <w:rStyle w:val="Hyperlink"/>
            <w:noProof/>
          </w:rPr>
          <w:t>5.1</w:t>
        </w:r>
        <w:r w:rsidR="003C1012">
          <w:rPr>
            <w:rFonts w:asciiTheme="minorHAnsi" w:eastAsiaTheme="minorEastAsia" w:hAnsiTheme="minorHAnsi" w:cstheme="minorBidi"/>
            <w:noProof/>
            <w:sz w:val="22"/>
            <w:szCs w:val="22"/>
            <w:lang w:eastAsia="de-CH"/>
          </w:rPr>
          <w:tab/>
        </w:r>
        <w:r w:rsidR="003C1012" w:rsidRPr="00601158">
          <w:rPr>
            <w:rStyle w:val="Hyperlink"/>
            <w:noProof/>
          </w:rPr>
          <w:t>Sanierungsprojekt „Areal Schnepfenmatt/Canva“, Zuchwil: Dekontamination von CKW-belastetem Grundwasser</w:t>
        </w:r>
        <w:r w:rsidR="003C1012">
          <w:rPr>
            <w:noProof/>
            <w:webHidden/>
          </w:rPr>
          <w:tab/>
        </w:r>
        <w:r w:rsidR="003C1012">
          <w:rPr>
            <w:noProof/>
            <w:webHidden/>
          </w:rPr>
          <w:fldChar w:fldCharType="begin"/>
        </w:r>
        <w:r w:rsidR="003C1012">
          <w:rPr>
            <w:noProof/>
            <w:webHidden/>
          </w:rPr>
          <w:instrText xml:space="preserve"> PAGEREF _Toc356294698 \h </w:instrText>
        </w:r>
        <w:r w:rsidR="003C1012">
          <w:rPr>
            <w:noProof/>
            <w:webHidden/>
          </w:rPr>
        </w:r>
        <w:r w:rsidR="003C1012">
          <w:rPr>
            <w:noProof/>
            <w:webHidden/>
          </w:rPr>
          <w:fldChar w:fldCharType="separate"/>
        </w:r>
        <w:r w:rsidR="00FB4B41">
          <w:rPr>
            <w:noProof/>
            <w:webHidden/>
          </w:rPr>
          <w:t>11</w:t>
        </w:r>
        <w:r w:rsidR="003C1012">
          <w:rPr>
            <w:noProof/>
            <w:webHidden/>
          </w:rPr>
          <w:fldChar w:fldCharType="end"/>
        </w:r>
      </w:hyperlink>
    </w:p>
    <w:p w14:paraId="506AED8D" w14:textId="77777777" w:rsidR="003C1012" w:rsidRDefault="00B47352">
      <w:pPr>
        <w:pStyle w:val="Verzeichnis3"/>
        <w:rPr>
          <w:rFonts w:asciiTheme="minorHAnsi" w:eastAsiaTheme="minorEastAsia" w:hAnsiTheme="minorHAnsi" w:cstheme="minorBidi"/>
          <w:noProof/>
          <w:color w:val="auto"/>
          <w:sz w:val="22"/>
          <w:szCs w:val="22"/>
          <w:lang w:eastAsia="de-CH"/>
        </w:rPr>
      </w:pPr>
      <w:hyperlink w:anchor="_Toc356294699" w:history="1">
        <w:r w:rsidR="003C1012" w:rsidRPr="00601158">
          <w:rPr>
            <w:rStyle w:val="Hyperlink"/>
            <w:noProof/>
          </w:rPr>
          <w:t>5.1.1</w:t>
        </w:r>
        <w:r w:rsidR="003C1012">
          <w:rPr>
            <w:rFonts w:asciiTheme="minorHAnsi" w:eastAsiaTheme="minorEastAsia" w:hAnsiTheme="minorHAnsi" w:cstheme="minorBidi"/>
            <w:noProof/>
            <w:color w:val="auto"/>
            <w:sz w:val="22"/>
            <w:szCs w:val="22"/>
            <w:lang w:eastAsia="de-CH"/>
          </w:rPr>
          <w:tab/>
        </w:r>
        <w:r w:rsidR="003C1012" w:rsidRPr="00601158">
          <w:rPr>
            <w:rStyle w:val="Hyperlink"/>
            <w:noProof/>
          </w:rPr>
          <w:t>Zitat aus dem Regierungsratsbeschluss des Kantons Solothurn vom 23.03.2010</w:t>
        </w:r>
        <w:r w:rsidR="003C1012">
          <w:rPr>
            <w:noProof/>
            <w:webHidden/>
          </w:rPr>
          <w:tab/>
        </w:r>
        <w:r w:rsidR="003C1012">
          <w:rPr>
            <w:noProof/>
            <w:webHidden/>
          </w:rPr>
          <w:fldChar w:fldCharType="begin"/>
        </w:r>
        <w:r w:rsidR="003C1012">
          <w:rPr>
            <w:noProof/>
            <w:webHidden/>
          </w:rPr>
          <w:instrText xml:space="preserve"> PAGEREF _Toc356294699 \h </w:instrText>
        </w:r>
        <w:r w:rsidR="003C1012">
          <w:rPr>
            <w:noProof/>
            <w:webHidden/>
          </w:rPr>
        </w:r>
        <w:r w:rsidR="003C1012">
          <w:rPr>
            <w:noProof/>
            <w:webHidden/>
          </w:rPr>
          <w:fldChar w:fldCharType="separate"/>
        </w:r>
        <w:r w:rsidR="00FB4B41">
          <w:rPr>
            <w:noProof/>
            <w:webHidden/>
          </w:rPr>
          <w:t>11</w:t>
        </w:r>
        <w:r w:rsidR="003C1012">
          <w:rPr>
            <w:noProof/>
            <w:webHidden/>
          </w:rPr>
          <w:fldChar w:fldCharType="end"/>
        </w:r>
      </w:hyperlink>
    </w:p>
    <w:p w14:paraId="31281D34" w14:textId="77777777" w:rsidR="003C1012" w:rsidRDefault="00B47352">
      <w:pPr>
        <w:pStyle w:val="Verzeichnis3"/>
        <w:rPr>
          <w:rFonts w:asciiTheme="minorHAnsi" w:eastAsiaTheme="minorEastAsia" w:hAnsiTheme="minorHAnsi" w:cstheme="minorBidi"/>
          <w:noProof/>
          <w:color w:val="auto"/>
          <w:sz w:val="22"/>
          <w:szCs w:val="22"/>
          <w:lang w:eastAsia="de-CH"/>
        </w:rPr>
      </w:pPr>
      <w:hyperlink w:anchor="_Toc356294700" w:history="1">
        <w:r w:rsidR="003C1012" w:rsidRPr="00601158">
          <w:rPr>
            <w:rStyle w:val="Hyperlink"/>
            <w:noProof/>
          </w:rPr>
          <w:t>5.1.2</w:t>
        </w:r>
        <w:r w:rsidR="003C1012">
          <w:rPr>
            <w:rFonts w:asciiTheme="minorHAnsi" w:eastAsiaTheme="minorEastAsia" w:hAnsiTheme="minorHAnsi" w:cstheme="minorBidi"/>
            <w:noProof/>
            <w:color w:val="auto"/>
            <w:sz w:val="22"/>
            <w:szCs w:val="22"/>
            <w:lang w:eastAsia="de-CH"/>
          </w:rPr>
          <w:tab/>
        </w:r>
        <w:r w:rsidR="003C1012" w:rsidRPr="00601158">
          <w:rPr>
            <w:rStyle w:val="Hyperlink"/>
            <w:noProof/>
          </w:rPr>
          <w:t>Das Zusicherungsverfahren wurde regelkonform abgewickelt</w:t>
        </w:r>
        <w:r w:rsidR="003C1012">
          <w:rPr>
            <w:noProof/>
            <w:webHidden/>
          </w:rPr>
          <w:tab/>
        </w:r>
        <w:r w:rsidR="003C1012">
          <w:rPr>
            <w:noProof/>
            <w:webHidden/>
          </w:rPr>
          <w:fldChar w:fldCharType="begin"/>
        </w:r>
        <w:r w:rsidR="003C1012">
          <w:rPr>
            <w:noProof/>
            <w:webHidden/>
          </w:rPr>
          <w:instrText xml:space="preserve"> PAGEREF _Toc356294700 \h </w:instrText>
        </w:r>
        <w:r w:rsidR="003C1012">
          <w:rPr>
            <w:noProof/>
            <w:webHidden/>
          </w:rPr>
        </w:r>
        <w:r w:rsidR="003C1012">
          <w:rPr>
            <w:noProof/>
            <w:webHidden/>
          </w:rPr>
          <w:fldChar w:fldCharType="separate"/>
        </w:r>
        <w:r w:rsidR="00FB4B41">
          <w:rPr>
            <w:noProof/>
            <w:webHidden/>
          </w:rPr>
          <w:t>11</w:t>
        </w:r>
        <w:r w:rsidR="003C1012">
          <w:rPr>
            <w:noProof/>
            <w:webHidden/>
          </w:rPr>
          <w:fldChar w:fldCharType="end"/>
        </w:r>
      </w:hyperlink>
    </w:p>
    <w:p w14:paraId="6AF52BB4" w14:textId="77777777" w:rsidR="003C1012" w:rsidRDefault="00B47352">
      <w:pPr>
        <w:pStyle w:val="Verzeichnis3"/>
        <w:rPr>
          <w:rFonts w:asciiTheme="minorHAnsi" w:eastAsiaTheme="minorEastAsia" w:hAnsiTheme="minorHAnsi" w:cstheme="minorBidi"/>
          <w:noProof/>
          <w:color w:val="auto"/>
          <w:sz w:val="22"/>
          <w:szCs w:val="22"/>
          <w:lang w:eastAsia="de-CH"/>
        </w:rPr>
      </w:pPr>
      <w:hyperlink w:anchor="_Toc356294701" w:history="1">
        <w:r w:rsidR="003C1012" w:rsidRPr="00601158">
          <w:rPr>
            <w:rStyle w:val="Hyperlink"/>
            <w:noProof/>
          </w:rPr>
          <w:t>5.1.3</w:t>
        </w:r>
        <w:r w:rsidR="003C1012">
          <w:rPr>
            <w:rFonts w:asciiTheme="minorHAnsi" w:eastAsiaTheme="minorEastAsia" w:hAnsiTheme="minorHAnsi" w:cstheme="minorBidi"/>
            <w:noProof/>
            <w:color w:val="auto"/>
            <w:sz w:val="22"/>
            <w:szCs w:val="22"/>
            <w:lang w:eastAsia="de-CH"/>
          </w:rPr>
          <w:tab/>
        </w:r>
        <w:r w:rsidR="003C1012" w:rsidRPr="00601158">
          <w:rPr>
            <w:rStyle w:val="Hyperlink"/>
            <w:noProof/>
          </w:rPr>
          <w:t>Die Beitragszahlungen basieren auf nachgewiesenen Leistungen</w:t>
        </w:r>
        <w:r w:rsidR="003C1012">
          <w:rPr>
            <w:noProof/>
            <w:webHidden/>
          </w:rPr>
          <w:tab/>
        </w:r>
        <w:r w:rsidR="003C1012">
          <w:rPr>
            <w:noProof/>
            <w:webHidden/>
          </w:rPr>
          <w:fldChar w:fldCharType="begin"/>
        </w:r>
        <w:r w:rsidR="003C1012">
          <w:rPr>
            <w:noProof/>
            <w:webHidden/>
          </w:rPr>
          <w:instrText xml:space="preserve"> PAGEREF _Toc356294701 \h </w:instrText>
        </w:r>
        <w:r w:rsidR="003C1012">
          <w:rPr>
            <w:noProof/>
            <w:webHidden/>
          </w:rPr>
        </w:r>
        <w:r w:rsidR="003C1012">
          <w:rPr>
            <w:noProof/>
            <w:webHidden/>
          </w:rPr>
          <w:fldChar w:fldCharType="separate"/>
        </w:r>
        <w:r w:rsidR="00FB4B41">
          <w:rPr>
            <w:noProof/>
            <w:webHidden/>
          </w:rPr>
          <w:t>13</w:t>
        </w:r>
        <w:r w:rsidR="003C1012">
          <w:rPr>
            <w:noProof/>
            <w:webHidden/>
          </w:rPr>
          <w:fldChar w:fldCharType="end"/>
        </w:r>
      </w:hyperlink>
    </w:p>
    <w:p w14:paraId="5A9A9419" w14:textId="77777777" w:rsidR="003C1012" w:rsidRDefault="00B47352">
      <w:pPr>
        <w:pStyle w:val="Verzeichnis3"/>
        <w:rPr>
          <w:rFonts w:asciiTheme="minorHAnsi" w:eastAsiaTheme="minorEastAsia" w:hAnsiTheme="minorHAnsi" w:cstheme="minorBidi"/>
          <w:noProof/>
          <w:color w:val="auto"/>
          <w:sz w:val="22"/>
          <w:szCs w:val="22"/>
          <w:lang w:eastAsia="de-CH"/>
        </w:rPr>
      </w:pPr>
      <w:hyperlink w:anchor="_Toc356294702" w:history="1">
        <w:r w:rsidR="003C1012" w:rsidRPr="00601158">
          <w:rPr>
            <w:rStyle w:val="Hyperlink"/>
            <w:noProof/>
          </w:rPr>
          <w:t>5.1.4</w:t>
        </w:r>
        <w:r w:rsidR="003C1012">
          <w:rPr>
            <w:rFonts w:asciiTheme="minorHAnsi" w:eastAsiaTheme="minorEastAsia" w:hAnsiTheme="minorHAnsi" w:cstheme="minorBidi"/>
            <w:noProof/>
            <w:color w:val="auto"/>
            <w:sz w:val="22"/>
            <w:szCs w:val="22"/>
            <w:lang w:eastAsia="de-CH"/>
          </w:rPr>
          <w:tab/>
        </w:r>
        <w:r w:rsidR="003C1012" w:rsidRPr="00601158">
          <w:rPr>
            <w:rStyle w:val="Hyperlink"/>
            <w:noProof/>
          </w:rPr>
          <w:t>Die Sanierungsmassnahmen sind erfolgreich, eine Erweiterung ist jedoch wahrscheinlich</w:t>
        </w:r>
        <w:r w:rsidR="003C1012">
          <w:rPr>
            <w:noProof/>
            <w:webHidden/>
          </w:rPr>
          <w:tab/>
        </w:r>
        <w:r w:rsidR="003C1012">
          <w:rPr>
            <w:noProof/>
            <w:webHidden/>
          </w:rPr>
          <w:fldChar w:fldCharType="begin"/>
        </w:r>
        <w:r w:rsidR="003C1012">
          <w:rPr>
            <w:noProof/>
            <w:webHidden/>
          </w:rPr>
          <w:instrText xml:space="preserve"> PAGEREF _Toc356294702 \h </w:instrText>
        </w:r>
        <w:r w:rsidR="003C1012">
          <w:rPr>
            <w:noProof/>
            <w:webHidden/>
          </w:rPr>
        </w:r>
        <w:r w:rsidR="003C1012">
          <w:rPr>
            <w:noProof/>
            <w:webHidden/>
          </w:rPr>
          <w:fldChar w:fldCharType="separate"/>
        </w:r>
        <w:r w:rsidR="00FB4B41">
          <w:rPr>
            <w:noProof/>
            <w:webHidden/>
          </w:rPr>
          <w:t>13</w:t>
        </w:r>
        <w:r w:rsidR="003C1012">
          <w:rPr>
            <w:noProof/>
            <w:webHidden/>
          </w:rPr>
          <w:fldChar w:fldCharType="end"/>
        </w:r>
      </w:hyperlink>
    </w:p>
    <w:p w14:paraId="773058B9" w14:textId="77777777" w:rsidR="003C1012" w:rsidRDefault="00B47352">
      <w:pPr>
        <w:pStyle w:val="Verzeichnis2"/>
        <w:rPr>
          <w:rFonts w:asciiTheme="minorHAnsi" w:eastAsiaTheme="minorEastAsia" w:hAnsiTheme="minorHAnsi" w:cstheme="minorBidi"/>
          <w:noProof/>
          <w:sz w:val="22"/>
          <w:szCs w:val="22"/>
          <w:lang w:eastAsia="de-CH"/>
        </w:rPr>
      </w:pPr>
      <w:hyperlink w:anchor="_Toc356294703" w:history="1">
        <w:r w:rsidR="003C1012" w:rsidRPr="00601158">
          <w:rPr>
            <w:rStyle w:val="Hyperlink"/>
            <w:noProof/>
          </w:rPr>
          <w:t>5.2</w:t>
        </w:r>
        <w:r w:rsidR="003C1012">
          <w:rPr>
            <w:rFonts w:asciiTheme="minorHAnsi" w:eastAsiaTheme="minorEastAsia" w:hAnsiTheme="minorHAnsi" w:cstheme="minorBidi"/>
            <w:noProof/>
            <w:sz w:val="22"/>
            <w:szCs w:val="22"/>
            <w:lang w:eastAsia="de-CH"/>
          </w:rPr>
          <w:tab/>
        </w:r>
        <w:r w:rsidR="003C1012" w:rsidRPr="00601158">
          <w:rPr>
            <w:rStyle w:val="Hyperlink"/>
            <w:noProof/>
          </w:rPr>
          <w:t>Gesamtsanierung der Sondermülldeponie Kölliken: Das grösste Altlastsanierungsprojekt der Schweiz</w:t>
        </w:r>
        <w:r w:rsidR="003C1012">
          <w:rPr>
            <w:noProof/>
            <w:webHidden/>
          </w:rPr>
          <w:tab/>
        </w:r>
        <w:r w:rsidR="003C1012">
          <w:rPr>
            <w:noProof/>
            <w:webHidden/>
          </w:rPr>
          <w:fldChar w:fldCharType="begin"/>
        </w:r>
        <w:r w:rsidR="003C1012">
          <w:rPr>
            <w:noProof/>
            <w:webHidden/>
          </w:rPr>
          <w:instrText xml:space="preserve"> PAGEREF _Toc356294703 \h </w:instrText>
        </w:r>
        <w:r w:rsidR="003C1012">
          <w:rPr>
            <w:noProof/>
            <w:webHidden/>
          </w:rPr>
        </w:r>
        <w:r w:rsidR="003C1012">
          <w:rPr>
            <w:noProof/>
            <w:webHidden/>
          </w:rPr>
          <w:fldChar w:fldCharType="separate"/>
        </w:r>
        <w:r w:rsidR="00FB4B41">
          <w:rPr>
            <w:noProof/>
            <w:webHidden/>
          </w:rPr>
          <w:t>14</w:t>
        </w:r>
        <w:r w:rsidR="003C1012">
          <w:rPr>
            <w:noProof/>
            <w:webHidden/>
          </w:rPr>
          <w:fldChar w:fldCharType="end"/>
        </w:r>
      </w:hyperlink>
    </w:p>
    <w:p w14:paraId="14C8A2A7" w14:textId="77777777" w:rsidR="003C1012" w:rsidRDefault="00B47352">
      <w:pPr>
        <w:pStyle w:val="Verzeichnis3"/>
        <w:rPr>
          <w:rFonts w:asciiTheme="minorHAnsi" w:eastAsiaTheme="minorEastAsia" w:hAnsiTheme="minorHAnsi" w:cstheme="minorBidi"/>
          <w:noProof/>
          <w:color w:val="auto"/>
          <w:sz w:val="22"/>
          <w:szCs w:val="22"/>
          <w:lang w:eastAsia="de-CH"/>
        </w:rPr>
      </w:pPr>
      <w:hyperlink w:anchor="_Toc356294704" w:history="1">
        <w:r w:rsidR="003C1012" w:rsidRPr="00601158">
          <w:rPr>
            <w:rStyle w:val="Hyperlink"/>
            <w:noProof/>
          </w:rPr>
          <w:t>5.2.1</w:t>
        </w:r>
        <w:r w:rsidR="003C1012">
          <w:rPr>
            <w:rFonts w:asciiTheme="minorHAnsi" w:eastAsiaTheme="minorEastAsia" w:hAnsiTheme="minorHAnsi" w:cstheme="minorBidi"/>
            <w:noProof/>
            <w:color w:val="auto"/>
            <w:sz w:val="22"/>
            <w:szCs w:val="22"/>
            <w:lang w:eastAsia="de-CH"/>
          </w:rPr>
          <w:tab/>
        </w:r>
        <w:r w:rsidR="003C1012" w:rsidRPr="00601158">
          <w:rPr>
            <w:rStyle w:val="Hyperlink"/>
            <w:noProof/>
          </w:rPr>
          <w:t>Ausgangslage</w:t>
        </w:r>
        <w:r w:rsidR="003C1012">
          <w:rPr>
            <w:noProof/>
            <w:webHidden/>
          </w:rPr>
          <w:tab/>
        </w:r>
        <w:r w:rsidR="003C1012">
          <w:rPr>
            <w:noProof/>
            <w:webHidden/>
          </w:rPr>
          <w:fldChar w:fldCharType="begin"/>
        </w:r>
        <w:r w:rsidR="003C1012">
          <w:rPr>
            <w:noProof/>
            <w:webHidden/>
          </w:rPr>
          <w:instrText xml:space="preserve"> PAGEREF _Toc356294704 \h </w:instrText>
        </w:r>
        <w:r w:rsidR="003C1012">
          <w:rPr>
            <w:noProof/>
            <w:webHidden/>
          </w:rPr>
        </w:r>
        <w:r w:rsidR="003C1012">
          <w:rPr>
            <w:noProof/>
            <w:webHidden/>
          </w:rPr>
          <w:fldChar w:fldCharType="separate"/>
        </w:r>
        <w:r w:rsidR="00FB4B41">
          <w:rPr>
            <w:noProof/>
            <w:webHidden/>
          </w:rPr>
          <w:t>14</w:t>
        </w:r>
        <w:r w:rsidR="003C1012">
          <w:rPr>
            <w:noProof/>
            <w:webHidden/>
          </w:rPr>
          <w:fldChar w:fldCharType="end"/>
        </w:r>
      </w:hyperlink>
    </w:p>
    <w:p w14:paraId="70149471" w14:textId="77777777" w:rsidR="003C1012" w:rsidRDefault="00B47352">
      <w:pPr>
        <w:pStyle w:val="Verzeichnis3"/>
        <w:rPr>
          <w:rFonts w:asciiTheme="minorHAnsi" w:eastAsiaTheme="minorEastAsia" w:hAnsiTheme="minorHAnsi" w:cstheme="minorBidi"/>
          <w:noProof/>
          <w:color w:val="auto"/>
          <w:sz w:val="22"/>
          <w:szCs w:val="22"/>
          <w:lang w:eastAsia="de-CH"/>
        </w:rPr>
      </w:pPr>
      <w:hyperlink w:anchor="_Toc356294705" w:history="1">
        <w:r w:rsidR="003C1012" w:rsidRPr="00601158">
          <w:rPr>
            <w:rStyle w:val="Hyperlink"/>
            <w:noProof/>
          </w:rPr>
          <w:t>5.2.2</w:t>
        </w:r>
        <w:r w:rsidR="003C1012">
          <w:rPr>
            <w:rFonts w:asciiTheme="minorHAnsi" w:eastAsiaTheme="minorEastAsia" w:hAnsiTheme="minorHAnsi" w:cstheme="minorBidi"/>
            <w:noProof/>
            <w:color w:val="auto"/>
            <w:sz w:val="22"/>
            <w:szCs w:val="22"/>
            <w:lang w:eastAsia="de-CH"/>
          </w:rPr>
          <w:tab/>
        </w:r>
        <w:r w:rsidR="003C1012" w:rsidRPr="00601158">
          <w:rPr>
            <w:rStyle w:val="Hyperlink"/>
            <w:noProof/>
          </w:rPr>
          <w:t>Nachvollziehbarkeit der neuen Abgeltungszusicherung an die Sanierung der Sondermülldeponie Kölliken</w:t>
        </w:r>
        <w:r w:rsidR="003C1012">
          <w:rPr>
            <w:noProof/>
            <w:webHidden/>
          </w:rPr>
          <w:tab/>
        </w:r>
        <w:r w:rsidR="003C1012">
          <w:rPr>
            <w:noProof/>
            <w:webHidden/>
          </w:rPr>
          <w:fldChar w:fldCharType="begin"/>
        </w:r>
        <w:r w:rsidR="003C1012">
          <w:rPr>
            <w:noProof/>
            <w:webHidden/>
          </w:rPr>
          <w:instrText xml:space="preserve"> PAGEREF _Toc356294705 \h </w:instrText>
        </w:r>
        <w:r w:rsidR="003C1012">
          <w:rPr>
            <w:noProof/>
            <w:webHidden/>
          </w:rPr>
        </w:r>
        <w:r w:rsidR="003C1012">
          <w:rPr>
            <w:noProof/>
            <w:webHidden/>
          </w:rPr>
          <w:fldChar w:fldCharType="separate"/>
        </w:r>
        <w:r w:rsidR="00FB4B41">
          <w:rPr>
            <w:noProof/>
            <w:webHidden/>
          </w:rPr>
          <w:t>15</w:t>
        </w:r>
        <w:r w:rsidR="003C1012">
          <w:rPr>
            <w:noProof/>
            <w:webHidden/>
          </w:rPr>
          <w:fldChar w:fldCharType="end"/>
        </w:r>
      </w:hyperlink>
    </w:p>
    <w:p w14:paraId="608FA098" w14:textId="77777777" w:rsidR="003C1012" w:rsidRDefault="00B47352">
      <w:pPr>
        <w:pStyle w:val="Verzeichnis4"/>
        <w:rPr>
          <w:rFonts w:asciiTheme="minorHAnsi" w:eastAsiaTheme="minorEastAsia" w:hAnsiTheme="minorHAnsi" w:cstheme="minorBidi"/>
          <w:noProof/>
          <w:color w:val="auto"/>
          <w:sz w:val="22"/>
          <w:szCs w:val="22"/>
          <w:lang w:eastAsia="de-CH"/>
        </w:rPr>
      </w:pPr>
      <w:hyperlink w:anchor="_Toc356294706" w:history="1">
        <w:r w:rsidR="003C1012" w:rsidRPr="00601158">
          <w:rPr>
            <w:rStyle w:val="Hyperlink"/>
            <w:noProof/>
          </w:rPr>
          <w:t>5.2.2.1</w:t>
        </w:r>
        <w:r w:rsidR="003C1012">
          <w:rPr>
            <w:rFonts w:asciiTheme="minorHAnsi" w:eastAsiaTheme="minorEastAsia" w:hAnsiTheme="minorHAnsi" w:cstheme="minorBidi"/>
            <w:noProof/>
            <w:color w:val="auto"/>
            <w:sz w:val="22"/>
            <w:szCs w:val="22"/>
            <w:lang w:eastAsia="de-CH"/>
          </w:rPr>
          <w:tab/>
        </w:r>
        <w:r w:rsidR="003C1012" w:rsidRPr="00601158">
          <w:rPr>
            <w:rStyle w:val="Hyperlink"/>
            <w:noProof/>
          </w:rPr>
          <w:t>Höherer Abgeltungssatzes wegen Mehrmengen bei den Siedlungsabfällen</w:t>
        </w:r>
        <w:r w:rsidR="003C1012">
          <w:rPr>
            <w:noProof/>
            <w:webHidden/>
          </w:rPr>
          <w:tab/>
        </w:r>
        <w:r w:rsidR="003C1012">
          <w:rPr>
            <w:noProof/>
            <w:webHidden/>
          </w:rPr>
          <w:fldChar w:fldCharType="begin"/>
        </w:r>
        <w:r w:rsidR="003C1012">
          <w:rPr>
            <w:noProof/>
            <w:webHidden/>
          </w:rPr>
          <w:instrText xml:space="preserve"> PAGEREF _Toc356294706 \h </w:instrText>
        </w:r>
        <w:r w:rsidR="003C1012">
          <w:rPr>
            <w:noProof/>
            <w:webHidden/>
          </w:rPr>
        </w:r>
        <w:r w:rsidR="003C1012">
          <w:rPr>
            <w:noProof/>
            <w:webHidden/>
          </w:rPr>
          <w:fldChar w:fldCharType="separate"/>
        </w:r>
        <w:r w:rsidR="00FB4B41">
          <w:rPr>
            <w:noProof/>
            <w:webHidden/>
          </w:rPr>
          <w:t>15</w:t>
        </w:r>
        <w:r w:rsidR="003C1012">
          <w:rPr>
            <w:noProof/>
            <w:webHidden/>
          </w:rPr>
          <w:fldChar w:fldCharType="end"/>
        </w:r>
      </w:hyperlink>
    </w:p>
    <w:p w14:paraId="0110D6A4" w14:textId="77777777" w:rsidR="003C1012" w:rsidRDefault="00B47352">
      <w:pPr>
        <w:pStyle w:val="Verzeichnis4"/>
        <w:rPr>
          <w:rFonts w:asciiTheme="minorHAnsi" w:eastAsiaTheme="minorEastAsia" w:hAnsiTheme="minorHAnsi" w:cstheme="minorBidi"/>
          <w:noProof/>
          <w:color w:val="auto"/>
          <w:sz w:val="22"/>
          <w:szCs w:val="22"/>
          <w:lang w:eastAsia="de-CH"/>
        </w:rPr>
      </w:pPr>
      <w:hyperlink w:anchor="_Toc356294707" w:history="1">
        <w:r w:rsidR="003C1012" w:rsidRPr="00601158">
          <w:rPr>
            <w:rStyle w:val="Hyperlink"/>
            <w:noProof/>
          </w:rPr>
          <w:t>5.2.2.2</w:t>
        </w:r>
        <w:r w:rsidR="003C1012">
          <w:rPr>
            <w:rFonts w:asciiTheme="minorHAnsi" w:eastAsiaTheme="minorEastAsia" w:hAnsiTheme="minorHAnsi" w:cstheme="minorBidi"/>
            <w:noProof/>
            <w:color w:val="auto"/>
            <w:sz w:val="22"/>
            <w:szCs w:val="22"/>
            <w:lang w:eastAsia="de-CH"/>
          </w:rPr>
          <w:tab/>
        </w:r>
        <w:r w:rsidR="003C1012" w:rsidRPr="00601158">
          <w:rPr>
            <w:rStyle w:val="Hyperlink"/>
            <w:noProof/>
          </w:rPr>
          <w:t>Nachzahlung für Sofort- und Schutzmassnahmen sowie Projektierungsarbeiten</w:t>
        </w:r>
        <w:r w:rsidR="003C1012">
          <w:rPr>
            <w:noProof/>
            <w:webHidden/>
          </w:rPr>
          <w:tab/>
        </w:r>
        <w:r w:rsidR="003C1012">
          <w:rPr>
            <w:noProof/>
            <w:webHidden/>
          </w:rPr>
          <w:fldChar w:fldCharType="begin"/>
        </w:r>
        <w:r w:rsidR="003C1012">
          <w:rPr>
            <w:noProof/>
            <w:webHidden/>
          </w:rPr>
          <w:instrText xml:space="preserve"> PAGEREF _Toc356294707 \h </w:instrText>
        </w:r>
        <w:r w:rsidR="003C1012">
          <w:rPr>
            <w:noProof/>
            <w:webHidden/>
          </w:rPr>
        </w:r>
        <w:r w:rsidR="003C1012">
          <w:rPr>
            <w:noProof/>
            <w:webHidden/>
          </w:rPr>
          <w:fldChar w:fldCharType="separate"/>
        </w:r>
        <w:r w:rsidR="00FB4B41">
          <w:rPr>
            <w:noProof/>
            <w:webHidden/>
          </w:rPr>
          <w:t>16</w:t>
        </w:r>
        <w:r w:rsidR="003C1012">
          <w:rPr>
            <w:noProof/>
            <w:webHidden/>
          </w:rPr>
          <w:fldChar w:fldCharType="end"/>
        </w:r>
      </w:hyperlink>
    </w:p>
    <w:p w14:paraId="7E0708DF" w14:textId="77777777" w:rsidR="003C1012" w:rsidRDefault="00B47352">
      <w:pPr>
        <w:pStyle w:val="Verzeichnis4"/>
        <w:rPr>
          <w:rFonts w:asciiTheme="minorHAnsi" w:eastAsiaTheme="minorEastAsia" w:hAnsiTheme="minorHAnsi" w:cstheme="minorBidi"/>
          <w:noProof/>
          <w:color w:val="auto"/>
          <w:sz w:val="22"/>
          <w:szCs w:val="22"/>
          <w:lang w:eastAsia="de-CH"/>
        </w:rPr>
      </w:pPr>
      <w:hyperlink w:anchor="_Toc356294708" w:history="1">
        <w:r w:rsidR="003C1012" w:rsidRPr="00601158">
          <w:rPr>
            <w:rStyle w:val="Hyperlink"/>
            <w:noProof/>
          </w:rPr>
          <w:t>5.2.2.3</w:t>
        </w:r>
        <w:r w:rsidR="003C1012">
          <w:rPr>
            <w:rFonts w:asciiTheme="minorHAnsi" w:eastAsiaTheme="minorEastAsia" w:hAnsiTheme="minorHAnsi" w:cstheme="minorBidi"/>
            <w:noProof/>
            <w:color w:val="auto"/>
            <w:sz w:val="22"/>
            <w:szCs w:val="22"/>
            <w:lang w:eastAsia="de-CH"/>
          </w:rPr>
          <w:tab/>
        </w:r>
        <w:r w:rsidR="003C1012" w:rsidRPr="00601158">
          <w:rPr>
            <w:rStyle w:val="Hyperlink"/>
            <w:noProof/>
          </w:rPr>
          <w:t>Nachzahlung für die Erstellung von Infrastrukturbauten</w:t>
        </w:r>
        <w:r w:rsidR="003C1012">
          <w:rPr>
            <w:noProof/>
            <w:webHidden/>
          </w:rPr>
          <w:tab/>
        </w:r>
        <w:r w:rsidR="003C1012">
          <w:rPr>
            <w:noProof/>
            <w:webHidden/>
          </w:rPr>
          <w:fldChar w:fldCharType="begin"/>
        </w:r>
        <w:r w:rsidR="003C1012">
          <w:rPr>
            <w:noProof/>
            <w:webHidden/>
          </w:rPr>
          <w:instrText xml:space="preserve"> PAGEREF _Toc356294708 \h </w:instrText>
        </w:r>
        <w:r w:rsidR="003C1012">
          <w:rPr>
            <w:noProof/>
            <w:webHidden/>
          </w:rPr>
        </w:r>
        <w:r w:rsidR="003C1012">
          <w:rPr>
            <w:noProof/>
            <w:webHidden/>
          </w:rPr>
          <w:fldChar w:fldCharType="separate"/>
        </w:r>
        <w:r w:rsidR="00FB4B41">
          <w:rPr>
            <w:noProof/>
            <w:webHidden/>
          </w:rPr>
          <w:t>16</w:t>
        </w:r>
        <w:r w:rsidR="003C1012">
          <w:rPr>
            <w:noProof/>
            <w:webHidden/>
          </w:rPr>
          <w:fldChar w:fldCharType="end"/>
        </w:r>
      </w:hyperlink>
    </w:p>
    <w:p w14:paraId="6EEC5529" w14:textId="77777777" w:rsidR="003C1012" w:rsidRDefault="00B47352">
      <w:pPr>
        <w:pStyle w:val="Verzeichnis4"/>
        <w:rPr>
          <w:rFonts w:asciiTheme="minorHAnsi" w:eastAsiaTheme="minorEastAsia" w:hAnsiTheme="minorHAnsi" w:cstheme="minorBidi"/>
          <w:noProof/>
          <w:color w:val="auto"/>
          <w:sz w:val="22"/>
          <w:szCs w:val="22"/>
          <w:lang w:eastAsia="de-CH"/>
        </w:rPr>
      </w:pPr>
      <w:hyperlink w:anchor="_Toc356294709" w:history="1">
        <w:r w:rsidR="003C1012" w:rsidRPr="00601158">
          <w:rPr>
            <w:rStyle w:val="Hyperlink"/>
            <w:noProof/>
          </w:rPr>
          <w:t>5.2.2.4</w:t>
        </w:r>
        <w:r w:rsidR="003C1012">
          <w:rPr>
            <w:rFonts w:asciiTheme="minorHAnsi" w:eastAsiaTheme="minorEastAsia" w:hAnsiTheme="minorHAnsi" w:cstheme="minorBidi"/>
            <w:noProof/>
            <w:color w:val="auto"/>
            <w:sz w:val="22"/>
            <w:szCs w:val="22"/>
            <w:lang w:eastAsia="de-CH"/>
          </w:rPr>
          <w:tab/>
        </w:r>
        <w:r w:rsidR="003C1012" w:rsidRPr="00601158">
          <w:rPr>
            <w:rStyle w:val="Hyperlink"/>
            <w:noProof/>
          </w:rPr>
          <w:t>Rückbauetappe 1 (RE1)</w:t>
        </w:r>
        <w:r w:rsidR="003C1012">
          <w:rPr>
            <w:noProof/>
            <w:webHidden/>
          </w:rPr>
          <w:tab/>
        </w:r>
        <w:r w:rsidR="003C1012">
          <w:rPr>
            <w:noProof/>
            <w:webHidden/>
          </w:rPr>
          <w:fldChar w:fldCharType="begin"/>
        </w:r>
        <w:r w:rsidR="003C1012">
          <w:rPr>
            <w:noProof/>
            <w:webHidden/>
          </w:rPr>
          <w:instrText xml:space="preserve"> PAGEREF _Toc356294709 \h </w:instrText>
        </w:r>
        <w:r w:rsidR="003C1012">
          <w:rPr>
            <w:noProof/>
            <w:webHidden/>
          </w:rPr>
        </w:r>
        <w:r w:rsidR="003C1012">
          <w:rPr>
            <w:noProof/>
            <w:webHidden/>
          </w:rPr>
          <w:fldChar w:fldCharType="separate"/>
        </w:r>
        <w:r w:rsidR="00FB4B41">
          <w:rPr>
            <w:noProof/>
            <w:webHidden/>
          </w:rPr>
          <w:t>16</w:t>
        </w:r>
        <w:r w:rsidR="003C1012">
          <w:rPr>
            <w:noProof/>
            <w:webHidden/>
          </w:rPr>
          <w:fldChar w:fldCharType="end"/>
        </w:r>
      </w:hyperlink>
    </w:p>
    <w:p w14:paraId="7B8BFEE7" w14:textId="77777777" w:rsidR="003C1012" w:rsidRDefault="00B47352">
      <w:pPr>
        <w:pStyle w:val="Verzeichnis4"/>
        <w:rPr>
          <w:rFonts w:asciiTheme="minorHAnsi" w:eastAsiaTheme="minorEastAsia" w:hAnsiTheme="minorHAnsi" w:cstheme="minorBidi"/>
          <w:noProof/>
          <w:color w:val="auto"/>
          <w:sz w:val="22"/>
          <w:szCs w:val="22"/>
          <w:lang w:eastAsia="de-CH"/>
        </w:rPr>
      </w:pPr>
      <w:hyperlink w:anchor="_Toc356294710" w:history="1">
        <w:r w:rsidR="003C1012" w:rsidRPr="00601158">
          <w:rPr>
            <w:rStyle w:val="Hyperlink"/>
            <w:noProof/>
          </w:rPr>
          <w:t>5.2.2.5</w:t>
        </w:r>
        <w:r w:rsidR="003C1012">
          <w:rPr>
            <w:rFonts w:asciiTheme="minorHAnsi" w:eastAsiaTheme="minorEastAsia" w:hAnsiTheme="minorHAnsi" w:cstheme="minorBidi"/>
            <w:noProof/>
            <w:color w:val="auto"/>
            <w:sz w:val="22"/>
            <w:szCs w:val="22"/>
            <w:lang w:eastAsia="de-CH"/>
          </w:rPr>
          <w:tab/>
        </w:r>
        <w:r w:rsidR="003C1012" w:rsidRPr="00601158">
          <w:rPr>
            <w:rStyle w:val="Hyperlink"/>
            <w:noProof/>
          </w:rPr>
          <w:t>Umbauphase zwischen Rückbauetappe 1 und 2</w:t>
        </w:r>
        <w:r w:rsidR="003C1012">
          <w:rPr>
            <w:noProof/>
            <w:webHidden/>
          </w:rPr>
          <w:tab/>
        </w:r>
        <w:r w:rsidR="003C1012">
          <w:rPr>
            <w:noProof/>
            <w:webHidden/>
          </w:rPr>
          <w:fldChar w:fldCharType="begin"/>
        </w:r>
        <w:r w:rsidR="003C1012">
          <w:rPr>
            <w:noProof/>
            <w:webHidden/>
          </w:rPr>
          <w:instrText xml:space="preserve"> PAGEREF _Toc356294710 \h </w:instrText>
        </w:r>
        <w:r w:rsidR="003C1012">
          <w:rPr>
            <w:noProof/>
            <w:webHidden/>
          </w:rPr>
        </w:r>
        <w:r w:rsidR="003C1012">
          <w:rPr>
            <w:noProof/>
            <w:webHidden/>
          </w:rPr>
          <w:fldChar w:fldCharType="separate"/>
        </w:r>
        <w:r w:rsidR="00FB4B41">
          <w:rPr>
            <w:noProof/>
            <w:webHidden/>
          </w:rPr>
          <w:t>17</w:t>
        </w:r>
        <w:r w:rsidR="003C1012">
          <w:rPr>
            <w:noProof/>
            <w:webHidden/>
          </w:rPr>
          <w:fldChar w:fldCharType="end"/>
        </w:r>
      </w:hyperlink>
    </w:p>
    <w:p w14:paraId="44BECB3E" w14:textId="77777777" w:rsidR="003C1012" w:rsidRDefault="00B47352">
      <w:pPr>
        <w:pStyle w:val="Verzeichnis4"/>
        <w:rPr>
          <w:rFonts w:asciiTheme="minorHAnsi" w:eastAsiaTheme="minorEastAsia" w:hAnsiTheme="minorHAnsi" w:cstheme="minorBidi"/>
          <w:noProof/>
          <w:color w:val="auto"/>
          <w:sz w:val="22"/>
          <w:szCs w:val="22"/>
          <w:lang w:eastAsia="de-CH"/>
        </w:rPr>
      </w:pPr>
      <w:hyperlink w:anchor="_Toc356294711" w:history="1">
        <w:r w:rsidR="003C1012" w:rsidRPr="00601158">
          <w:rPr>
            <w:rStyle w:val="Hyperlink"/>
            <w:noProof/>
          </w:rPr>
          <w:t>5.2.2.6</w:t>
        </w:r>
        <w:r w:rsidR="003C1012">
          <w:rPr>
            <w:rFonts w:asciiTheme="minorHAnsi" w:eastAsiaTheme="minorEastAsia" w:hAnsiTheme="minorHAnsi" w:cstheme="minorBidi"/>
            <w:noProof/>
            <w:color w:val="auto"/>
            <w:sz w:val="22"/>
            <w:szCs w:val="22"/>
            <w:lang w:eastAsia="de-CH"/>
          </w:rPr>
          <w:tab/>
        </w:r>
        <w:r w:rsidR="003C1012" w:rsidRPr="00601158">
          <w:rPr>
            <w:rStyle w:val="Hyperlink"/>
            <w:noProof/>
          </w:rPr>
          <w:t>Rückbauetappe 2 (RE2)</w:t>
        </w:r>
        <w:r w:rsidR="003C1012">
          <w:rPr>
            <w:noProof/>
            <w:webHidden/>
          </w:rPr>
          <w:tab/>
        </w:r>
        <w:r w:rsidR="003C1012">
          <w:rPr>
            <w:noProof/>
            <w:webHidden/>
          </w:rPr>
          <w:fldChar w:fldCharType="begin"/>
        </w:r>
        <w:r w:rsidR="003C1012">
          <w:rPr>
            <w:noProof/>
            <w:webHidden/>
          </w:rPr>
          <w:instrText xml:space="preserve"> PAGEREF _Toc356294711 \h </w:instrText>
        </w:r>
        <w:r w:rsidR="003C1012">
          <w:rPr>
            <w:noProof/>
            <w:webHidden/>
          </w:rPr>
        </w:r>
        <w:r w:rsidR="003C1012">
          <w:rPr>
            <w:noProof/>
            <w:webHidden/>
          </w:rPr>
          <w:fldChar w:fldCharType="separate"/>
        </w:r>
        <w:r w:rsidR="00FB4B41">
          <w:rPr>
            <w:noProof/>
            <w:webHidden/>
          </w:rPr>
          <w:t>17</w:t>
        </w:r>
        <w:r w:rsidR="003C1012">
          <w:rPr>
            <w:noProof/>
            <w:webHidden/>
          </w:rPr>
          <w:fldChar w:fldCharType="end"/>
        </w:r>
      </w:hyperlink>
    </w:p>
    <w:p w14:paraId="6687F5F1" w14:textId="77777777" w:rsidR="003C1012" w:rsidRDefault="00B47352">
      <w:pPr>
        <w:pStyle w:val="Verzeichnis4"/>
        <w:rPr>
          <w:rFonts w:asciiTheme="minorHAnsi" w:eastAsiaTheme="minorEastAsia" w:hAnsiTheme="minorHAnsi" w:cstheme="minorBidi"/>
          <w:noProof/>
          <w:color w:val="auto"/>
          <w:sz w:val="22"/>
          <w:szCs w:val="22"/>
          <w:lang w:eastAsia="de-CH"/>
        </w:rPr>
      </w:pPr>
      <w:hyperlink w:anchor="_Toc356294712" w:history="1">
        <w:r w:rsidR="003C1012" w:rsidRPr="00601158">
          <w:rPr>
            <w:rStyle w:val="Hyperlink"/>
            <w:noProof/>
          </w:rPr>
          <w:t>5.2.2.7</w:t>
        </w:r>
        <w:r w:rsidR="003C1012">
          <w:rPr>
            <w:rFonts w:asciiTheme="minorHAnsi" w:eastAsiaTheme="minorEastAsia" w:hAnsiTheme="minorHAnsi" w:cstheme="minorBidi"/>
            <w:noProof/>
            <w:color w:val="auto"/>
            <w:sz w:val="22"/>
            <w:szCs w:val="22"/>
            <w:lang w:eastAsia="de-CH"/>
          </w:rPr>
          <w:tab/>
        </w:r>
        <w:r w:rsidR="003C1012" w:rsidRPr="00601158">
          <w:rPr>
            <w:rStyle w:val="Hyperlink"/>
            <w:noProof/>
          </w:rPr>
          <w:t>Nachsorgephase 2018-2020 (Abschluss, Überwachung und Erfolgskontrolle)</w:t>
        </w:r>
        <w:r w:rsidR="003C1012">
          <w:rPr>
            <w:noProof/>
            <w:webHidden/>
          </w:rPr>
          <w:tab/>
        </w:r>
        <w:r w:rsidR="003C1012">
          <w:rPr>
            <w:noProof/>
            <w:webHidden/>
          </w:rPr>
          <w:fldChar w:fldCharType="begin"/>
        </w:r>
        <w:r w:rsidR="003C1012">
          <w:rPr>
            <w:noProof/>
            <w:webHidden/>
          </w:rPr>
          <w:instrText xml:space="preserve"> PAGEREF _Toc356294712 \h </w:instrText>
        </w:r>
        <w:r w:rsidR="003C1012">
          <w:rPr>
            <w:noProof/>
            <w:webHidden/>
          </w:rPr>
        </w:r>
        <w:r w:rsidR="003C1012">
          <w:rPr>
            <w:noProof/>
            <w:webHidden/>
          </w:rPr>
          <w:fldChar w:fldCharType="separate"/>
        </w:r>
        <w:r w:rsidR="00FB4B41">
          <w:rPr>
            <w:noProof/>
            <w:webHidden/>
          </w:rPr>
          <w:t>19</w:t>
        </w:r>
        <w:r w:rsidR="003C1012">
          <w:rPr>
            <w:noProof/>
            <w:webHidden/>
          </w:rPr>
          <w:fldChar w:fldCharType="end"/>
        </w:r>
      </w:hyperlink>
    </w:p>
    <w:p w14:paraId="08F31863" w14:textId="77777777" w:rsidR="003C1012" w:rsidRDefault="00B47352">
      <w:pPr>
        <w:pStyle w:val="Verzeichnis4"/>
        <w:rPr>
          <w:rFonts w:asciiTheme="minorHAnsi" w:eastAsiaTheme="minorEastAsia" w:hAnsiTheme="minorHAnsi" w:cstheme="minorBidi"/>
          <w:noProof/>
          <w:color w:val="auto"/>
          <w:sz w:val="22"/>
          <w:szCs w:val="22"/>
          <w:lang w:eastAsia="de-CH"/>
        </w:rPr>
      </w:pPr>
      <w:hyperlink w:anchor="_Toc356294713" w:history="1">
        <w:r w:rsidR="003C1012" w:rsidRPr="00601158">
          <w:rPr>
            <w:rStyle w:val="Hyperlink"/>
            <w:noProof/>
          </w:rPr>
          <w:t>5.2.2.8</w:t>
        </w:r>
        <w:r w:rsidR="003C1012">
          <w:rPr>
            <w:rFonts w:asciiTheme="minorHAnsi" w:eastAsiaTheme="minorEastAsia" w:hAnsiTheme="minorHAnsi" w:cstheme="minorBidi"/>
            <w:noProof/>
            <w:color w:val="auto"/>
            <w:sz w:val="22"/>
            <w:szCs w:val="22"/>
            <w:lang w:eastAsia="de-CH"/>
          </w:rPr>
          <w:tab/>
        </w:r>
        <w:r w:rsidR="003C1012" w:rsidRPr="00601158">
          <w:rPr>
            <w:rStyle w:val="Hyperlink"/>
            <w:noProof/>
          </w:rPr>
          <w:t>Unvorhergesehenes, Teuerung und Mehrwertsteuer</w:t>
        </w:r>
        <w:r w:rsidR="003C1012">
          <w:rPr>
            <w:noProof/>
            <w:webHidden/>
          </w:rPr>
          <w:tab/>
        </w:r>
        <w:r w:rsidR="003C1012">
          <w:rPr>
            <w:noProof/>
            <w:webHidden/>
          </w:rPr>
          <w:fldChar w:fldCharType="begin"/>
        </w:r>
        <w:r w:rsidR="003C1012">
          <w:rPr>
            <w:noProof/>
            <w:webHidden/>
          </w:rPr>
          <w:instrText xml:space="preserve"> PAGEREF _Toc356294713 \h </w:instrText>
        </w:r>
        <w:r w:rsidR="003C1012">
          <w:rPr>
            <w:noProof/>
            <w:webHidden/>
          </w:rPr>
        </w:r>
        <w:r w:rsidR="003C1012">
          <w:rPr>
            <w:noProof/>
            <w:webHidden/>
          </w:rPr>
          <w:fldChar w:fldCharType="separate"/>
        </w:r>
        <w:r w:rsidR="00FB4B41">
          <w:rPr>
            <w:noProof/>
            <w:webHidden/>
          </w:rPr>
          <w:t>19</w:t>
        </w:r>
        <w:r w:rsidR="003C1012">
          <w:rPr>
            <w:noProof/>
            <w:webHidden/>
          </w:rPr>
          <w:fldChar w:fldCharType="end"/>
        </w:r>
      </w:hyperlink>
    </w:p>
    <w:p w14:paraId="70FB4EC6" w14:textId="77777777" w:rsidR="003C1012" w:rsidRDefault="00B47352">
      <w:pPr>
        <w:pStyle w:val="Verzeichnis4"/>
        <w:rPr>
          <w:rFonts w:asciiTheme="minorHAnsi" w:eastAsiaTheme="minorEastAsia" w:hAnsiTheme="minorHAnsi" w:cstheme="minorBidi"/>
          <w:noProof/>
          <w:color w:val="auto"/>
          <w:sz w:val="22"/>
          <w:szCs w:val="22"/>
          <w:lang w:eastAsia="de-CH"/>
        </w:rPr>
      </w:pPr>
      <w:hyperlink w:anchor="_Toc356294714" w:history="1">
        <w:r w:rsidR="003C1012" w:rsidRPr="00601158">
          <w:rPr>
            <w:rStyle w:val="Hyperlink"/>
            <w:noProof/>
          </w:rPr>
          <w:t>5.2.2.9</w:t>
        </w:r>
        <w:r w:rsidR="003C1012">
          <w:rPr>
            <w:rFonts w:asciiTheme="minorHAnsi" w:eastAsiaTheme="minorEastAsia" w:hAnsiTheme="minorHAnsi" w:cstheme="minorBidi"/>
            <w:noProof/>
            <w:color w:val="auto"/>
            <w:sz w:val="22"/>
            <w:szCs w:val="22"/>
            <w:lang w:eastAsia="de-CH"/>
          </w:rPr>
          <w:tab/>
        </w:r>
        <w:r w:rsidR="003C1012" w:rsidRPr="00601158">
          <w:rPr>
            <w:rStyle w:val="Hyperlink"/>
            <w:noProof/>
          </w:rPr>
          <w:t>Kostenübersicht als Basis der Zusicherungsverfügung</w:t>
        </w:r>
        <w:r w:rsidR="003C1012">
          <w:rPr>
            <w:noProof/>
            <w:webHidden/>
          </w:rPr>
          <w:tab/>
        </w:r>
        <w:r w:rsidR="003C1012">
          <w:rPr>
            <w:noProof/>
            <w:webHidden/>
          </w:rPr>
          <w:fldChar w:fldCharType="begin"/>
        </w:r>
        <w:r w:rsidR="003C1012">
          <w:rPr>
            <w:noProof/>
            <w:webHidden/>
          </w:rPr>
          <w:instrText xml:space="preserve"> PAGEREF _Toc356294714 \h </w:instrText>
        </w:r>
        <w:r w:rsidR="003C1012">
          <w:rPr>
            <w:noProof/>
            <w:webHidden/>
          </w:rPr>
        </w:r>
        <w:r w:rsidR="003C1012">
          <w:rPr>
            <w:noProof/>
            <w:webHidden/>
          </w:rPr>
          <w:fldChar w:fldCharType="separate"/>
        </w:r>
        <w:r w:rsidR="00FB4B41">
          <w:rPr>
            <w:noProof/>
            <w:webHidden/>
          </w:rPr>
          <w:t>19</w:t>
        </w:r>
        <w:r w:rsidR="003C1012">
          <w:rPr>
            <w:noProof/>
            <w:webHidden/>
          </w:rPr>
          <w:fldChar w:fldCharType="end"/>
        </w:r>
      </w:hyperlink>
    </w:p>
    <w:p w14:paraId="740A06B3" w14:textId="77777777" w:rsidR="003C1012" w:rsidRDefault="00B47352">
      <w:pPr>
        <w:pStyle w:val="Verzeichnis3"/>
        <w:rPr>
          <w:rFonts w:asciiTheme="minorHAnsi" w:eastAsiaTheme="minorEastAsia" w:hAnsiTheme="minorHAnsi" w:cstheme="minorBidi"/>
          <w:noProof/>
          <w:color w:val="auto"/>
          <w:sz w:val="22"/>
          <w:szCs w:val="22"/>
          <w:lang w:eastAsia="de-CH"/>
        </w:rPr>
      </w:pPr>
      <w:hyperlink w:anchor="_Toc356294715" w:history="1">
        <w:r w:rsidR="003C1012" w:rsidRPr="00601158">
          <w:rPr>
            <w:rStyle w:val="Hyperlink"/>
            <w:noProof/>
          </w:rPr>
          <w:t>5.2.3</w:t>
        </w:r>
        <w:r w:rsidR="003C1012">
          <w:rPr>
            <w:rFonts w:asciiTheme="minorHAnsi" w:eastAsiaTheme="minorEastAsia" w:hAnsiTheme="minorHAnsi" w:cstheme="minorBidi"/>
            <w:noProof/>
            <w:color w:val="auto"/>
            <w:sz w:val="22"/>
            <w:szCs w:val="22"/>
            <w:lang w:eastAsia="de-CH"/>
          </w:rPr>
          <w:tab/>
        </w:r>
        <w:r w:rsidR="003C1012" w:rsidRPr="00601158">
          <w:rPr>
            <w:rStyle w:val="Hyperlink"/>
            <w:noProof/>
          </w:rPr>
          <w:t>Fazit der Plausibilitätsprüfung betreffend der Verfügung um Zusicherung und Auszahlung von Abgeltungen an die Sanierung der Sondermülldeponie Kölliken</w:t>
        </w:r>
        <w:r w:rsidR="003C1012">
          <w:rPr>
            <w:noProof/>
            <w:webHidden/>
          </w:rPr>
          <w:tab/>
        </w:r>
        <w:r w:rsidR="003C1012">
          <w:rPr>
            <w:noProof/>
            <w:webHidden/>
          </w:rPr>
          <w:fldChar w:fldCharType="begin"/>
        </w:r>
        <w:r w:rsidR="003C1012">
          <w:rPr>
            <w:noProof/>
            <w:webHidden/>
          </w:rPr>
          <w:instrText xml:space="preserve"> PAGEREF _Toc356294715 \h </w:instrText>
        </w:r>
        <w:r w:rsidR="003C1012">
          <w:rPr>
            <w:noProof/>
            <w:webHidden/>
          </w:rPr>
        </w:r>
        <w:r w:rsidR="003C1012">
          <w:rPr>
            <w:noProof/>
            <w:webHidden/>
          </w:rPr>
          <w:fldChar w:fldCharType="separate"/>
        </w:r>
        <w:r w:rsidR="00FB4B41">
          <w:rPr>
            <w:noProof/>
            <w:webHidden/>
          </w:rPr>
          <w:t>20</w:t>
        </w:r>
        <w:r w:rsidR="003C1012">
          <w:rPr>
            <w:noProof/>
            <w:webHidden/>
          </w:rPr>
          <w:fldChar w:fldCharType="end"/>
        </w:r>
      </w:hyperlink>
    </w:p>
    <w:p w14:paraId="3FAFFC23" w14:textId="77777777" w:rsidR="003C1012" w:rsidRDefault="00B47352">
      <w:pPr>
        <w:pStyle w:val="Verzeichnis1"/>
        <w:rPr>
          <w:rFonts w:asciiTheme="minorHAnsi" w:eastAsiaTheme="minorEastAsia" w:hAnsiTheme="minorHAnsi" w:cstheme="minorBidi"/>
          <w:b w:val="0"/>
          <w:noProof/>
          <w:sz w:val="22"/>
          <w:szCs w:val="22"/>
          <w:lang w:eastAsia="de-CH"/>
        </w:rPr>
      </w:pPr>
      <w:hyperlink w:anchor="_Toc356294716" w:history="1">
        <w:r w:rsidR="003C1012" w:rsidRPr="00601158">
          <w:rPr>
            <w:rStyle w:val="Hyperlink"/>
            <w:noProof/>
          </w:rPr>
          <w:t>6</w:t>
        </w:r>
        <w:r w:rsidR="003C1012">
          <w:rPr>
            <w:rFonts w:asciiTheme="minorHAnsi" w:eastAsiaTheme="minorEastAsia" w:hAnsiTheme="minorHAnsi" w:cstheme="minorBidi"/>
            <w:b w:val="0"/>
            <w:noProof/>
            <w:sz w:val="22"/>
            <w:szCs w:val="22"/>
            <w:lang w:eastAsia="de-CH"/>
          </w:rPr>
          <w:tab/>
        </w:r>
        <w:r w:rsidR="003C1012" w:rsidRPr="00601158">
          <w:rPr>
            <w:rStyle w:val="Hyperlink"/>
            <w:noProof/>
          </w:rPr>
          <w:t>VASA-Abgabeerhebung</w:t>
        </w:r>
        <w:r w:rsidR="003C1012">
          <w:rPr>
            <w:noProof/>
            <w:webHidden/>
          </w:rPr>
          <w:tab/>
        </w:r>
        <w:r w:rsidR="003C1012">
          <w:rPr>
            <w:noProof/>
            <w:webHidden/>
          </w:rPr>
          <w:fldChar w:fldCharType="begin"/>
        </w:r>
        <w:r w:rsidR="003C1012">
          <w:rPr>
            <w:noProof/>
            <w:webHidden/>
          </w:rPr>
          <w:instrText xml:space="preserve"> PAGEREF _Toc356294716 \h </w:instrText>
        </w:r>
        <w:r w:rsidR="003C1012">
          <w:rPr>
            <w:noProof/>
            <w:webHidden/>
          </w:rPr>
        </w:r>
        <w:r w:rsidR="003C1012">
          <w:rPr>
            <w:noProof/>
            <w:webHidden/>
          </w:rPr>
          <w:fldChar w:fldCharType="separate"/>
        </w:r>
        <w:r w:rsidR="00FB4B41">
          <w:rPr>
            <w:noProof/>
            <w:webHidden/>
          </w:rPr>
          <w:t>21</w:t>
        </w:r>
        <w:r w:rsidR="003C1012">
          <w:rPr>
            <w:noProof/>
            <w:webHidden/>
          </w:rPr>
          <w:fldChar w:fldCharType="end"/>
        </w:r>
      </w:hyperlink>
    </w:p>
    <w:p w14:paraId="5D688EF9" w14:textId="77777777" w:rsidR="003C1012" w:rsidRDefault="00B47352">
      <w:pPr>
        <w:pStyle w:val="Verzeichnis2"/>
        <w:rPr>
          <w:rFonts w:asciiTheme="minorHAnsi" w:eastAsiaTheme="minorEastAsia" w:hAnsiTheme="minorHAnsi" w:cstheme="minorBidi"/>
          <w:noProof/>
          <w:sz w:val="22"/>
          <w:szCs w:val="22"/>
          <w:lang w:eastAsia="de-CH"/>
        </w:rPr>
      </w:pPr>
      <w:hyperlink w:anchor="_Toc356294717" w:history="1">
        <w:r w:rsidR="003C1012" w:rsidRPr="00601158">
          <w:rPr>
            <w:rStyle w:val="Hyperlink"/>
            <w:noProof/>
          </w:rPr>
          <w:t>6.1</w:t>
        </w:r>
        <w:r w:rsidR="003C1012">
          <w:rPr>
            <w:rFonts w:asciiTheme="minorHAnsi" w:eastAsiaTheme="minorEastAsia" w:hAnsiTheme="minorHAnsi" w:cstheme="minorBidi"/>
            <w:noProof/>
            <w:sz w:val="22"/>
            <w:szCs w:val="22"/>
            <w:lang w:eastAsia="de-CH"/>
          </w:rPr>
          <w:tab/>
        </w:r>
        <w:r w:rsidR="003C1012" w:rsidRPr="00601158">
          <w:rPr>
            <w:rStyle w:val="Hyperlink"/>
            <w:noProof/>
          </w:rPr>
          <w:t>Korrekte Deklarationen sind für die VASA-Abgabeerhebung entscheidend</w:t>
        </w:r>
        <w:r w:rsidR="003C1012">
          <w:rPr>
            <w:noProof/>
            <w:webHidden/>
          </w:rPr>
          <w:tab/>
        </w:r>
        <w:r w:rsidR="003C1012">
          <w:rPr>
            <w:noProof/>
            <w:webHidden/>
          </w:rPr>
          <w:fldChar w:fldCharType="begin"/>
        </w:r>
        <w:r w:rsidR="003C1012">
          <w:rPr>
            <w:noProof/>
            <w:webHidden/>
          </w:rPr>
          <w:instrText xml:space="preserve"> PAGEREF _Toc356294717 \h </w:instrText>
        </w:r>
        <w:r w:rsidR="003C1012">
          <w:rPr>
            <w:noProof/>
            <w:webHidden/>
          </w:rPr>
        </w:r>
        <w:r w:rsidR="003C1012">
          <w:rPr>
            <w:noProof/>
            <w:webHidden/>
          </w:rPr>
          <w:fldChar w:fldCharType="separate"/>
        </w:r>
        <w:r w:rsidR="00FB4B41">
          <w:rPr>
            <w:noProof/>
            <w:webHidden/>
          </w:rPr>
          <w:t>21</w:t>
        </w:r>
        <w:r w:rsidR="003C1012">
          <w:rPr>
            <w:noProof/>
            <w:webHidden/>
          </w:rPr>
          <w:fldChar w:fldCharType="end"/>
        </w:r>
      </w:hyperlink>
    </w:p>
    <w:p w14:paraId="0F41D282" w14:textId="77777777" w:rsidR="003C1012" w:rsidRDefault="00B47352">
      <w:pPr>
        <w:pStyle w:val="Verzeichnis2"/>
        <w:rPr>
          <w:rFonts w:asciiTheme="minorHAnsi" w:eastAsiaTheme="minorEastAsia" w:hAnsiTheme="minorHAnsi" w:cstheme="minorBidi"/>
          <w:noProof/>
          <w:sz w:val="22"/>
          <w:szCs w:val="22"/>
          <w:lang w:eastAsia="de-CH"/>
        </w:rPr>
      </w:pPr>
      <w:hyperlink w:anchor="_Toc356294718" w:history="1">
        <w:r w:rsidR="003C1012" w:rsidRPr="00601158">
          <w:rPr>
            <w:rStyle w:val="Hyperlink"/>
            <w:noProof/>
          </w:rPr>
          <w:t>6.2</w:t>
        </w:r>
        <w:r w:rsidR="003C1012">
          <w:rPr>
            <w:rFonts w:asciiTheme="minorHAnsi" w:eastAsiaTheme="minorEastAsia" w:hAnsiTheme="minorHAnsi" w:cstheme="minorBidi"/>
            <w:noProof/>
            <w:sz w:val="22"/>
            <w:szCs w:val="22"/>
            <w:lang w:eastAsia="de-CH"/>
          </w:rPr>
          <w:tab/>
        </w:r>
        <w:r w:rsidR="003C1012" w:rsidRPr="00601158">
          <w:rPr>
            <w:rStyle w:val="Hyperlink"/>
            <w:noProof/>
          </w:rPr>
          <w:t>Der Prozess Abgabeerhebung stellt den termingerechten VASA-Mittelzufluss sicher</w:t>
        </w:r>
        <w:r w:rsidR="003C1012">
          <w:rPr>
            <w:noProof/>
            <w:webHidden/>
          </w:rPr>
          <w:tab/>
        </w:r>
        <w:r w:rsidR="003C1012">
          <w:rPr>
            <w:noProof/>
            <w:webHidden/>
          </w:rPr>
          <w:fldChar w:fldCharType="begin"/>
        </w:r>
        <w:r w:rsidR="003C1012">
          <w:rPr>
            <w:noProof/>
            <w:webHidden/>
          </w:rPr>
          <w:instrText xml:space="preserve"> PAGEREF _Toc356294718 \h </w:instrText>
        </w:r>
        <w:r w:rsidR="003C1012">
          <w:rPr>
            <w:noProof/>
            <w:webHidden/>
          </w:rPr>
        </w:r>
        <w:r w:rsidR="003C1012">
          <w:rPr>
            <w:noProof/>
            <w:webHidden/>
          </w:rPr>
          <w:fldChar w:fldCharType="separate"/>
        </w:r>
        <w:r w:rsidR="00FB4B41">
          <w:rPr>
            <w:noProof/>
            <w:webHidden/>
          </w:rPr>
          <w:t>22</w:t>
        </w:r>
        <w:r w:rsidR="003C1012">
          <w:rPr>
            <w:noProof/>
            <w:webHidden/>
          </w:rPr>
          <w:fldChar w:fldCharType="end"/>
        </w:r>
      </w:hyperlink>
    </w:p>
    <w:p w14:paraId="6B3575DA" w14:textId="77777777" w:rsidR="003C1012" w:rsidRDefault="00B47352">
      <w:pPr>
        <w:pStyle w:val="Verzeichnis1"/>
        <w:rPr>
          <w:rFonts w:asciiTheme="minorHAnsi" w:eastAsiaTheme="minorEastAsia" w:hAnsiTheme="minorHAnsi" w:cstheme="minorBidi"/>
          <w:b w:val="0"/>
          <w:noProof/>
          <w:sz w:val="22"/>
          <w:szCs w:val="22"/>
          <w:lang w:eastAsia="de-CH"/>
        </w:rPr>
      </w:pPr>
      <w:hyperlink w:anchor="_Toc356294719" w:history="1">
        <w:r w:rsidR="003C1012" w:rsidRPr="00601158">
          <w:rPr>
            <w:rStyle w:val="Hyperlink"/>
            <w:noProof/>
            <w:lang w:val="de-DE"/>
          </w:rPr>
          <w:t>7</w:t>
        </w:r>
        <w:r w:rsidR="003C1012">
          <w:rPr>
            <w:rFonts w:asciiTheme="minorHAnsi" w:eastAsiaTheme="minorEastAsia" w:hAnsiTheme="minorHAnsi" w:cstheme="minorBidi"/>
            <w:b w:val="0"/>
            <w:noProof/>
            <w:sz w:val="22"/>
            <w:szCs w:val="22"/>
            <w:lang w:eastAsia="de-CH"/>
          </w:rPr>
          <w:tab/>
        </w:r>
        <w:r w:rsidR="003C1012" w:rsidRPr="00601158">
          <w:rPr>
            <w:rStyle w:val="Hyperlink"/>
            <w:noProof/>
            <w:lang w:val="de-DE"/>
          </w:rPr>
          <w:t>VASA Altlasten-Fonds</w:t>
        </w:r>
        <w:r w:rsidR="003C1012">
          <w:rPr>
            <w:noProof/>
            <w:webHidden/>
          </w:rPr>
          <w:tab/>
        </w:r>
        <w:r w:rsidR="003C1012">
          <w:rPr>
            <w:noProof/>
            <w:webHidden/>
          </w:rPr>
          <w:fldChar w:fldCharType="begin"/>
        </w:r>
        <w:r w:rsidR="003C1012">
          <w:rPr>
            <w:noProof/>
            <w:webHidden/>
          </w:rPr>
          <w:instrText xml:space="preserve"> PAGEREF _Toc356294719 \h </w:instrText>
        </w:r>
        <w:r w:rsidR="003C1012">
          <w:rPr>
            <w:noProof/>
            <w:webHidden/>
          </w:rPr>
        </w:r>
        <w:r w:rsidR="003C1012">
          <w:rPr>
            <w:noProof/>
            <w:webHidden/>
          </w:rPr>
          <w:fldChar w:fldCharType="separate"/>
        </w:r>
        <w:r w:rsidR="00FB4B41">
          <w:rPr>
            <w:noProof/>
            <w:webHidden/>
          </w:rPr>
          <w:t>24</w:t>
        </w:r>
        <w:r w:rsidR="003C1012">
          <w:rPr>
            <w:noProof/>
            <w:webHidden/>
          </w:rPr>
          <w:fldChar w:fldCharType="end"/>
        </w:r>
      </w:hyperlink>
    </w:p>
    <w:p w14:paraId="7CF727F9" w14:textId="77777777" w:rsidR="003C1012" w:rsidRDefault="00B47352">
      <w:pPr>
        <w:pStyle w:val="Verzeichnis1"/>
        <w:rPr>
          <w:rFonts w:asciiTheme="minorHAnsi" w:eastAsiaTheme="minorEastAsia" w:hAnsiTheme="minorHAnsi" w:cstheme="minorBidi"/>
          <w:b w:val="0"/>
          <w:noProof/>
          <w:sz w:val="22"/>
          <w:szCs w:val="22"/>
          <w:lang w:eastAsia="de-CH"/>
        </w:rPr>
      </w:pPr>
      <w:hyperlink w:anchor="_Toc356294720" w:history="1">
        <w:r w:rsidR="003C1012" w:rsidRPr="00601158">
          <w:rPr>
            <w:rStyle w:val="Hyperlink"/>
            <w:noProof/>
          </w:rPr>
          <w:t>8</w:t>
        </w:r>
        <w:r w:rsidR="003C1012">
          <w:rPr>
            <w:rFonts w:asciiTheme="minorHAnsi" w:eastAsiaTheme="minorEastAsia" w:hAnsiTheme="minorHAnsi" w:cstheme="minorBidi"/>
            <w:b w:val="0"/>
            <w:noProof/>
            <w:sz w:val="22"/>
            <w:szCs w:val="22"/>
            <w:lang w:eastAsia="de-CH"/>
          </w:rPr>
          <w:tab/>
        </w:r>
        <w:r w:rsidR="003C1012" w:rsidRPr="00601158">
          <w:rPr>
            <w:rStyle w:val="Hyperlink"/>
            <w:noProof/>
          </w:rPr>
          <w:t>Verpflichtungskredit</w:t>
        </w:r>
        <w:r w:rsidR="003C1012">
          <w:rPr>
            <w:noProof/>
            <w:webHidden/>
          </w:rPr>
          <w:tab/>
        </w:r>
        <w:r w:rsidR="003C1012">
          <w:rPr>
            <w:noProof/>
            <w:webHidden/>
          </w:rPr>
          <w:fldChar w:fldCharType="begin"/>
        </w:r>
        <w:r w:rsidR="003C1012">
          <w:rPr>
            <w:noProof/>
            <w:webHidden/>
          </w:rPr>
          <w:instrText xml:space="preserve"> PAGEREF _Toc356294720 \h </w:instrText>
        </w:r>
        <w:r w:rsidR="003C1012">
          <w:rPr>
            <w:noProof/>
            <w:webHidden/>
          </w:rPr>
        </w:r>
        <w:r w:rsidR="003C1012">
          <w:rPr>
            <w:noProof/>
            <w:webHidden/>
          </w:rPr>
          <w:fldChar w:fldCharType="separate"/>
        </w:r>
        <w:r w:rsidR="00FB4B41">
          <w:rPr>
            <w:noProof/>
            <w:webHidden/>
          </w:rPr>
          <w:t>25</w:t>
        </w:r>
        <w:r w:rsidR="003C1012">
          <w:rPr>
            <w:noProof/>
            <w:webHidden/>
          </w:rPr>
          <w:fldChar w:fldCharType="end"/>
        </w:r>
      </w:hyperlink>
    </w:p>
    <w:p w14:paraId="30C57E5C" w14:textId="77777777" w:rsidR="003C1012" w:rsidRDefault="00B47352">
      <w:pPr>
        <w:pStyle w:val="Verzeichnis1"/>
        <w:rPr>
          <w:rFonts w:asciiTheme="minorHAnsi" w:eastAsiaTheme="minorEastAsia" w:hAnsiTheme="minorHAnsi" w:cstheme="minorBidi"/>
          <w:b w:val="0"/>
          <w:noProof/>
          <w:sz w:val="22"/>
          <w:szCs w:val="22"/>
          <w:lang w:eastAsia="de-CH"/>
        </w:rPr>
      </w:pPr>
      <w:hyperlink w:anchor="_Toc356294721" w:history="1">
        <w:r w:rsidR="003C1012" w:rsidRPr="00601158">
          <w:rPr>
            <w:rStyle w:val="Hyperlink"/>
            <w:noProof/>
          </w:rPr>
          <w:t>9</w:t>
        </w:r>
        <w:r w:rsidR="003C1012">
          <w:rPr>
            <w:rFonts w:asciiTheme="minorHAnsi" w:eastAsiaTheme="minorEastAsia" w:hAnsiTheme="minorHAnsi" w:cstheme="minorBidi"/>
            <w:b w:val="0"/>
            <w:noProof/>
            <w:sz w:val="22"/>
            <w:szCs w:val="22"/>
            <w:lang w:eastAsia="de-CH"/>
          </w:rPr>
          <w:tab/>
        </w:r>
        <w:r w:rsidR="003C1012" w:rsidRPr="00601158">
          <w:rPr>
            <w:rStyle w:val="Hyperlink"/>
            <w:noProof/>
          </w:rPr>
          <w:t>Empfehlungscontrolling</w:t>
        </w:r>
        <w:r w:rsidR="003C1012">
          <w:rPr>
            <w:noProof/>
            <w:webHidden/>
          </w:rPr>
          <w:tab/>
        </w:r>
        <w:r w:rsidR="003C1012">
          <w:rPr>
            <w:noProof/>
            <w:webHidden/>
          </w:rPr>
          <w:fldChar w:fldCharType="begin"/>
        </w:r>
        <w:r w:rsidR="003C1012">
          <w:rPr>
            <w:noProof/>
            <w:webHidden/>
          </w:rPr>
          <w:instrText xml:space="preserve"> PAGEREF _Toc356294721 \h </w:instrText>
        </w:r>
        <w:r w:rsidR="003C1012">
          <w:rPr>
            <w:noProof/>
            <w:webHidden/>
          </w:rPr>
        </w:r>
        <w:r w:rsidR="003C1012">
          <w:rPr>
            <w:noProof/>
            <w:webHidden/>
          </w:rPr>
          <w:fldChar w:fldCharType="separate"/>
        </w:r>
        <w:r w:rsidR="00FB4B41">
          <w:rPr>
            <w:noProof/>
            <w:webHidden/>
          </w:rPr>
          <w:t>25</w:t>
        </w:r>
        <w:r w:rsidR="003C1012">
          <w:rPr>
            <w:noProof/>
            <w:webHidden/>
          </w:rPr>
          <w:fldChar w:fldCharType="end"/>
        </w:r>
      </w:hyperlink>
    </w:p>
    <w:p w14:paraId="238D4F7D" w14:textId="77777777" w:rsidR="003C1012" w:rsidRDefault="00B47352">
      <w:pPr>
        <w:pStyle w:val="Verzeichnis1"/>
        <w:rPr>
          <w:rFonts w:asciiTheme="minorHAnsi" w:eastAsiaTheme="minorEastAsia" w:hAnsiTheme="minorHAnsi" w:cstheme="minorBidi"/>
          <w:b w:val="0"/>
          <w:noProof/>
          <w:sz w:val="22"/>
          <w:szCs w:val="22"/>
          <w:lang w:eastAsia="de-CH"/>
        </w:rPr>
      </w:pPr>
      <w:hyperlink w:anchor="_Toc356294722" w:history="1">
        <w:r w:rsidR="003C1012" w:rsidRPr="00601158">
          <w:rPr>
            <w:rStyle w:val="Hyperlink"/>
            <w:noProof/>
          </w:rPr>
          <w:t>10</w:t>
        </w:r>
        <w:r w:rsidR="003C1012">
          <w:rPr>
            <w:rFonts w:asciiTheme="minorHAnsi" w:eastAsiaTheme="minorEastAsia" w:hAnsiTheme="minorHAnsi" w:cstheme="minorBidi"/>
            <w:b w:val="0"/>
            <w:noProof/>
            <w:sz w:val="22"/>
            <w:szCs w:val="22"/>
            <w:lang w:eastAsia="de-CH"/>
          </w:rPr>
          <w:tab/>
        </w:r>
        <w:r w:rsidR="003C1012" w:rsidRPr="00601158">
          <w:rPr>
            <w:rStyle w:val="Hyperlink"/>
            <w:noProof/>
          </w:rPr>
          <w:t>Schlussbesprechung</w:t>
        </w:r>
        <w:r w:rsidR="003C1012">
          <w:rPr>
            <w:noProof/>
            <w:webHidden/>
          </w:rPr>
          <w:tab/>
        </w:r>
        <w:r w:rsidR="003C1012">
          <w:rPr>
            <w:noProof/>
            <w:webHidden/>
          </w:rPr>
          <w:fldChar w:fldCharType="begin"/>
        </w:r>
        <w:r w:rsidR="003C1012">
          <w:rPr>
            <w:noProof/>
            <w:webHidden/>
          </w:rPr>
          <w:instrText xml:space="preserve"> PAGEREF _Toc356294722 \h </w:instrText>
        </w:r>
        <w:r w:rsidR="003C1012">
          <w:rPr>
            <w:noProof/>
            <w:webHidden/>
          </w:rPr>
        </w:r>
        <w:r w:rsidR="003C1012">
          <w:rPr>
            <w:noProof/>
            <w:webHidden/>
          </w:rPr>
          <w:fldChar w:fldCharType="separate"/>
        </w:r>
        <w:r w:rsidR="00FB4B41">
          <w:rPr>
            <w:noProof/>
            <w:webHidden/>
          </w:rPr>
          <w:t>26</w:t>
        </w:r>
        <w:r w:rsidR="003C1012">
          <w:rPr>
            <w:noProof/>
            <w:webHidden/>
          </w:rPr>
          <w:fldChar w:fldCharType="end"/>
        </w:r>
      </w:hyperlink>
    </w:p>
    <w:p w14:paraId="7F2F2D7F" w14:textId="77777777" w:rsidR="003C1012" w:rsidRDefault="00B47352">
      <w:pPr>
        <w:pStyle w:val="Verzeichnis9"/>
        <w:rPr>
          <w:rFonts w:asciiTheme="minorHAnsi" w:eastAsiaTheme="minorEastAsia" w:hAnsiTheme="minorHAnsi" w:cstheme="minorBidi"/>
          <w:b w:val="0"/>
          <w:color w:val="auto"/>
          <w:sz w:val="22"/>
          <w:szCs w:val="22"/>
          <w:lang w:eastAsia="de-CH"/>
        </w:rPr>
      </w:pPr>
      <w:hyperlink w:anchor="_Toc356294723" w:history="1">
        <w:r w:rsidR="003C1012" w:rsidRPr="00601158">
          <w:rPr>
            <w:rStyle w:val="Hyperlink"/>
          </w:rPr>
          <w:t>Anhang 1:</w:t>
        </w:r>
        <w:r w:rsidR="003C1012">
          <w:rPr>
            <w:rFonts w:asciiTheme="minorHAnsi" w:eastAsiaTheme="minorEastAsia" w:hAnsiTheme="minorHAnsi" w:cstheme="minorBidi"/>
            <w:b w:val="0"/>
            <w:color w:val="auto"/>
            <w:sz w:val="22"/>
            <w:szCs w:val="22"/>
            <w:lang w:eastAsia="de-CH"/>
          </w:rPr>
          <w:tab/>
        </w:r>
        <w:r w:rsidR="003C1012" w:rsidRPr="00601158">
          <w:rPr>
            <w:rStyle w:val="Hyperlink"/>
          </w:rPr>
          <w:t>Normative Grundlagen</w:t>
        </w:r>
        <w:r w:rsidR="003C1012">
          <w:rPr>
            <w:webHidden/>
          </w:rPr>
          <w:tab/>
        </w:r>
        <w:r w:rsidR="003C1012">
          <w:rPr>
            <w:webHidden/>
          </w:rPr>
          <w:fldChar w:fldCharType="begin"/>
        </w:r>
        <w:r w:rsidR="003C1012">
          <w:rPr>
            <w:webHidden/>
          </w:rPr>
          <w:instrText xml:space="preserve"> PAGEREF _Toc356294723 \h </w:instrText>
        </w:r>
        <w:r w:rsidR="003C1012">
          <w:rPr>
            <w:webHidden/>
          </w:rPr>
        </w:r>
        <w:r w:rsidR="003C1012">
          <w:rPr>
            <w:webHidden/>
          </w:rPr>
          <w:fldChar w:fldCharType="separate"/>
        </w:r>
        <w:r w:rsidR="00FB4B41">
          <w:rPr>
            <w:webHidden/>
          </w:rPr>
          <w:t>27</w:t>
        </w:r>
        <w:r w:rsidR="003C1012">
          <w:rPr>
            <w:webHidden/>
          </w:rPr>
          <w:fldChar w:fldCharType="end"/>
        </w:r>
      </w:hyperlink>
    </w:p>
    <w:p w14:paraId="4FF15F17" w14:textId="77777777" w:rsidR="003C1012" w:rsidRDefault="00B47352">
      <w:pPr>
        <w:pStyle w:val="Verzeichnis9"/>
        <w:rPr>
          <w:rFonts w:asciiTheme="minorHAnsi" w:eastAsiaTheme="minorEastAsia" w:hAnsiTheme="minorHAnsi" w:cstheme="minorBidi"/>
          <w:b w:val="0"/>
          <w:color w:val="auto"/>
          <w:sz w:val="22"/>
          <w:szCs w:val="22"/>
          <w:lang w:eastAsia="de-CH"/>
        </w:rPr>
      </w:pPr>
      <w:hyperlink w:anchor="_Toc356294724" w:history="1">
        <w:r w:rsidR="003C1012" w:rsidRPr="00601158">
          <w:rPr>
            <w:rStyle w:val="Hyperlink"/>
          </w:rPr>
          <w:t>Anhang 2:</w:t>
        </w:r>
        <w:r w:rsidR="003C1012">
          <w:rPr>
            <w:rFonts w:asciiTheme="minorHAnsi" w:eastAsiaTheme="minorEastAsia" w:hAnsiTheme="minorHAnsi" w:cstheme="minorBidi"/>
            <w:b w:val="0"/>
            <w:color w:val="auto"/>
            <w:sz w:val="22"/>
            <w:szCs w:val="22"/>
            <w:lang w:eastAsia="de-CH"/>
          </w:rPr>
          <w:tab/>
        </w:r>
        <w:r w:rsidR="003C1012" w:rsidRPr="00601158">
          <w:rPr>
            <w:rStyle w:val="Hyperlink"/>
          </w:rPr>
          <w:t>Abkürzungen, Priorisierung der Empfehlungen der EFK</w:t>
        </w:r>
        <w:r w:rsidR="003C1012">
          <w:rPr>
            <w:webHidden/>
          </w:rPr>
          <w:tab/>
        </w:r>
        <w:r w:rsidR="003C1012">
          <w:rPr>
            <w:webHidden/>
          </w:rPr>
          <w:fldChar w:fldCharType="begin"/>
        </w:r>
        <w:r w:rsidR="003C1012">
          <w:rPr>
            <w:webHidden/>
          </w:rPr>
          <w:instrText xml:space="preserve"> PAGEREF _Toc356294724 \h </w:instrText>
        </w:r>
        <w:r w:rsidR="003C1012">
          <w:rPr>
            <w:webHidden/>
          </w:rPr>
        </w:r>
        <w:r w:rsidR="003C1012">
          <w:rPr>
            <w:webHidden/>
          </w:rPr>
          <w:fldChar w:fldCharType="separate"/>
        </w:r>
        <w:r w:rsidR="00FB4B41">
          <w:rPr>
            <w:webHidden/>
          </w:rPr>
          <w:t>28</w:t>
        </w:r>
        <w:r w:rsidR="003C1012">
          <w:rPr>
            <w:webHidden/>
          </w:rPr>
          <w:fldChar w:fldCharType="end"/>
        </w:r>
      </w:hyperlink>
    </w:p>
    <w:p w14:paraId="79D9DC3B" w14:textId="77777777" w:rsidR="00344523" w:rsidRDefault="00AC0E03" w:rsidP="007A3DBE">
      <w:r>
        <w:rPr>
          <w:rFonts w:cs="Arial"/>
          <w:b/>
          <w:color w:val="FF0000"/>
          <w:lang w:eastAsia="de-DE"/>
        </w:rPr>
        <w:fldChar w:fldCharType="end"/>
      </w:r>
      <w:r w:rsidR="00344523">
        <w:br w:type="page"/>
      </w:r>
    </w:p>
    <w:p w14:paraId="35E2AC56" w14:textId="77777777" w:rsidR="00344523" w:rsidRPr="00B47352" w:rsidRDefault="00344523" w:rsidP="000818C4">
      <w:pPr>
        <w:pStyle w:val="berschrift1"/>
        <w:rPr>
          <w:highlight w:val="yellow"/>
        </w:rPr>
      </w:pPr>
      <w:bookmarkStart w:id="0" w:name="_Toc77355571"/>
      <w:bookmarkStart w:id="1" w:name="_Toc77365859"/>
      <w:bookmarkStart w:id="2" w:name="_Toc77365888"/>
      <w:bookmarkStart w:id="3" w:name="_Toc77365917"/>
      <w:bookmarkStart w:id="4" w:name="_Toc77366373"/>
      <w:bookmarkStart w:id="5" w:name="_Toc77366461"/>
      <w:bookmarkStart w:id="6" w:name="_Toc77366572"/>
      <w:bookmarkStart w:id="7" w:name="_Toc77366602"/>
      <w:bookmarkStart w:id="8" w:name="_Toc77366632"/>
      <w:bookmarkStart w:id="9" w:name="_Toc77366662"/>
      <w:bookmarkStart w:id="10" w:name="_Toc77366940"/>
      <w:bookmarkStart w:id="11" w:name="_Toc77441656"/>
      <w:bookmarkStart w:id="12" w:name="_Toc77441686"/>
      <w:bookmarkStart w:id="13" w:name="_Toc77570392"/>
      <w:bookmarkStart w:id="14" w:name="_Toc77570421"/>
      <w:bookmarkStart w:id="15" w:name="_Toc79390167"/>
      <w:bookmarkStart w:id="16" w:name="_Toc79390317"/>
      <w:bookmarkStart w:id="17" w:name="_Toc79390330"/>
      <w:bookmarkStart w:id="18" w:name="_Toc79390381"/>
      <w:bookmarkStart w:id="19" w:name="_Toc79392004"/>
      <w:bookmarkStart w:id="20" w:name="_Toc80068313"/>
      <w:bookmarkStart w:id="21" w:name="_Toc80068395"/>
      <w:bookmarkStart w:id="22" w:name="_Toc80068521"/>
      <w:bookmarkStart w:id="23" w:name="_Toc80467571"/>
      <w:bookmarkStart w:id="24" w:name="_Toc81181729"/>
      <w:bookmarkStart w:id="25" w:name="_Toc81571141"/>
      <w:bookmarkStart w:id="26" w:name="_Toc81571162"/>
      <w:bookmarkStart w:id="27" w:name="_Toc141248434"/>
      <w:bookmarkStart w:id="28" w:name="_Toc141249048"/>
      <w:bookmarkStart w:id="29" w:name="_Toc141249061"/>
      <w:bookmarkStart w:id="30" w:name="_Toc141249075"/>
      <w:bookmarkStart w:id="31" w:name="_Toc141249089"/>
      <w:bookmarkStart w:id="32" w:name="_Toc141249103"/>
      <w:bookmarkStart w:id="33" w:name="_Toc141249117"/>
      <w:bookmarkStart w:id="34" w:name="_Toc141249131"/>
      <w:bookmarkStart w:id="35" w:name="_Toc141249145"/>
      <w:bookmarkStart w:id="36" w:name="_Toc141249159"/>
      <w:bookmarkStart w:id="37" w:name="_Toc141249173"/>
      <w:bookmarkStart w:id="38" w:name="_Toc141249187"/>
      <w:bookmarkStart w:id="39" w:name="_Toc141249201"/>
      <w:bookmarkStart w:id="40" w:name="_Toc141249215"/>
      <w:bookmarkStart w:id="41" w:name="_Toc141249229"/>
      <w:bookmarkStart w:id="42" w:name="_Toc141249243"/>
      <w:bookmarkStart w:id="43" w:name="_Toc141249257"/>
      <w:bookmarkStart w:id="44" w:name="_Toc141249271"/>
      <w:bookmarkStart w:id="45" w:name="_Toc141249285"/>
      <w:bookmarkStart w:id="46" w:name="_Toc141249299"/>
      <w:bookmarkStart w:id="47" w:name="_Toc141249313"/>
      <w:bookmarkStart w:id="48" w:name="_Toc141249327"/>
      <w:bookmarkStart w:id="49" w:name="_Toc141249341"/>
      <w:bookmarkStart w:id="50" w:name="_Toc141249355"/>
      <w:bookmarkStart w:id="51" w:name="_Toc141249369"/>
      <w:bookmarkStart w:id="52" w:name="_Toc141249383"/>
      <w:bookmarkStart w:id="53" w:name="_Toc141249397"/>
      <w:bookmarkStart w:id="54" w:name="_Toc141249411"/>
      <w:bookmarkStart w:id="55" w:name="_Toc141249425"/>
      <w:bookmarkStart w:id="56" w:name="_Toc141249439"/>
      <w:bookmarkStart w:id="57" w:name="_Toc141249453"/>
      <w:bookmarkStart w:id="58" w:name="_Toc141249467"/>
      <w:bookmarkStart w:id="59" w:name="_Toc141249481"/>
      <w:bookmarkStart w:id="60" w:name="_Toc141249495"/>
      <w:bookmarkStart w:id="61" w:name="_Toc141249689"/>
      <w:bookmarkStart w:id="62" w:name="_Toc141249702"/>
      <w:bookmarkStart w:id="63" w:name="_Toc221598023"/>
      <w:bookmarkStart w:id="64" w:name="_Toc356294686"/>
      <w:r w:rsidRPr="00B47352">
        <w:rPr>
          <w:highlight w:val="yellow"/>
        </w:rPr>
        <w:lastRenderedPageBreak/>
        <w:t xml:space="preserve">Auftrag und </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r w:rsidR="00816541" w:rsidRPr="00B47352">
        <w:rPr>
          <w:highlight w:val="yellow"/>
        </w:rPr>
        <w:t>Vorgehen</w:t>
      </w:r>
      <w:bookmarkEnd w:id="64"/>
    </w:p>
    <w:p w14:paraId="53FA1E1B" w14:textId="77777777" w:rsidR="00344523" w:rsidRPr="00B47352" w:rsidRDefault="00816541" w:rsidP="000818C4">
      <w:pPr>
        <w:pStyle w:val="berschrift2"/>
        <w:rPr>
          <w:highlight w:val="yellow"/>
        </w:rPr>
      </w:pPr>
      <w:bookmarkStart w:id="65" w:name="_Toc356294687"/>
      <w:r w:rsidRPr="00B47352">
        <w:rPr>
          <w:highlight w:val="yellow"/>
        </w:rPr>
        <w:t>Ausgangslage</w:t>
      </w:r>
      <w:bookmarkEnd w:id="65"/>
    </w:p>
    <w:p w14:paraId="3D61DADC" w14:textId="77777777" w:rsidR="009D55C8" w:rsidRPr="00B47352" w:rsidRDefault="00C4548C" w:rsidP="00E76AB5">
      <w:pPr>
        <w:ind w:right="-142"/>
        <w:rPr>
          <w:highlight w:val="yellow"/>
        </w:rPr>
      </w:pPr>
      <w:r w:rsidRPr="00B47352">
        <w:rPr>
          <w:highlight w:val="yellow"/>
        </w:rPr>
        <w:t>Gestützt auf die Artikel 5,</w:t>
      </w:r>
      <w:r w:rsidR="00C951DB" w:rsidRPr="00B47352">
        <w:rPr>
          <w:highlight w:val="yellow"/>
        </w:rPr>
        <w:t xml:space="preserve"> </w:t>
      </w:r>
      <w:r w:rsidRPr="00B47352">
        <w:rPr>
          <w:highlight w:val="yellow"/>
        </w:rPr>
        <w:t>6 und 8 des Bundesgesetzes über die Eidgenössische Finanzkontrol</w:t>
      </w:r>
      <w:r w:rsidR="009D55C8" w:rsidRPr="00B47352">
        <w:rPr>
          <w:highlight w:val="yellow"/>
        </w:rPr>
        <w:t>le vom 28. J</w:t>
      </w:r>
      <w:r w:rsidR="004233D2" w:rsidRPr="00B47352">
        <w:rPr>
          <w:highlight w:val="yellow"/>
        </w:rPr>
        <w:t>uni 1967 hat die EFK im Februar/März 2013 beim Bundesa</w:t>
      </w:r>
      <w:r w:rsidR="00D43486" w:rsidRPr="00B47352">
        <w:rPr>
          <w:highlight w:val="yellow"/>
        </w:rPr>
        <w:t xml:space="preserve">mt für Umwelt (BAFU) den </w:t>
      </w:r>
      <w:r w:rsidR="00B75D15" w:rsidRPr="00B47352">
        <w:rPr>
          <w:highlight w:val="yellow"/>
        </w:rPr>
        <w:t>Bereich</w:t>
      </w:r>
      <w:r w:rsidR="004233D2" w:rsidRPr="00B47352">
        <w:rPr>
          <w:highlight w:val="yellow"/>
        </w:rPr>
        <w:t xml:space="preserve"> Altlastenbearbeitung</w:t>
      </w:r>
      <w:r w:rsidR="00B75D15" w:rsidRPr="00B47352">
        <w:rPr>
          <w:highlight w:val="yellow"/>
        </w:rPr>
        <w:t xml:space="preserve"> und die diesbezügliche Spezialfinanzierung</w:t>
      </w:r>
      <w:r w:rsidR="004233D2" w:rsidRPr="00B47352">
        <w:rPr>
          <w:highlight w:val="yellow"/>
        </w:rPr>
        <w:t xml:space="preserve"> ge</w:t>
      </w:r>
      <w:r w:rsidR="00D006B0" w:rsidRPr="00B47352">
        <w:rPr>
          <w:highlight w:val="yellow"/>
        </w:rPr>
        <w:t>prüft.</w:t>
      </w:r>
    </w:p>
    <w:p w14:paraId="6E15F6B9" w14:textId="77777777" w:rsidR="00344523" w:rsidRPr="00B47352" w:rsidRDefault="00EC6622" w:rsidP="000F2C26">
      <w:pPr>
        <w:pStyle w:val="berschrift2"/>
        <w:rPr>
          <w:highlight w:val="yellow"/>
        </w:rPr>
      </w:pPr>
      <w:bookmarkStart w:id="66" w:name="_Toc161722420"/>
      <w:bookmarkStart w:id="67" w:name="_Toc356294688"/>
      <w:r w:rsidRPr="00B47352">
        <w:rPr>
          <w:highlight w:val="yellow"/>
        </w:rPr>
        <w:t>Prüfungsziel</w:t>
      </w:r>
      <w:bookmarkEnd w:id="66"/>
      <w:bookmarkEnd w:id="67"/>
    </w:p>
    <w:p w14:paraId="5BA6F803" w14:textId="77777777" w:rsidR="0076568D" w:rsidRPr="00B47352" w:rsidRDefault="00EF02A4" w:rsidP="007861B8">
      <w:pPr>
        <w:spacing w:before="60" w:after="120"/>
        <w:rPr>
          <w:highlight w:val="yellow"/>
        </w:rPr>
      </w:pPr>
      <w:r w:rsidRPr="00B47352">
        <w:rPr>
          <w:highlight w:val="yellow"/>
        </w:rPr>
        <w:t>Beurteilt wurde</w:t>
      </w:r>
      <w:r w:rsidR="00490530" w:rsidRPr="00B47352">
        <w:rPr>
          <w:highlight w:val="yellow"/>
        </w:rPr>
        <w:t xml:space="preserve"> </w:t>
      </w:r>
      <w:r w:rsidR="00366796" w:rsidRPr="00B47352">
        <w:rPr>
          <w:highlight w:val="yellow"/>
        </w:rPr>
        <w:t>die</w:t>
      </w:r>
      <w:r w:rsidR="0018445D" w:rsidRPr="00B47352">
        <w:rPr>
          <w:highlight w:val="yellow"/>
        </w:rPr>
        <w:t xml:space="preserve"> Altlastenbearbeitung nach M</w:t>
      </w:r>
      <w:r w:rsidR="0076568D" w:rsidRPr="00B47352">
        <w:rPr>
          <w:highlight w:val="yellow"/>
        </w:rPr>
        <w:t>ass</w:t>
      </w:r>
      <w:r w:rsidR="00436692" w:rsidRPr="00B47352">
        <w:rPr>
          <w:highlight w:val="yellow"/>
        </w:rPr>
        <w:t xml:space="preserve">gabe </w:t>
      </w:r>
      <w:r w:rsidR="0064443E" w:rsidRPr="00B47352">
        <w:rPr>
          <w:highlight w:val="yellow"/>
        </w:rPr>
        <w:t xml:space="preserve">des Umweltschutzgesetzes und </w:t>
      </w:r>
      <w:r w:rsidR="00436692" w:rsidRPr="00B47352">
        <w:rPr>
          <w:highlight w:val="yellow"/>
        </w:rPr>
        <w:t>der Altlastenverordnung und zudem</w:t>
      </w:r>
      <w:r w:rsidR="0076568D" w:rsidRPr="00B47352">
        <w:rPr>
          <w:highlight w:val="yellow"/>
        </w:rPr>
        <w:t xml:space="preserve"> die</w:t>
      </w:r>
      <w:r w:rsidR="00366796" w:rsidRPr="00B47352">
        <w:rPr>
          <w:highlight w:val="yellow"/>
        </w:rPr>
        <w:t xml:space="preserve"> Altlas</w:t>
      </w:r>
      <w:r w:rsidR="00436692" w:rsidRPr="00B47352">
        <w:rPr>
          <w:highlight w:val="yellow"/>
        </w:rPr>
        <w:t xml:space="preserve">tenabgaben </w:t>
      </w:r>
      <w:r w:rsidR="00366796" w:rsidRPr="00B47352">
        <w:rPr>
          <w:highlight w:val="yellow"/>
        </w:rPr>
        <w:t xml:space="preserve">einschliesslich </w:t>
      </w:r>
      <w:r w:rsidR="00436692" w:rsidRPr="00B47352">
        <w:rPr>
          <w:highlight w:val="yellow"/>
        </w:rPr>
        <w:t xml:space="preserve">den </w:t>
      </w:r>
      <w:r w:rsidR="00366796" w:rsidRPr="00B47352">
        <w:rPr>
          <w:highlight w:val="yellow"/>
        </w:rPr>
        <w:t>Altlastenfonds</w:t>
      </w:r>
      <w:r w:rsidR="0076568D" w:rsidRPr="00B47352">
        <w:rPr>
          <w:highlight w:val="yellow"/>
        </w:rPr>
        <w:t xml:space="preserve">. </w:t>
      </w:r>
      <w:r w:rsidR="000833C5" w:rsidRPr="00B47352">
        <w:rPr>
          <w:highlight w:val="yellow"/>
        </w:rPr>
        <w:t>D</w:t>
      </w:r>
      <w:r w:rsidR="0076568D" w:rsidRPr="00B47352">
        <w:rPr>
          <w:highlight w:val="yellow"/>
        </w:rPr>
        <w:t xml:space="preserve">ie Kontrollen </w:t>
      </w:r>
      <w:r w:rsidR="000833C5" w:rsidRPr="00B47352">
        <w:rPr>
          <w:highlight w:val="yellow"/>
        </w:rPr>
        <w:t xml:space="preserve">waren </w:t>
      </w:r>
      <w:r w:rsidR="0076568D" w:rsidRPr="00B47352">
        <w:rPr>
          <w:highlight w:val="yellow"/>
        </w:rPr>
        <w:t>auf die Rechts-, Ordnungs- und Zweckmässigkeit sowie die Wirksamkeit der dem BAFU in diesem Zusammenhang übertragenen Aufsichtsfunktion ausgerichtet.</w:t>
      </w:r>
    </w:p>
    <w:p w14:paraId="2F857F01" w14:textId="77777777" w:rsidR="00344523" w:rsidRPr="00B47352" w:rsidRDefault="00344523" w:rsidP="000F2C26">
      <w:pPr>
        <w:pStyle w:val="berschrift2"/>
        <w:rPr>
          <w:highlight w:val="yellow"/>
        </w:rPr>
      </w:pPr>
      <w:bookmarkStart w:id="68" w:name="_Toc360840015"/>
      <w:bookmarkStart w:id="69" w:name="_Toc360947124"/>
      <w:bookmarkStart w:id="70" w:name="_Toc360948802"/>
      <w:bookmarkStart w:id="71" w:name="_Toc360949629"/>
      <w:bookmarkStart w:id="72" w:name="_Toc360950326"/>
      <w:bookmarkStart w:id="73" w:name="_Toc360952283"/>
      <w:bookmarkStart w:id="74" w:name="_Toc361016133"/>
      <w:bookmarkStart w:id="75" w:name="_Toc361016729"/>
      <w:bookmarkStart w:id="76" w:name="_Toc361022780"/>
      <w:bookmarkStart w:id="77" w:name="_Toc361024307"/>
      <w:bookmarkStart w:id="78" w:name="_Toc362839561"/>
      <w:bookmarkStart w:id="79" w:name="_Toc362916985"/>
      <w:bookmarkStart w:id="80" w:name="_Toc363372423"/>
      <w:bookmarkStart w:id="81" w:name="_Toc363456150"/>
      <w:bookmarkStart w:id="82" w:name="_Toc363456169"/>
      <w:bookmarkStart w:id="83" w:name="_Toc363456334"/>
      <w:bookmarkStart w:id="84" w:name="_Toc366046500"/>
      <w:bookmarkStart w:id="85" w:name="_Toc373049469"/>
      <w:bookmarkStart w:id="86" w:name="_Toc374261591"/>
      <w:bookmarkStart w:id="87" w:name="_Toc374261787"/>
      <w:bookmarkStart w:id="88" w:name="_Toc374261860"/>
      <w:bookmarkStart w:id="89" w:name="_Toc375386536"/>
      <w:bookmarkStart w:id="90" w:name="_Toc375386714"/>
      <w:bookmarkStart w:id="91" w:name="_Toc375386916"/>
      <w:bookmarkStart w:id="92" w:name="_Toc375386974"/>
      <w:bookmarkStart w:id="93" w:name="_Toc375387155"/>
      <w:bookmarkStart w:id="94" w:name="_Toc375387420"/>
      <w:bookmarkStart w:id="95" w:name="_Toc375387525"/>
      <w:bookmarkStart w:id="96" w:name="_Toc375387547"/>
      <w:bookmarkStart w:id="97" w:name="_Toc70394778"/>
      <w:bookmarkStart w:id="98" w:name="_Toc79390170"/>
      <w:bookmarkStart w:id="99" w:name="_Toc79390320"/>
      <w:bookmarkStart w:id="100" w:name="_Toc79390333"/>
      <w:bookmarkStart w:id="101" w:name="_Toc79390384"/>
      <w:bookmarkStart w:id="102" w:name="_Toc79392007"/>
      <w:bookmarkStart w:id="103" w:name="_Toc80068316"/>
      <w:bookmarkStart w:id="104" w:name="_Toc80068398"/>
      <w:bookmarkStart w:id="105" w:name="_Toc80068524"/>
      <w:bookmarkStart w:id="106" w:name="_Toc80467574"/>
      <w:bookmarkStart w:id="107" w:name="_Toc81181732"/>
      <w:bookmarkStart w:id="108" w:name="_Toc81571144"/>
      <w:bookmarkStart w:id="109" w:name="_Toc81571165"/>
      <w:bookmarkStart w:id="110" w:name="_Toc141248394"/>
      <w:bookmarkStart w:id="111" w:name="_Toc141248437"/>
      <w:bookmarkStart w:id="112" w:name="_Toc141249051"/>
      <w:bookmarkStart w:id="113" w:name="_Toc141249064"/>
      <w:bookmarkStart w:id="114" w:name="_Toc141249078"/>
      <w:bookmarkStart w:id="115" w:name="_Toc141249092"/>
      <w:bookmarkStart w:id="116" w:name="_Toc141249106"/>
      <w:bookmarkStart w:id="117" w:name="_Toc141249120"/>
      <w:bookmarkStart w:id="118" w:name="_Toc141249134"/>
      <w:bookmarkStart w:id="119" w:name="_Toc141249148"/>
      <w:bookmarkStart w:id="120" w:name="_Toc141249162"/>
      <w:bookmarkStart w:id="121" w:name="_Toc141249176"/>
      <w:bookmarkStart w:id="122" w:name="_Toc141249190"/>
      <w:bookmarkStart w:id="123" w:name="_Toc141249204"/>
      <w:bookmarkStart w:id="124" w:name="_Toc141249218"/>
      <w:bookmarkStart w:id="125" w:name="_Toc141249232"/>
      <w:bookmarkStart w:id="126" w:name="_Toc141249246"/>
      <w:bookmarkStart w:id="127" w:name="_Toc141249260"/>
      <w:bookmarkStart w:id="128" w:name="_Toc141249274"/>
      <w:bookmarkStart w:id="129" w:name="_Toc141249288"/>
      <w:bookmarkStart w:id="130" w:name="_Toc141249302"/>
      <w:bookmarkStart w:id="131" w:name="_Toc141249316"/>
      <w:bookmarkStart w:id="132" w:name="_Toc141249330"/>
      <w:bookmarkStart w:id="133" w:name="_Toc141249344"/>
      <w:bookmarkStart w:id="134" w:name="_Toc141249358"/>
      <w:bookmarkStart w:id="135" w:name="_Toc141249372"/>
      <w:bookmarkStart w:id="136" w:name="_Toc141249386"/>
      <w:bookmarkStart w:id="137" w:name="_Toc141249400"/>
      <w:bookmarkStart w:id="138" w:name="_Toc141249414"/>
      <w:bookmarkStart w:id="139" w:name="_Toc141249428"/>
      <w:bookmarkStart w:id="140" w:name="_Toc141249442"/>
      <w:bookmarkStart w:id="141" w:name="_Toc141249456"/>
      <w:bookmarkStart w:id="142" w:name="_Toc141249470"/>
      <w:bookmarkStart w:id="143" w:name="_Toc141249484"/>
      <w:bookmarkStart w:id="144" w:name="_Toc141249498"/>
      <w:bookmarkStart w:id="145" w:name="_Toc141249692"/>
      <w:bookmarkStart w:id="146" w:name="_Toc141249705"/>
      <w:bookmarkStart w:id="147" w:name="_Toc221598026"/>
      <w:bookmarkStart w:id="148" w:name="_Toc356294689"/>
      <w:r w:rsidRPr="00B47352">
        <w:rPr>
          <w:highlight w:val="yellow"/>
        </w:rPr>
        <w:t>Prüfungsumfang und -grundsätze</w:t>
      </w:r>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p>
    <w:p w14:paraId="2F662321" w14:textId="77777777" w:rsidR="00EC6622" w:rsidRPr="00B47352" w:rsidRDefault="0015629D" w:rsidP="00C3005C">
      <w:pPr>
        <w:rPr>
          <w:highlight w:val="yellow"/>
        </w:rPr>
      </w:pPr>
      <w:r w:rsidRPr="00B47352">
        <w:rPr>
          <w:highlight w:val="yellow"/>
        </w:rPr>
        <w:t>Die Prüfung wurde von Jürg Pfenninger</w:t>
      </w:r>
      <w:r w:rsidR="00660330" w:rsidRPr="00B47352">
        <w:rPr>
          <w:highlight w:val="yellow"/>
        </w:rPr>
        <w:t xml:space="preserve"> </w:t>
      </w:r>
      <w:r w:rsidRPr="00B47352">
        <w:rPr>
          <w:highlight w:val="yellow"/>
        </w:rPr>
        <w:t>un</w:t>
      </w:r>
      <w:r w:rsidR="004E4B8A" w:rsidRPr="00B47352">
        <w:rPr>
          <w:highlight w:val="yellow"/>
        </w:rPr>
        <w:t xml:space="preserve">d Peter </w:t>
      </w:r>
      <w:proofErr w:type="spellStart"/>
      <w:r w:rsidR="004E4B8A" w:rsidRPr="00B47352">
        <w:rPr>
          <w:highlight w:val="yellow"/>
        </w:rPr>
        <w:t>Kummli</w:t>
      </w:r>
      <w:proofErr w:type="spellEnd"/>
      <w:r w:rsidRPr="00B47352">
        <w:rPr>
          <w:highlight w:val="yellow"/>
        </w:rPr>
        <w:t xml:space="preserve"> </w:t>
      </w:r>
      <w:r w:rsidR="00EC6622" w:rsidRPr="00B47352">
        <w:rPr>
          <w:highlight w:val="yellow"/>
        </w:rPr>
        <w:t xml:space="preserve">durchgeführt. Sie bezog sich auf </w:t>
      </w:r>
      <w:r w:rsidR="00B01595" w:rsidRPr="00B47352">
        <w:rPr>
          <w:highlight w:val="yellow"/>
        </w:rPr>
        <w:t>folgende Prüffelder:</w:t>
      </w:r>
    </w:p>
    <w:p w14:paraId="7C5E73B0" w14:textId="77777777" w:rsidR="00B01595" w:rsidRPr="00B47352" w:rsidRDefault="00067BE6" w:rsidP="00913BC9">
      <w:pPr>
        <w:pStyle w:val="Listenabsatz"/>
        <w:numPr>
          <w:ilvl w:val="0"/>
          <w:numId w:val="8"/>
        </w:numPr>
        <w:tabs>
          <w:tab w:val="left" w:pos="1035"/>
        </w:tabs>
        <w:spacing w:before="120" w:after="60"/>
        <w:ind w:left="425" w:hanging="357"/>
        <w:contextualSpacing w:val="0"/>
        <w:rPr>
          <w:highlight w:val="yellow"/>
        </w:rPr>
      </w:pPr>
      <w:r w:rsidRPr="00B47352">
        <w:rPr>
          <w:highlight w:val="yellow"/>
        </w:rPr>
        <w:t>Vollzug der</w:t>
      </w:r>
      <w:r w:rsidR="004E4B8A" w:rsidRPr="00B47352">
        <w:rPr>
          <w:highlight w:val="yellow"/>
        </w:rPr>
        <w:t xml:space="preserve"> Altlastenverordnung</w:t>
      </w:r>
      <w:r w:rsidR="00B01595" w:rsidRPr="00B47352">
        <w:rPr>
          <w:highlight w:val="yellow"/>
        </w:rPr>
        <w:t>,</w:t>
      </w:r>
    </w:p>
    <w:p w14:paraId="4E892AD0" w14:textId="77777777" w:rsidR="00B01595" w:rsidRPr="00B47352" w:rsidRDefault="00444D33" w:rsidP="00913BC9">
      <w:pPr>
        <w:pStyle w:val="Listenabsatz"/>
        <w:numPr>
          <w:ilvl w:val="0"/>
          <w:numId w:val="8"/>
        </w:numPr>
        <w:tabs>
          <w:tab w:val="left" w:pos="1035"/>
        </w:tabs>
        <w:spacing w:after="120" w:line="240" w:lineRule="auto"/>
        <w:ind w:left="425" w:hanging="357"/>
        <w:contextualSpacing w:val="0"/>
        <w:rPr>
          <w:highlight w:val="yellow"/>
        </w:rPr>
      </w:pPr>
      <w:r w:rsidRPr="00B47352">
        <w:rPr>
          <w:highlight w:val="yellow"/>
        </w:rPr>
        <w:t>Sanierungsprojekte: Areal CANVA Zuchwil und Sondermülldeponie Kölliken</w:t>
      </w:r>
      <w:r w:rsidR="00B01595" w:rsidRPr="00B47352">
        <w:rPr>
          <w:highlight w:val="yellow"/>
        </w:rPr>
        <w:t>,</w:t>
      </w:r>
    </w:p>
    <w:p w14:paraId="7F3C3B69" w14:textId="77777777" w:rsidR="00444D33" w:rsidRPr="00B47352" w:rsidRDefault="00067BE6" w:rsidP="00913BC9">
      <w:pPr>
        <w:pStyle w:val="Listenabsatz"/>
        <w:numPr>
          <w:ilvl w:val="0"/>
          <w:numId w:val="8"/>
        </w:numPr>
        <w:tabs>
          <w:tab w:val="left" w:pos="1035"/>
        </w:tabs>
        <w:spacing w:before="120" w:after="60"/>
        <w:ind w:left="425" w:right="141" w:hanging="357"/>
        <w:contextualSpacing w:val="0"/>
        <w:rPr>
          <w:highlight w:val="yellow"/>
        </w:rPr>
      </w:pPr>
      <w:r w:rsidRPr="00B47352">
        <w:rPr>
          <w:highlight w:val="yellow"/>
        </w:rPr>
        <w:t>Vollzug der</w:t>
      </w:r>
      <w:r w:rsidR="00444D33" w:rsidRPr="00B47352">
        <w:rPr>
          <w:highlight w:val="yellow"/>
        </w:rPr>
        <w:t xml:space="preserve"> Verordnung über die Abgabe zur Sanierung von Altlasten,</w:t>
      </w:r>
    </w:p>
    <w:p w14:paraId="44C020C8" w14:textId="77777777" w:rsidR="00602D32" w:rsidRPr="00B47352" w:rsidRDefault="00602D32" w:rsidP="00913BC9">
      <w:pPr>
        <w:pStyle w:val="Listenabsatz"/>
        <w:numPr>
          <w:ilvl w:val="0"/>
          <w:numId w:val="8"/>
        </w:numPr>
        <w:tabs>
          <w:tab w:val="left" w:pos="1035"/>
        </w:tabs>
        <w:spacing w:before="120" w:after="60"/>
        <w:ind w:left="425" w:hanging="357"/>
        <w:contextualSpacing w:val="0"/>
        <w:rPr>
          <w:highlight w:val="yellow"/>
        </w:rPr>
      </w:pPr>
      <w:r w:rsidRPr="00B47352">
        <w:rPr>
          <w:highlight w:val="yellow"/>
        </w:rPr>
        <w:t>Entwicklung und Bestand des Altlastenfonds,</w:t>
      </w:r>
    </w:p>
    <w:p w14:paraId="19B67964" w14:textId="77777777" w:rsidR="00B01595" w:rsidRPr="00B47352" w:rsidRDefault="00B01595" w:rsidP="00913BC9">
      <w:pPr>
        <w:pStyle w:val="Listenabsatz"/>
        <w:numPr>
          <w:ilvl w:val="0"/>
          <w:numId w:val="8"/>
        </w:numPr>
        <w:tabs>
          <w:tab w:val="left" w:pos="1035"/>
        </w:tabs>
        <w:spacing w:after="120" w:line="240" w:lineRule="auto"/>
        <w:ind w:left="425" w:hanging="357"/>
        <w:contextualSpacing w:val="0"/>
        <w:rPr>
          <w:highlight w:val="yellow"/>
        </w:rPr>
      </w:pPr>
      <w:r w:rsidRPr="00B47352">
        <w:rPr>
          <w:highlight w:val="yellow"/>
        </w:rPr>
        <w:t>Kreditverwaltung</w:t>
      </w:r>
      <w:r w:rsidR="00E10BE8" w:rsidRPr="00B47352">
        <w:rPr>
          <w:highlight w:val="yellow"/>
        </w:rPr>
        <w:t xml:space="preserve"> inkl. Verpflichtungskredite</w:t>
      </w:r>
      <w:r w:rsidR="00B03544" w:rsidRPr="00B47352">
        <w:rPr>
          <w:highlight w:val="yellow"/>
        </w:rPr>
        <w:t>.</w:t>
      </w:r>
    </w:p>
    <w:p w14:paraId="085BB7EA" w14:textId="77777777" w:rsidR="00B01595" w:rsidRPr="00B47352" w:rsidRDefault="00B01595" w:rsidP="00C3005C">
      <w:pPr>
        <w:rPr>
          <w:highlight w:val="yellow"/>
        </w:rPr>
      </w:pPr>
      <w:r w:rsidRPr="00B47352">
        <w:rPr>
          <w:highlight w:val="yellow"/>
        </w:rPr>
        <w:t xml:space="preserve">Nicht </w:t>
      </w:r>
      <w:r w:rsidR="00F633BA" w:rsidRPr="00B47352">
        <w:rPr>
          <w:highlight w:val="yellow"/>
        </w:rPr>
        <w:t>Gegenstand der Prüfung waren</w:t>
      </w:r>
      <w:r w:rsidRPr="00B47352">
        <w:rPr>
          <w:highlight w:val="yellow"/>
        </w:rPr>
        <w:t xml:space="preserve"> </w:t>
      </w:r>
      <w:r w:rsidR="00C3656F" w:rsidRPr="00B47352">
        <w:rPr>
          <w:highlight w:val="yellow"/>
        </w:rPr>
        <w:t xml:space="preserve">bundeseigene </w:t>
      </w:r>
      <w:r w:rsidR="00C22004" w:rsidRPr="00B47352">
        <w:rPr>
          <w:highlight w:val="yellow"/>
        </w:rPr>
        <w:t>belastete Standorte, die in</w:t>
      </w:r>
      <w:r w:rsidR="00F633BA" w:rsidRPr="00B47352">
        <w:rPr>
          <w:highlight w:val="yellow"/>
        </w:rPr>
        <w:t xml:space="preserve"> Verantwortungsbereich</w:t>
      </w:r>
      <w:r w:rsidR="00C22004" w:rsidRPr="00B47352">
        <w:rPr>
          <w:highlight w:val="yellow"/>
        </w:rPr>
        <w:t>en des</w:t>
      </w:r>
      <w:r w:rsidR="0015629D" w:rsidRPr="00B47352">
        <w:rPr>
          <w:highlight w:val="yellow"/>
        </w:rPr>
        <w:t xml:space="preserve"> VBS, </w:t>
      </w:r>
      <w:r w:rsidR="00C22004" w:rsidRPr="00B47352">
        <w:rPr>
          <w:highlight w:val="yellow"/>
        </w:rPr>
        <w:t xml:space="preserve">BAV </w:t>
      </w:r>
      <w:r w:rsidR="0015629D" w:rsidRPr="00B47352">
        <w:rPr>
          <w:highlight w:val="yellow"/>
        </w:rPr>
        <w:t xml:space="preserve">und </w:t>
      </w:r>
      <w:r w:rsidR="00C22004" w:rsidRPr="00B47352">
        <w:rPr>
          <w:highlight w:val="yellow"/>
        </w:rPr>
        <w:t>BAZL bearbeitet werden</w:t>
      </w:r>
      <w:r w:rsidR="00F633BA" w:rsidRPr="00B47352">
        <w:rPr>
          <w:highlight w:val="yellow"/>
        </w:rPr>
        <w:t>.</w:t>
      </w:r>
    </w:p>
    <w:p w14:paraId="41AB4388" w14:textId="77777777" w:rsidR="007861B8" w:rsidRPr="00B47352" w:rsidRDefault="00E470A7" w:rsidP="006029B7">
      <w:pPr>
        <w:rPr>
          <w:highlight w:val="yellow"/>
        </w:rPr>
      </w:pPr>
      <w:r w:rsidRPr="00B47352">
        <w:rPr>
          <w:highlight w:val="yellow"/>
        </w:rPr>
        <w:t>Die Schlussfolgerungen im Bericht stützen sich auf unterschiedliche stichprobenweise durchgeführte Prüfungen von Belegen, Transaktionen sowie auf Interviews. Die Festlegung dieser Stichproben basiert auf dem Prinzip der Wesentlichkeit und auf Risikoüberlegungen zu den in die Prüfung einbezogenen Bereichen der Geschäftstätigkeit. Es handelt sich also nicht in allen Fällen um repräsentative Stichproben.</w:t>
      </w:r>
    </w:p>
    <w:p w14:paraId="624A82BC" w14:textId="77777777" w:rsidR="00344523" w:rsidRPr="00B47352" w:rsidRDefault="00344523" w:rsidP="006E09D4">
      <w:pPr>
        <w:pStyle w:val="berschrift2"/>
        <w:rPr>
          <w:highlight w:val="yellow"/>
        </w:rPr>
      </w:pPr>
      <w:bookmarkStart w:id="149" w:name="_Toc360840016"/>
      <w:bookmarkStart w:id="150" w:name="_Toc360947125"/>
      <w:bookmarkStart w:id="151" w:name="_Toc360948803"/>
      <w:bookmarkStart w:id="152" w:name="_Toc360949630"/>
      <w:bookmarkStart w:id="153" w:name="_Toc360950327"/>
      <w:bookmarkStart w:id="154" w:name="_Toc360952284"/>
      <w:bookmarkStart w:id="155" w:name="_Toc361016134"/>
      <w:bookmarkStart w:id="156" w:name="_Toc361016730"/>
      <w:bookmarkStart w:id="157" w:name="_Toc361022781"/>
      <w:bookmarkStart w:id="158" w:name="_Toc361024308"/>
      <w:bookmarkStart w:id="159" w:name="_Toc362839562"/>
      <w:bookmarkStart w:id="160" w:name="_Toc362916986"/>
      <w:bookmarkStart w:id="161" w:name="_Toc363372424"/>
      <w:bookmarkStart w:id="162" w:name="_Toc363456151"/>
      <w:bookmarkStart w:id="163" w:name="_Toc363456170"/>
      <w:bookmarkStart w:id="164" w:name="_Toc363456335"/>
      <w:bookmarkStart w:id="165" w:name="_Toc366046501"/>
      <w:bookmarkStart w:id="166" w:name="_Toc373049470"/>
      <w:bookmarkStart w:id="167" w:name="_Toc374261592"/>
      <w:bookmarkStart w:id="168" w:name="_Toc374261788"/>
      <w:bookmarkStart w:id="169" w:name="_Toc374261861"/>
      <w:bookmarkStart w:id="170" w:name="_Toc375386537"/>
      <w:bookmarkStart w:id="171" w:name="_Toc375386715"/>
      <w:bookmarkStart w:id="172" w:name="_Toc375386917"/>
      <w:bookmarkStart w:id="173" w:name="_Toc375386975"/>
      <w:bookmarkStart w:id="174" w:name="_Toc375387156"/>
      <w:bookmarkStart w:id="175" w:name="_Toc375387421"/>
      <w:bookmarkStart w:id="176" w:name="_Toc375387526"/>
      <w:bookmarkStart w:id="177" w:name="_Toc375387548"/>
      <w:bookmarkStart w:id="178" w:name="_Toc63493202"/>
      <w:bookmarkStart w:id="179" w:name="_Toc70393338"/>
      <w:bookmarkStart w:id="180" w:name="_Toc70394779"/>
      <w:bookmarkStart w:id="181" w:name="_Toc79390171"/>
      <w:bookmarkStart w:id="182" w:name="_Toc79390321"/>
      <w:bookmarkStart w:id="183" w:name="_Toc79390334"/>
      <w:bookmarkStart w:id="184" w:name="_Toc79390385"/>
      <w:bookmarkStart w:id="185" w:name="_Toc79392008"/>
      <w:bookmarkStart w:id="186" w:name="_Toc80068317"/>
      <w:bookmarkStart w:id="187" w:name="_Toc80068399"/>
      <w:bookmarkStart w:id="188" w:name="_Toc80068525"/>
      <w:bookmarkStart w:id="189" w:name="_Toc80467575"/>
      <w:bookmarkStart w:id="190" w:name="_Toc81181733"/>
      <w:bookmarkStart w:id="191" w:name="_Toc81571145"/>
      <w:bookmarkStart w:id="192" w:name="_Toc81571166"/>
      <w:bookmarkStart w:id="193" w:name="_Toc141248395"/>
      <w:bookmarkStart w:id="194" w:name="_Toc141248438"/>
      <w:bookmarkStart w:id="195" w:name="_Toc141249052"/>
      <w:bookmarkStart w:id="196" w:name="_Toc141249065"/>
      <w:bookmarkStart w:id="197" w:name="_Toc141249079"/>
      <w:bookmarkStart w:id="198" w:name="_Toc141249093"/>
      <w:bookmarkStart w:id="199" w:name="_Toc141249107"/>
      <w:bookmarkStart w:id="200" w:name="_Toc141249121"/>
      <w:bookmarkStart w:id="201" w:name="_Toc141249135"/>
      <w:bookmarkStart w:id="202" w:name="_Toc141249149"/>
      <w:bookmarkStart w:id="203" w:name="_Toc141249163"/>
      <w:bookmarkStart w:id="204" w:name="_Toc141249177"/>
      <w:bookmarkStart w:id="205" w:name="_Toc141249191"/>
      <w:bookmarkStart w:id="206" w:name="_Toc141249205"/>
      <w:bookmarkStart w:id="207" w:name="_Toc141249219"/>
      <w:bookmarkStart w:id="208" w:name="_Toc141249233"/>
      <w:bookmarkStart w:id="209" w:name="_Toc141249247"/>
      <w:bookmarkStart w:id="210" w:name="_Toc141249261"/>
      <w:bookmarkStart w:id="211" w:name="_Toc141249275"/>
      <w:bookmarkStart w:id="212" w:name="_Toc141249289"/>
      <w:bookmarkStart w:id="213" w:name="_Toc141249303"/>
      <w:bookmarkStart w:id="214" w:name="_Toc141249317"/>
      <w:bookmarkStart w:id="215" w:name="_Toc141249331"/>
      <w:bookmarkStart w:id="216" w:name="_Toc141249345"/>
      <w:bookmarkStart w:id="217" w:name="_Toc141249359"/>
      <w:bookmarkStart w:id="218" w:name="_Toc141249373"/>
      <w:bookmarkStart w:id="219" w:name="_Toc141249387"/>
      <w:bookmarkStart w:id="220" w:name="_Toc141249401"/>
      <w:bookmarkStart w:id="221" w:name="_Toc141249415"/>
      <w:bookmarkStart w:id="222" w:name="_Toc141249429"/>
      <w:bookmarkStart w:id="223" w:name="_Toc141249443"/>
      <w:bookmarkStart w:id="224" w:name="_Toc141249457"/>
      <w:bookmarkStart w:id="225" w:name="_Toc141249471"/>
      <w:bookmarkStart w:id="226" w:name="_Toc141249485"/>
      <w:bookmarkStart w:id="227" w:name="_Toc141249499"/>
      <w:bookmarkStart w:id="228" w:name="_Toc141249693"/>
      <w:bookmarkStart w:id="229" w:name="_Toc141249706"/>
      <w:bookmarkStart w:id="230" w:name="_Toc221598027"/>
      <w:bookmarkStart w:id="231" w:name="_Toc356294690"/>
      <w:r w:rsidRPr="00B47352">
        <w:rPr>
          <w:highlight w:val="yellow"/>
        </w:rPr>
        <w:t>Unterlagen und Auskunftserteilung</w:t>
      </w:r>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p>
    <w:p w14:paraId="5F864754" w14:textId="77777777" w:rsidR="00745BB9" w:rsidRDefault="00745BB9" w:rsidP="00745BB9">
      <w:r w:rsidRPr="00B47352">
        <w:rPr>
          <w:highlight w:val="yellow"/>
        </w:rPr>
        <w:t xml:space="preserve">Die notwendigen Auskünfte wurden </w:t>
      </w:r>
      <w:r w:rsidR="00E76AB5" w:rsidRPr="00B47352">
        <w:rPr>
          <w:highlight w:val="yellow"/>
        </w:rPr>
        <w:t xml:space="preserve">sehr </w:t>
      </w:r>
      <w:r w:rsidRPr="00B47352">
        <w:rPr>
          <w:highlight w:val="yellow"/>
        </w:rPr>
        <w:t>zuvorkommend und kompetent erteilt. Die gewünschten Unterlagen standen uneingeschränkt zur Verfügung.</w:t>
      </w:r>
      <w:r w:rsidRPr="000900AE">
        <w:t xml:space="preserve"> </w:t>
      </w:r>
    </w:p>
    <w:p w14:paraId="3D6B43F9" w14:textId="77777777" w:rsidR="00344523" w:rsidRDefault="00344523" w:rsidP="00C3005C"/>
    <w:p w14:paraId="571B74DB" w14:textId="77777777" w:rsidR="00605CF7" w:rsidRDefault="00605CF7" w:rsidP="00C3005C"/>
    <w:p w14:paraId="535EE7C0" w14:textId="77777777" w:rsidR="00ED514E" w:rsidRDefault="00ED514E" w:rsidP="00C3005C"/>
    <w:p w14:paraId="7AED83B1" w14:textId="77777777" w:rsidR="00280BBE" w:rsidRDefault="00280BBE" w:rsidP="00C3005C"/>
    <w:p w14:paraId="04E2206E" w14:textId="77777777" w:rsidR="00D96830" w:rsidRPr="00B47352" w:rsidRDefault="00D96830" w:rsidP="00D96830">
      <w:pPr>
        <w:pStyle w:val="berschrift1"/>
        <w:tabs>
          <w:tab w:val="clear" w:pos="8789"/>
        </w:tabs>
        <w:rPr>
          <w:highlight w:val="green"/>
        </w:rPr>
      </w:pPr>
      <w:bookmarkStart w:id="232" w:name="_Toc356294691"/>
      <w:r w:rsidRPr="00B47352">
        <w:rPr>
          <w:highlight w:val="green"/>
        </w:rPr>
        <w:lastRenderedPageBreak/>
        <w:t>Reorganisation in den Funktionsbereiche</w:t>
      </w:r>
      <w:r w:rsidR="00686589" w:rsidRPr="00B47352">
        <w:rPr>
          <w:highlight w:val="green"/>
        </w:rPr>
        <w:t>n</w:t>
      </w:r>
      <w:r w:rsidRPr="00B47352">
        <w:rPr>
          <w:highlight w:val="green"/>
        </w:rPr>
        <w:t xml:space="preserve"> Altlastenbearbeitung</w:t>
      </w:r>
      <w:r w:rsidRPr="00B47352">
        <w:rPr>
          <w:highlight w:val="green"/>
        </w:rPr>
        <w:br/>
        <w:t>und Abgabeerhebung</w:t>
      </w:r>
      <w:bookmarkEnd w:id="232"/>
    </w:p>
    <w:p w14:paraId="7202CAA3" w14:textId="77777777" w:rsidR="00D96830" w:rsidRPr="00B47352" w:rsidRDefault="00D96830" w:rsidP="00D96830">
      <w:pPr>
        <w:rPr>
          <w:highlight w:val="green"/>
          <w:lang w:eastAsia="de-DE"/>
        </w:rPr>
      </w:pPr>
      <w:r w:rsidRPr="00B47352">
        <w:rPr>
          <w:highlight w:val="green"/>
          <w:lang w:eastAsia="de-DE"/>
        </w:rPr>
        <w:t>Die letztjährige Reorganisation bei den Zuständigkeiten der Altlastenbearbeitung und Abgabeerhebungen befand sich im Zeitraum der Revision in der Konsolidierungsphase. Die Aufgaben sind neu auf die Abteilungen „Boden und Biotechnologie“ sowie „Abfall und Rohstoffe“ verteilt. Für die Altlastenbearbeitung und die damit verbundenen Abgeltungen ist die Sektion „Altlasten“ innerhalb der Abteilung „Boden und Biotechnologie“ verantwortlich. Im zweiten Quartal dieses Jahres wird die Sektion mit einer zusätzlichen Fachkraft ergänzt und wird dann voll funktionsfähig sein. Für die VASA-Abgabeerhebungen sind bei der Abteilung „Abfall und Rohstoffe“ die Sektion „Bauabfälle und Deponien“ und unterstützend die Sektion „Industrieabfälle“ (grenzüberschreitende Abfallentsorgung) zuständig. Derzeit sind bei der Sektion „Bauabfälle und Deponien“ zwei vakante Stellen zu besetzen</w:t>
      </w:r>
      <w:r w:rsidR="00C97A9E" w:rsidRPr="00B47352">
        <w:rPr>
          <w:highlight w:val="green"/>
          <w:lang w:eastAsia="de-DE"/>
        </w:rPr>
        <w:t xml:space="preserve"> (Profil: wissenschaftliche Spezialkenntnisse)</w:t>
      </w:r>
      <w:r w:rsidRPr="00B47352">
        <w:rPr>
          <w:highlight w:val="green"/>
          <w:lang w:eastAsia="de-DE"/>
        </w:rPr>
        <w:t xml:space="preserve">. Zudem ist die Sektion </w:t>
      </w:r>
      <w:r w:rsidR="00806830" w:rsidRPr="00B47352">
        <w:rPr>
          <w:highlight w:val="green"/>
          <w:lang w:eastAsia="de-DE"/>
        </w:rPr>
        <w:t>aktuell mit der Aufarbeitung</w:t>
      </w:r>
      <w:r w:rsidRPr="00B47352">
        <w:rPr>
          <w:highlight w:val="green"/>
          <w:lang w:eastAsia="de-DE"/>
        </w:rPr>
        <w:t xml:space="preserve"> begründeter Pendenzen beschäftigt. Bis zur vollständigen Rückführung in den Regelbetrieb werden die verschiedenen Aufgaben nach Prioritäten er</w:t>
      </w:r>
      <w:r w:rsidR="00357DE4" w:rsidRPr="00B47352">
        <w:rPr>
          <w:highlight w:val="green"/>
          <w:lang w:eastAsia="de-DE"/>
        </w:rPr>
        <w:t>ledigt (vgl. dazu auch Kapitel 6.1</w:t>
      </w:r>
      <w:r w:rsidRPr="00B47352">
        <w:rPr>
          <w:highlight w:val="green"/>
          <w:lang w:eastAsia="de-DE"/>
        </w:rPr>
        <w:t>).</w:t>
      </w:r>
    </w:p>
    <w:p w14:paraId="7024D5A2" w14:textId="77777777" w:rsidR="00344523" w:rsidRPr="00B47352" w:rsidRDefault="00CD70AA" w:rsidP="000F2C26">
      <w:pPr>
        <w:pStyle w:val="berschrift1"/>
        <w:rPr>
          <w:highlight w:val="green"/>
        </w:rPr>
      </w:pPr>
      <w:bookmarkStart w:id="233" w:name="_Toc356294692"/>
      <w:r w:rsidRPr="00B47352">
        <w:rPr>
          <w:highlight w:val="green"/>
        </w:rPr>
        <w:t>Die Altlastenbearbeitung im Überblick</w:t>
      </w:r>
      <w:bookmarkEnd w:id="233"/>
    </w:p>
    <w:p w14:paraId="5024A2F5" w14:textId="77777777" w:rsidR="00136D21" w:rsidRPr="00B47352" w:rsidRDefault="00F31545" w:rsidP="00E62287">
      <w:pPr>
        <w:rPr>
          <w:highlight w:val="green"/>
          <w:lang w:eastAsia="de-DE"/>
        </w:rPr>
      </w:pPr>
      <w:r w:rsidRPr="00B47352">
        <w:rPr>
          <w:highlight w:val="green"/>
          <w:lang w:eastAsia="de-DE"/>
        </w:rPr>
        <w:t xml:space="preserve">Weil die Siedlungsdichte in der Schweiz hoch ist und belastete Standorte oft in der Nähe von Grundwasservorkommen liegen, </w:t>
      </w:r>
      <w:r w:rsidR="00730FEC" w:rsidRPr="00B47352">
        <w:rPr>
          <w:highlight w:val="green"/>
          <w:lang w:eastAsia="de-DE"/>
        </w:rPr>
        <w:t xml:space="preserve">sind Altlasten und deren Umweltgefährdung ein ernst zu </w:t>
      </w:r>
      <w:r w:rsidRPr="00B47352">
        <w:rPr>
          <w:highlight w:val="green"/>
          <w:lang w:eastAsia="de-DE"/>
        </w:rPr>
        <w:t>nehmendes Problem.</w:t>
      </w:r>
      <w:r w:rsidR="00856467" w:rsidRPr="00B47352">
        <w:rPr>
          <w:highlight w:val="green"/>
          <w:lang w:eastAsia="de-DE"/>
        </w:rPr>
        <w:t xml:space="preserve"> Mit den</w:t>
      </w:r>
      <w:r w:rsidR="00136D21" w:rsidRPr="00B47352">
        <w:rPr>
          <w:highlight w:val="green"/>
          <w:lang w:eastAsia="de-DE"/>
        </w:rPr>
        <w:t xml:space="preserve"> Massnahmen der Altlastenbearbeitung sollen die negativen Auswirkungen des sorglosen Umgangs mit Abfällen früherer Jahre </w:t>
      </w:r>
      <w:r w:rsidRPr="00B47352">
        <w:rPr>
          <w:highlight w:val="green"/>
          <w:lang w:eastAsia="de-DE"/>
        </w:rPr>
        <w:t>überwacht und nötigenfalls beseitigt</w:t>
      </w:r>
      <w:r w:rsidR="00136D21" w:rsidRPr="00B47352">
        <w:rPr>
          <w:highlight w:val="green"/>
          <w:lang w:eastAsia="de-DE"/>
        </w:rPr>
        <w:t xml:space="preserve"> werden. </w:t>
      </w:r>
      <w:r w:rsidR="00856467" w:rsidRPr="00B47352">
        <w:rPr>
          <w:highlight w:val="green"/>
          <w:lang w:eastAsia="de-DE"/>
        </w:rPr>
        <w:t>Die normativen Grundlagen finden sich im Umweltschutzgesetz und in der Altlastenverordnung</w:t>
      </w:r>
      <w:r w:rsidR="00E60897" w:rsidRPr="00B47352">
        <w:rPr>
          <w:highlight w:val="green"/>
          <w:lang w:eastAsia="de-DE"/>
        </w:rPr>
        <w:t>.</w:t>
      </w:r>
    </w:p>
    <w:p w14:paraId="288C7BA1" w14:textId="77777777" w:rsidR="00856467" w:rsidRPr="00B47352" w:rsidRDefault="00D96830" w:rsidP="00E62287">
      <w:pPr>
        <w:rPr>
          <w:highlight w:val="green"/>
          <w:lang w:eastAsia="de-DE"/>
        </w:rPr>
      </w:pPr>
      <w:r w:rsidRPr="00B47352">
        <w:rPr>
          <w:noProof/>
          <w:highlight w:val="green"/>
          <w:lang w:eastAsia="de-CH"/>
        </w:rPr>
        <w:drawing>
          <wp:anchor distT="0" distB="0" distL="114300" distR="114300" simplePos="0" relativeHeight="251658240" behindDoc="0" locked="0" layoutInCell="1" allowOverlap="1" wp14:anchorId="3AC63FDA" wp14:editId="628C5AFF">
            <wp:simplePos x="0" y="0"/>
            <wp:positionH relativeFrom="margin">
              <wp:posOffset>2327275</wp:posOffset>
            </wp:positionH>
            <wp:positionV relativeFrom="margin">
              <wp:posOffset>4712335</wp:posOffset>
            </wp:positionV>
            <wp:extent cx="3272155" cy="2144395"/>
            <wp:effectExtent l="0" t="0" r="0" b="0"/>
            <wp:wrapSquare wrapText="lef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272155" cy="2144395"/>
                    </a:xfrm>
                    <a:prstGeom prst="rect">
                      <a:avLst/>
                    </a:prstGeom>
                  </pic:spPr>
                </pic:pic>
              </a:graphicData>
            </a:graphic>
            <wp14:sizeRelH relativeFrom="margin">
              <wp14:pctWidth>0</wp14:pctWidth>
            </wp14:sizeRelH>
            <wp14:sizeRelV relativeFrom="margin">
              <wp14:pctHeight>0</wp14:pctHeight>
            </wp14:sizeRelV>
          </wp:anchor>
        </w:drawing>
      </w:r>
      <w:r w:rsidR="00856467" w:rsidRPr="00B47352">
        <w:rPr>
          <w:highlight w:val="green"/>
          <w:lang w:eastAsia="de-DE"/>
        </w:rPr>
        <w:t xml:space="preserve">Es muss von zirka 38‘000 </w:t>
      </w:r>
      <w:r w:rsidR="006A7D44" w:rsidRPr="00B47352">
        <w:rPr>
          <w:highlight w:val="green"/>
          <w:lang w:eastAsia="de-DE"/>
        </w:rPr>
        <w:t>umwelt</w:t>
      </w:r>
      <w:r w:rsidR="00856467" w:rsidRPr="00B47352">
        <w:rPr>
          <w:highlight w:val="green"/>
          <w:lang w:eastAsia="de-DE"/>
        </w:rPr>
        <w:t>belasteten Standorten</w:t>
      </w:r>
      <w:r w:rsidR="006A7D44" w:rsidRPr="00B47352">
        <w:rPr>
          <w:highlight w:val="green"/>
          <w:lang w:eastAsia="de-DE"/>
        </w:rPr>
        <w:t xml:space="preserve"> ausgegangen werden. Gegen 4000 Standorte dürften sanierungsbedürftig sein. </w:t>
      </w:r>
      <w:r w:rsidR="00122566" w:rsidRPr="00B47352">
        <w:rPr>
          <w:highlight w:val="green"/>
          <w:lang w:eastAsia="de-DE"/>
        </w:rPr>
        <w:t>Aktuell sind</w:t>
      </w:r>
      <w:r w:rsidR="003A2AE4" w:rsidRPr="00B47352">
        <w:rPr>
          <w:highlight w:val="green"/>
          <w:lang w:eastAsia="de-DE"/>
        </w:rPr>
        <w:t xml:space="preserve"> mehr als</w:t>
      </w:r>
      <w:r w:rsidR="00122566" w:rsidRPr="00B47352">
        <w:rPr>
          <w:highlight w:val="green"/>
          <w:lang w:eastAsia="de-DE"/>
        </w:rPr>
        <w:t xml:space="preserve"> 700 Altlas</w:t>
      </w:r>
      <w:r w:rsidR="002772CE" w:rsidRPr="00B47352">
        <w:rPr>
          <w:highlight w:val="green"/>
          <w:lang w:eastAsia="de-DE"/>
        </w:rPr>
        <w:t>ten</w:t>
      </w:r>
      <w:r w:rsidR="00122566" w:rsidRPr="00B47352">
        <w:rPr>
          <w:highlight w:val="green"/>
          <w:lang w:eastAsia="de-DE"/>
        </w:rPr>
        <w:t xml:space="preserve"> saniert. Die wesentlichen Risiken, die sich aus den Standortbelastungen ergeben, sollten</w:t>
      </w:r>
      <w:r w:rsidR="003A2AE4" w:rsidRPr="00B47352">
        <w:rPr>
          <w:highlight w:val="green"/>
          <w:lang w:eastAsia="de-DE"/>
        </w:rPr>
        <w:t xml:space="preserve"> bis zirka </w:t>
      </w:r>
      <w:r w:rsidR="00BA5700" w:rsidRPr="00B47352">
        <w:rPr>
          <w:highlight w:val="green"/>
          <w:lang w:eastAsia="de-DE"/>
        </w:rPr>
        <w:t>2025</w:t>
      </w:r>
      <w:r w:rsidR="003A2AE4" w:rsidRPr="00B47352">
        <w:rPr>
          <w:highlight w:val="green"/>
          <w:lang w:eastAsia="de-DE"/>
        </w:rPr>
        <w:t xml:space="preserve"> entschärft sein.</w:t>
      </w:r>
      <w:r w:rsidR="00C36978" w:rsidRPr="00B47352">
        <w:rPr>
          <w:highlight w:val="green"/>
          <w:lang w:eastAsia="de-DE"/>
        </w:rPr>
        <w:t xml:space="preserve"> </w:t>
      </w:r>
      <w:r w:rsidR="00EF6142" w:rsidRPr="00B47352">
        <w:rPr>
          <w:highlight w:val="green"/>
          <w:lang w:eastAsia="de-DE"/>
        </w:rPr>
        <w:t xml:space="preserve">Voraussichtlich werden Bund, Kantone, Gemeinden und Standortinhaber bis ins Jahr 2030 mit </w:t>
      </w:r>
      <w:r w:rsidR="00C36978" w:rsidRPr="00B47352">
        <w:rPr>
          <w:highlight w:val="green"/>
          <w:lang w:eastAsia="de-DE"/>
        </w:rPr>
        <w:t>Altlastsanierun</w:t>
      </w:r>
      <w:r w:rsidR="00EF6142" w:rsidRPr="00B47352">
        <w:rPr>
          <w:highlight w:val="green"/>
          <w:lang w:eastAsia="de-DE"/>
        </w:rPr>
        <w:t xml:space="preserve">gen </w:t>
      </w:r>
      <w:r w:rsidR="00C36978" w:rsidRPr="00B47352">
        <w:rPr>
          <w:highlight w:val="green"/>
          <w:lang w:eastAsia="de-DE"/>
        </w:rPr>
        <w:t>beschäfti</w:t>
      </w:r>
      <w:r w:rsidR="00EF6142" w:rsidRPr="00B47352">
        <w:rPr>
          <w:highlight w:val="green"/>
          <w:lang w:eastAsia="de-DE"/>
        </w:rPr>
        <w:t>gt sein</w:t>
      </w:r>
      <w:r w:rsidR="00C36978" w:rsidRPr="00B47352">
        <w:rPr>
          <w:highlight w:val="green"/>
          <w:lang w:eastAsia="de-DE"/>
        </w:rPr>
        <w:t>.</w:t>
      </w:r>
      <w:r w:rsidR="00A34A6A" w:rsidRPr="00B47352">
        <w:rPr>
          <w:highlight w:val="green"/>
          <w:lang w:eastAsia="de-DE"/>
        </w:rPr>
        <w:t xml:space="preserve"> Die Gesamtkosten der Altlastenbearbeitung werden derzeit auf</w:t>
      </w:r>
      <w:r w:rsidR="00E340EE" w:rsidRPr="00B47352">
        <w:rPr>
          <w:highlight w:val="green"/>
          <w:lang w:eastAsia="de-DE"/>
        </w:rPr>
        <w:t xml:space="preserve"> über</w:t>
      </w:r>
      <w:r w:rsidR="00A34A6A" w:rsidRPr="00B47352">
        <w:rPr>
          <w:highlight w:val="green"/>
          <w:lang w:eastAsia="de-DE"/>
        </w:rPr>
        <w:t xml:space="preserve"> 5 Milliarden Franken geschätzt. Sind die verantwortlichen Verursacher von Altlasten nicht mehr zu belangen, </w:t>
      </w:r>
      <w:r w:rsidR="00865AF1" w:rsidRPr="00B47352">
        <w:rPr>
          <w:highlight w:val="green"/>
          <w:lang w:eastAsia="de-DE"/>
        </w:rPr>
        <w:t xml:space="preserve">hat die öffentliche Hand die Kosten zu tragen. In diesen Fällen und bei der Sanierung von Deponien mit einem wesentlichen Anteil an Siedlungsabfällen sowie bei Schiessanlagen übernimmt der Bund 40 Prozent der Sanierungskosten. Zur Finanzierung dieser Kosten hat der Bund </w:t>
      </w:r>
      <w:r w:rsidR="0059449D" w:rsidRPr="00B47352">
        <w:rPr>
          <w:highlight w:val="green"/>
          <w:lang w:eastAsia="de-DE"/>
        </w:rPr>
        <w:t>gestützt auf die</w:t>
      </w:r>
      <w:r w:rsidR="00865AF1" w:rsidRPr="00B47352">
        <w:rPr>
          <w:highlight w:val="green"/>
          <w:lang w:eastAsia="de-DE"/>
        </w:rPr>
        <w:t xml:space="preserve"> Verordnung</w:t>
      </w:r>
      <w:r w:rsidR="0059449D" w:rsidRPr="00B47352">
        <w:rPr>
          <w:highlight w:val="green"/>
          <w:lang w:eastAsia="de-DE"/>
        </w:rPr>
        <w:t xml:space="preserve"> über die Abgabe zur Sanierung von Altlasten (VASA) den Altlastenfonds errichtet.</w:t>
      </w:r>
    </w:p>
    <w:p w14:paraId="306F952C" w14:textId="77777777" w:rsidR="000F07E2" w:rsidRPr="00B47352" w:rsidRDefault="000F07E2" w:rsidP="0056153C">
      <w:pPr>
        <w:spacing w:before="120"/>
        <w:rPr>
          <w:highlight w:val="green"/>
          <w:lang w:eastAsia="de-DE"/>
        </w:rPr>
      </w:pPr>
    </w:p>
    <w:p w14:paraId="43BA8FFA" w14:textId="77777777" w:rsidR="00136D21" w:rsidRPr="00B47352" w:rsidRDefault="00ED1605" w:rsidP="007A4CE3">
      <w:pPr>
        <w:pStyle w:val="berschrift2"/>
        <w:rPr>
          <w:highlight w:val="green"/>
        </w:rPr>
      </w:pPr>
      <w:bookmarkStart w:id="234" w:name="_Toc356294693"/>
      <w:r w:rsidRPr="00B47352">
        <w:rPr>
          <w:highlight w:val="green"/>
        </w:rPr>
        <w:lastRenderedPageBreak/>
        <w:t>Rollenverteilung in</w:t>
      </w:r>
      <w:r w:rsidR="00C36978" w:rsidRPr="00B47352">
        <w:rPr>
          <w:highlight w:val="green"/>
        </w:rPr>
        <w:t xml:space="preserve"> der </w:t>
      </w:r>
      <w:r w:rsidR="007D78A4" w:rsidRPr="00B47352">
        <w:rPr>
          <w:highlight w:val="green"/>
        </w:rPr>
        <w:t>Altlastenbearbeitung</w:t>
      </w:r>
      <w:bookmarkEnd w:id="234"/>
    </w:p>
    <w:p w14:paraId="67323F3D" w14:textId="77777777" w:rsidR="009563A9" w:rsidRPr="00B47352" w:rsidRDefault="00685AA0" w:rsidP="00E62287">
      <w:pPr>
        <w:rPr>
          <w:highlight w:val="green"/>
          <w:lang w:eastAsia="de-DE"/>
        </w:rPr>
      </w:pPr>
      <w:r w:rsidRPr="00B47352">
        <w:rPr>
          <w:highlight w:val="green"/>
          <w:lang w:eastAsia="de-DE"/>
        </w:rPr>
        <w:t xml:space="preserve">Die </w:t>
      </w:r>
      <w:r w:rsidR="00C960A7" w:rsidRPr="00B47352">
        <w:rPr>
          <w:highlight w:val="green"/>
          <w:lang w:eastAsia="de-DE"/>
        </w:rPr>
        <w:t>gemäss Altlastenverordnung</w:t>
      </w:r>
      <w:r w:rsidRPr="00B47352">
        <w:rPr>
          <w:highlight w:val="green"/>
          <w:lang w:eastAsia="de-DE"/>
        </w:rPr>
        <w:t xml:space="preserve"> gegebene Rollenverteilung zwischen den Kantonen und den Sanierungspflichtigen veranschaulicht die folgende Darstellung:</w:t>
      </w:r>
    </w:p>
    <w:p w14:paraId="0DB0E3B3" w14:textId="77777777" w:rsidR="00CD70AA" w:rsidRPr="00B47352" w:rsidRDefault="00CD70AA" w:rsidP="008456DE">
      <w:pPr>
        <w:ind w:right="-142"/>
        <w:rPr>
          <w:highlight w:val="green"/>
          <w:lang w:eastAsia="de-DE"/>
        </w:rPr>
      </w:pPr>
    </w:p>
    <w:p w14:paraId="561C0A04" w14:textId="77777777" w:rsidR="006F4A1C" w:rsidRPr="00B47352" w:rsidRDefault="00CD70AA" w:rsidP="009563A9">
      <w:pPr>
        <w:ind w:right="-142"/>
        <w:jc w:val="center"/>
        <w:rPr>
          <w:highlight w:val="green"/>
          <w:lang w:eastAsia="de-DE"/>
        </w:rPr>
      </w:pPr>
      <w:r w:rsidRPr="00B47352">
        <w:rPr>
          <w:noProof/>
          <w:highlight w:val="green"/>
          <w:lang w:eastAsia="de-CH"/>
        </w:rPr>
        <w:drawing>
          <wp:inline distT="0" distB="0" distL="0" distR="0" wp14:anchorId="3D8BC972" wp14:editId="36BBE7F7">
            <wp:extent cx="3157267" cy="3851683"/>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62576" cy="3858160"/>
                    </a:xfrm>
                    <a:prstGeom prst="rect">
                      <a:avLst/>
                    </a:prstGeom>
                    <a:noFill/>
                    <a:ln>
                      <a:noFill/>
                    </a:ln>
                  </pic:spPr>
                </pic:pic>
              </a:graphicData>
            </a:graphic>
          </wp:inline>
        </w:drawing>
      </w:r>
    </w:p>
    <w:p w14:paraId="0CB919F1" w14:textId="77777777" w:rsidR="00C960A7" w:rsidRPr="00B47352" w:rsidRDefault="007A4CE3" w:rsidP="007A4CE3">
      <w:pPr>
        <w:tabs>
          <w:tab w:val="left" w:pos="2268"/>
        </w:tabs>
        <w:spacing w:before="40" w:line="240" w:lineRule="auto"/>
        <w:rPr>
          <w:sz w:val="14"/>
          <w:szCs w:val="14"/>
          <w:highlight w:val="green"/>
          <w:lang w:eastAsia="de-DE"/>
        </w:rPr>
      </w:pPr>
      <w:r w:rsidRPr="00B47352">
        <w:rPr>
          <w:sz w:val="14"/>
          <w:szCs w:val="14"/>
          <w:highlight w:val="green"/>
          <w:lang w:eastAsia="de-DE"/>
        </w:rPr>
        <w:tab/>
        <w:t>Quelle: BAFU</w:t>
      </w:r>
    </w:p>
    <w:p w14:paraId="3424E7E7" w14:textId="77777777" w:rsidR="007A4CE3" w:rsidRPr="00B47352" w:rsidRDefault="007A4CE3" w:rsidP="000E7990">
      <w:pPr>
        <w:rPr>
          <w:highlight w:val="green"/>
          <w:lang w:eastAsia="de-DE"/>
        </w:rPr>
      </w:pPr>
    </w:p>
    <w:p w14:paraId="06E148FC" w14:textId="77777777" w:rsidR="00C960A7" w:rsidRPr="00B47352" w:rsidRDefault="00C960A7" w:rsidP="00C960A7">
      <w:pPr>
        <w:rPr>
          <w:highlight w:val="green"/>
          <w:lang w:eastAsia="de-DE"/>
        </w:rPr>
      </w:pPr>
      <w:r w:rsidRPr="00B47352">
        <w:rPr>
          <w:highlight w:val="green"/>
          <w:lang w:eastAsia="de-DE"/>
        </w:rPr>
        <w:t xml:space="preserve">In den weitgehend technischen Prozess der Altlastenbearbeitung gemäss Altlastenverordnung greift das BAFU in der Regel nicht direkt ein. Für den Vollzug sind im Wesentlichen die Kantone verantwortlich. Das BAFU beschränkt seine Tätigkeit auf die im Rahmen der Gesetzgebung übergeordnete koordinierenden Aktivitäten. Wesentlichen Einfluss auf die Altlastenbearbeitung nimmt das BAFU mit dem Erarbeiten von Richtlinien zur Anwendung der Altlastenverordnung. Inzwischen stehen über ein Dutzend Vollzugshilfen zur Verfügung. Sie richten sich als Orientierungshilfe und Hilfeleistung an die Zuständigen der Kantone, an Sanierungspflichtige sowie an Planer und Sanierungsunternehmen. Die Vollzugshilfen sind darauf ausgelegt, dass die Altlastenbearbeitung in der Schweiz harmonisiert, umweltgerecht und </w:t>
      </w:r>
      <w:proofErr w:type="gramStart"/>
      <w:r w:rsidRPr="00B47352">
        <w:rPr>
          <w:highlight w:val="green"/>
          <w:lang w:eastAsia="de-DE"/>
        </w:rPr>
        <w:t xml:space="preserve">innerhalb </w:t>
      </w:r>
      <w:r w:rsidR="00402BAB" w:rsidRPr="00B47352">
        <w:rPr>
          <w:highlight w:val="green"/>
          <w:lang w:eastAsia="de-DE"/>
        </w:rPr>
        <w:t xml:space="preserve">wirtschaftlich </w:t>
      </w:r>
      <w:r w:rsidRPr="00B47352">
        <w:rPr>
          <w:highlight w:val="green"/>
          <w:lang w:eastAsia="de-DE"/>
        </w:rPr>
        <w:t>vertretbarem Rahmen</w:t>
      </w:r>
      <w:proofErr w:type="gramEnd"/>
      <w:r w:rsidRPr="00B47352">
        <w:rPr>
          <w:highlight w:val="green"/>
          <w:lang w:eastAsia="de-DE"/>
        </w:rPr>
        <w:t xml:space="preserve"> verläuft. </w:t>
      </w:r>
    </w:p>
    <w:p w14:paraId="0BB9AAA4" w14:textId="77777777" w:rsidR="00DD43DD" w:rsidRPr="00B47352" w:rsidRDefault="00DD43DD" w:rsidP="000E7990">
      <w:pPr>
        <w:rPr>
          <w:highlight w:val="green"/>
          <w:lang w:eastAsia="de-DE"/>
        </w:rPr>
      </w:pPr>
    </w:p>
    <w:p w14:paraId="6CD406CE" w14:textId="77777777" w:rsidR="00DE1559" w:rsidRPr="00B47352" w:rsidRDefault="00DE1559" w:rsidP="000E7990">
      <w:pPr>
        <w:rPr>
          <w:highlight w:val="green"/>
          <w:lang w:eastAsia="de-DE"/>
        </w:rPr>
      </w:pPr>
    </w:p>
    <w:p w14:paraId="1D15F3A4" w14:textId="77777777" w:rsidR="00DE1559" w:rsidRPr="00B47352" w:rsidRDefault="00DE1559" w:rsidP="000E7990">
      <w:pPr>
        <w:rPr>
          <w:highlight w:val="green"/>
          <w:lang w:eastAsia="de-DE"/>
        </w:rPr>
      </w:pPr>
    </w:p>
    <w:p w14:paraId="6E309625" w14:textId="77777777" w:rsidR="00ED1605" w:rsidRPr="00B47352" w:rsidRDefault="00ED1605" w:rsidP="00ED1605">
      <w:pPr>
        <w:pStyle w:val="berschrift1"/>
        <w:rPr>
          <w:highlight w:val="green"/>
        </w:rPr>
      </w:pPr>
      <w:bookmarkStart w:id="235" w:name="_Toc356294694"/>
      <w:r w:rsidRPr="00B47352">
        <w:rPr>
          <w:highlight w:val="green"/>
        </w:rPr>
        <w:lastRenderedPageBreak/>
        <w:t>Vollzug der Altlastenbearbeitung</w:t>
      </w:r>
      <w:bookmarkEnd w:id="235"/>
    </w:p>
    <w:p w14:paraId="58FCF2CA" w14:textId="77777777" w:rsidR="00DD43DD" w:rsidRPr="00B47352" w:rsidRDefault="00804930" w:rsidP="00C05380">
      <w:pPr>
        <w:spacing w:before="120"/>
        <w:ind w:right="-284"/>
        <w:rPr>
          <w:highlight w:val="green"/>
          <w:lang w:eastAsia="de-DE"/>
        </w:rPr>
      </w:pPr>
      <w:r w:rsidRPr="00B47352">
        <w:rPr>
          <w:highlight w:val="green"/>
          <w:lang w:eastAsia="de-DE"/>
        </w:rPr>
        <w:t>Für die Altlastenbearbeitung richtungsweisend sind die</w:t>
      </w:r>
      <w:r w:rsidR="00F24766" w:rsidRPr="00B47352">
        <w:rPr>
          <w:highlight w:val="green"/>
          <w:lang w:eastAsia="de-DE"/>
        </w:rPr>
        <w:t xml:space="preserve"> Bestimmungen des Umweltschutzgesetzes und </w:t>
      </w:r>
      <w:r w:rsidRPr="00B47352">
        <w:rPr>
          <w:highlight w:val="green"/>
          <w:lang w:eastAsia="de-DE"/>
        </w:rPr>
        <w:t>der Altlastenverordnung. Gestützt auf diese Rechtsnormen beteiligt sich d</w:t>
      </w:r>
      <w:r w:rsidR="007606AF" w:rsidRPr="00B47352">
        <w:rPr>
          <w:highlight w:val="green"/>
          <w:lang w:eastAsia="de-DE"/>
        </w:rPr>
        <w:t xml:space="preserve">er Bund an den Kosten von </w:t>
      </w:r>
      <w:r w:rsidR="00DE1559" w:rsidRPr="00B47352">
        <w:rPr>
          <w:highlight w:val="green"/>
          <w:lang w:eastAsia="de-DE"/>
        </w:rPr>
        <w:t>Untersuchung</w:t>
      </w:r>
      <w:r w:rsidR="007606AF" w:rsidRPr="00B47352">
        <w:rPr>
          <w:highlight w:val="green"/>
          <w:lang w:eastAsia="de-DE"/>
        </w:rPr>
        <w:t>en</w:t>
      </w:r>
      <w:r w:rsidR="00DE1559" w:rsidRPr="00B47352">
        <w:rPr>
          <w:highlight w:val="green"/>
          <w:lang w:eastAsia="de-DE"/>
        </w:rPr>
        <w:t xml:space="preserve">, </w:t>
      </w:r>
      <w:r w:rsidR="007606AF" w:rsidRPr="00B47352">
        <w:rPr>
          <w:highlight w:val="green"/>
          <w:lang w:eastAsia="de-DE"/>
        </w:rPr>
        <w:t xml:space="preserve">Überwachungen und Sanierungen von belasteten Standorten sowie an den Untersuchungskosten von Standorten, die sich als nicht belastet erweisen. </w:t>
      </w:r>
      <w:r w:rsidRPr="00B47352">
        <w:rPr>
          <w:highlight w:val="green"/>
          <w:lang w:eastAsia="de-DE"/>
        </w:rPr>
        <w:t>Den</w:t>
      </w:r>
      <w:r w:rsidR="000F754A" w:rsidRPr="00B47352">
        <w:rPr>
          <w:highlight w:val="green"/>
          <w:lang w:eastAsia="de-DE"/>
        </w:rPr>
        <w:t xml:space="preserve"> Kantonen </w:t>
      </w:r>
      <w:r w:rsidRPr="00B47352">
        <w:rPr>
          <w:highlight w:val="green"/>
          <w:lang w:eastAsia="de-DE"/>
        </w:rPr>
        <w:t xml:space="preserve">werden </w:t>
      </w:r>
      <w:r w:rsidR="000F754A" w:rsidRPr="00B47352">
        <w:rPr>
          <w:highlight w:val="green"/>
          <w:lang w:eastAsia="de-DE"/>
        </w:rPr>
        <w:t>im Zusammenhang mit der Katasterbearbeitung</w:t>
      </w:r>
      <w:r w:rsidR="00311C99" w:rsidRPr="00B47352">
        <w:rPr>
          <w:highlight w:val="green"/>
          <w:lang w:eastAsia="de-DE"/>
        </w:rPr>
        <w:t xml:space="preserve"> und unter Einhaltung terminlicher Vorgaben</w:t>
      </w:r>
      <w:r w:rsidR="000F754A" w:rsidRPr="00B47352">
        <w:rPr>
          <w:highlight w:val="green"/>
          <w:lang w:eastAsia="de-DE"/>
        </w:rPr>
        <w:t xml:space="preserve"> </w:t>
      </w:r>
      <w:r w:rsidR="00311C99" w:rsidRPr="00B47352">
        <w:rPr>
          <w:highlight w:val="green"/>
          <w:lang w:eastAsia="de-DE"/>
        </w:rPr>
        <w:t xml:space="preserve">pauschalierte Abgeltungen (500 Franken pro Standort) </w:t>
      </w:r>
      <w:r w:rsidR="000F754A" w:rsidRPr="00B47352">
        <w:rPr>
          <w:highlight w:val="green"/>
          <w:lang w:eastAsia="de-DE"/>
        </w:rPr>
        <w:t>zugesprochen.</w:t>
      </w:r>
      <w:r w:rsidR="00311C99" w:rsidRPr="00B47352">
        <w:rPr>
          <w:highlight w:val="green"/>
          <w:lang w:eastAsia="de-DE"/>
        </w:rPr>
        <w:t xml:space="preserve"> Bei 300-m-Schiess</w:t>
      </w:r>
      <w:r w:rsidR="009A2094" w:rsidRPr="00B47352">
        <w:rPr>
          <w:highlight w:val="green"/>
          <w:lang w:eastAsia="de-DE"/>
        </w:rPr>
        <w:t>-</w:t>
      </w:r>
      <w:r w:rsidR="00311C99" w:rsidRPr="00B47352">
        <w:rPr>
          <w:highlight w:val="green"/>
          <w:lang w:eastAsia="de-DE"/>
        </w:rPr>
        <w:t xml:space="preserve">anlagen sind ebenfalls Pauschalabgeltungen (8‘000 Franken pro Scheibe) vorgesehen. </w:t>
      </w:r>
      <w:r w:rsidRPr="00B47352">
        <w:rPr>
          <w:highlight w:val="green"/>
          <w:lang w:eastAsia="de-DE"/>
        </w:rPr>
        <w:t>In allen</w:t>
      </w:r>
      <w:r w:rsidR="00865B36" w:rsidRPr="00B47352">
        <w:rPr>
          <w:highlight w:val="green"/>
          <w:lang w:eastAsia="de-DE"/>
        </w:rPr>
        <w:t xml:space="preserve"> übrigen Fällen leistet der Bund 40 Prozent an die anrechenbaren Kosten</w:t>
      </w:r>
      <w:r w:rsidRPr="00B47352">
        <w:rPr>
          <w:highlight w:val="green"/>
          <w:lang w:eastAsia="de-DE"/>
        </w:rPr>
        <w:t xml:space="preserve"> der jeweiligen Massnahme</w:t>
      </w:r>
      <w:r w:rsidR="00865B36" w:rsidRPr="00B47352">
        <w:rPr>
          <w:highlight w:val="green"/>
          <w:lang w:eastAsia="de-DE"/>
        </w:rPr>
        <w:t>. Die Abgeltungen werden nur geleis</w:t>
      </w:r>
      <w:r w:rsidRPr="00B47352">
        <w:rPr>
          <w:highlight w:val="green"/>
          <w:lang w:eastAsia="de-DE"/>
        </w:rPr>
        <w:t xml:space="preserve">tet, wenn das gewählte Verfahren </w:t>
      </w:r>
      <w:r w:rsidR="00865B36" w:rsidRPr="00B47352">
        <w:rPr>
          <w:highlight w:val="green"/>
          <w:lang w:eastAsia="de-DE"/>
        </w:rPr>
        <w:t>umweltverträg</w:t>
      </w:r>
      <w:r w:rsidRPr="00B47352">
        <w:rPr>
          <w:highlight w:val="green"/>
          <w:lang w:eastAsia="de-DE"/>
        </w:rPr>
        <w:t>lich</w:t>
      </w:r>
      <w:r w:rsidR="00F840B0" w:rsidRPr="00B47352">
        <w:rPr>
          <w:highlight w:val="green"/>
          <w:lang w:eastAsia="de-DE"/>
        </w:rPr>
        <w:t xml:space="preserve"> und</w:t>
      </w:r>
      <w:r w:rsidR="00865B36" w:rsidRPr="00B47352">
        <w:rPr>
          <w:highlight w:val="green"/>
          <w:lang w:eastAsia="de-DE"/>
        </w:rPr>
        <w:t xml:space="preserve"> wirtschaft</w:t>
      </w:r>
      <w:r w:rsidRPr="00B47352">
        <w:rPr>
          <w:highlight w:val="green"/>
          <w:lang w:eastAsia="de-DE"/>
        </w:rPr>
        <w:t>lich ist</w:t>
      </w:r>
      <w:r w:rsidR="00F840B0" w:rsidRPr="00B47352">
        <w:rPr>
          <w:highlight w:val="green"/>
          <w:lang w:eastAsia="de-DE"/>
        </w:rPr>
        <w:t xml:space="preserve"> und zudem</w:t>
      </w:r>
      <w:r w:rsidR="00865B36" w:rsidRPr="00B47352">
        <w:rPr>
          <w:highlight w:val="green"/>
          <w:lang w:eastAsia="de-DE"/>
        </w:rPr>
        <w:t xml:space="preserve"> dem Stand der Technik ent</w:t>
      </w:r>
      <w:r w:rsidR="00F840B0" w:rsidRPr="00B47352">
        <w:rPr>
          <w:highlight w:val="green"/>
          <w:lang w:eastAsia="de-DE"/>
        </w:rPr>
        <w:t>spricht</w:t>
      </w:r>
      <w:r w:rsidR="00865B36" w:rsidRPr="00B47352">
        <w:rPr>
          <w:highlight w:val="green"/>
          <w:lang w:eastAsia="de-DE"/>
        </w:rPr>
        <w:t>.</w:t>
      </w:r>
      <w:r w:rsidR="00F24766" w:rsidRPr="00B47352">
        <w:rPr>
          <w:highlight w:val="green"/>
          <w:lang w:eastAsia="de-DE"/>
        </w:rPr>
        <w:t xml:space="preserve"> Abgeltungen wer</w:t>
      </w:r>
      <w:r w:rsidR="000E59A5" w:rsidRPr="00B47352">
        <w:rPr>
          <w:highlight w:val="green"/>
          <w:lang w:eastAsia="de-DE"/>
        </w:rPr>
        <w:t>den ausnahmslos an Kantone ausbe</w:t>
      </w:r>
      <w:r w:rsidR="00F24766" w:rsidRPr="00B47352">
        <w:rPr>
          <w:highlight w:val="green"/>
          <w:lang w:eastAsia="de-DE"/>
        </w:rPr>
        <w:t>zahlt.</w:t>
      </w:r>
    </w:p>
    <w:p w14:paraId="7AFB1834" w14:textId="77777777" w:rsidR="00C960A7" w:rsidRPr="00B47352" w:rsidRDefault="00FE284C" w:rsidP="000E7990">
      <w:pPr>
        <w:rPr>
          <w:highlight w:val="green"/>
          <w:lang w:eastAsia="de-DE"/>
        </w:rPr>
      </w:pPr>
      <w:r w:rsidRPr="00B47352">
        <w:rPr>
          <w:highlight w:val="green"/>
          <w:lang w:eastAsia="de-DE"/>
        </w:rPr>
        <w:t>Die Vollzugshilfe „Abgelt</w:t>
      </w:r>
      <w:r w:rsidR="00D94E72" w:rsidRPr="00B47352">
        <w:rPr>
          <w:highlight w:val="green"/>
          <w:lang w:eastAsia="de-DE"/>
        </w:rPr>
        <w:t>ungen bei Altlastensanierungen</w:t>
      </w:r>
      <w:r w:rsidRPr="00B47352">
        <w:rPr>
          <w:highlight w:val="green"/>
          <w:lang w:eastAsia="de-DE"/>
        </w:rPr>
        <w:t>“ richtet sich an die Gesuchsteller. Sie regelt die Anforderungen und Verfahrensschritte gemäss folgender schematischer Darstellun</w:t>
      </w:r>
      <w:r w:rsidR="004F5D4F" w:rsidRPr="00B47352">
        <w:rPr>
          <w:highlight w:val="green"/>
          <w:lang w:eastAsia="de-DE"/>
        </w:rPr>
        <w:t>g</w:t>
      </w:r>
      <w:r w:rsidR="00F84DD9" w:rsidRPr="00B47352">
        <w:rPr>
          <w:highlight w:val="green"/>
          <w:lang w:eastAsia="de-DE"/>
        </w:rPr>
        <w:t>:</w:t>
      </w:r>
    </w:p>
    <w:p w14:paraId="0DDC8784" w14:textId="77777777" w:rsidR="00CA468A" w:rsidRPr="00B47352" w:rsidRDefault="00CA468A" w:rsidP="00EB6B9A">
      <w:pPr>
        <w:spacing w:before="360"/>
        <w:jc w:val="center"/>
        <w:rPr>
          <w:highlight w:val="green"/>
          <w:lang w:eastAsia="de-DE"/>
        </w:rPr>
      </w:pPr>
      <w:r w:rsidRPr="00B47352">
        <w:rPr>
          <w:noProof/>
          <w:highlight w:val="green"/>
          <w:lang w:eastAsia="de-CH"/>
        </w:rPr>
        <w:drawing>
          <wp:inline distT="0" distB="0" distL="0" distR="0" wp14:anchorId="61BEC87E" wp14:editId="6F1E7AD6">
            <wp:extent cx="3343275" cy="4342545"/>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4340" cy="4356917"/>
                    </a:xfrm>
                    <a:prstGeom prst="rect">
                      <a:avLst/>
                    </a:prstGeom>
                    <a:noFill/>
                    <a:ln>
                      <a:noFill/>
                    </a:ln>
                  </pic:spPr>
                </pic:pic>
              </a:graphicData>
            </a:graphic>
          </wp:inline>
        </w:drawing>
      </w:r>
    </w:p>
    <w:p w14:paraId="604799E9" w14:textId="77777777" w:rsidR="00F84DD9" w:rsidRPr="00B47352" w:rsidRDefault="00F84DD9" w:rsidP="00CA468A">
      <w:pPr>
        <w:tabs>
          <w:tab w:val="left" w:pos="1843"/>
        </w:tabs>
        <w:spacing w:before="120" w:line="240" w:lineRule="auto"/>
        <w:rPr>
          <w:sz w:val="14"/>
          <w:szCs w:val="14"/>
          <w:highlight w:val="green"/>
          <w:lang w:eastAsia="de-DE"/>
        </w:rPr>
      </w:pPr>
      <w:r w:rsidRPr="00B47352">
        <w:rPr>
          <w:sz w:val="14"/>
          <w:szCs w:val="14"/>
          <w:highlight w:val="green"/>
          <w:lang w:eastAsia="de-DE"/>
        </w:rPr>
        <w:tab/>
        <w:t>Quelle: BAFU</w:t>
      </w:r>
    </w:p>
    <w:p w14:paraId="35E85A02" w14:textId="77777777" w:rsidR="00F84DD9" w:rsidRPr="00B47352" w:rsidRDefault="00371BC8" w:rsidP="00B3690B">
      <w:pPr>
        <w:spacing w:before="120"/>
        <w:rPr>
          <w:highlight w:val="green"/>
          <w:lang w:eastAsia="de-DE"/>
        </w:rPr>
      </w:pPr>
      <w:r w:rsidRPr="00B47352">
        <w:rPr>
          <w:highlight w:val="green"/>
          <w:lang w:eastAsia="de-DE"/>
        </w:rPr>
        <w:t xml:space="preserve">Die einzelnen Prozessschritte </w:t>
      </w:r>
      <w:r w:rsidR="00A0762F" w:rsidRPr="00B47352">
        <w:rPr>
          <w:highlight w:val="green"/>
          <w:lang w:eastAsia="de-DE"/>
        </w:rPr>
        <w:t xml:space="preserve">mit den entsprechenden Zuständigkeiten </w:t>
      </w:r>
      <w:r w:rsidRPr="00B47352">
        <w:rPr>
          <w:highlight w:val="green"/>
          <w:lang w:eastAsia="de-DE"/>
        </w:rPr>
        <w:t xml:space="preserve">im Abgeltungsverfahren </w:t>
      </w:r>
      <w:r w:rsidR="00A0762F" w:rsidRPr="00B47352">
        <w:rPr>
          <w:highlight w:val="green"/>
          <w:lang w:eastAsia="de-DE"/>
        </w:rPr>
        <w:t xml:space="preserve">sind nachvollziehbar und innerhalb der Prozesslandkarte des BAFU dokumentiert. Die Prozesskontrollen richten sich nach der oben erwähnten Vollzugshilfe. </w:t>
      </w:r>
      <w:r w:rsidR="003B2227" w:rsidRPr="00B47352">
        <w:rPr>
          <w:highlight w:val="green"/>
          <w:lang w:eastAsia="de-DE"/>
        </w:rPr>
        <w:t>Das Vieraugenprinzip wird berücksichtigt</w:t>
      </w:r>
      <w:r w:rsidR="009A474D" w:rsidRPr="00B47352">
        <w:rPr>
          <w:highlight w:val="green"/>
          <w:lang w:eastAsia="de-DE"/>
        </w:rPr>
        <w:t xml:space="preserve"> und mittels Begleitblatt zur Anhörung, Zusicherung und Auszahlung dokumentiert</w:t>
      </w:r>
      <w:r w:rsidR="00B34A70" w:rsidRPr="00B47352">
        <w:rPr>
          <w:highlight w:val="green"/>
          <w:lang w:eastAsia="de-DE"/>
        </w:rPr>
        <w:t xml:space="preserve">. </w:t>
      </w:r>
      <w:r w:rsidR="003B2227" w:rsidRPr="00B47352">
        <w:rPr>
          <w:highlight w:val="green"/>
          <w:lang w:eastAsia="de-DE"/>
        </w:rPr>
        <w:t xml:space="preserve">Verfügungen </w:t>
      </w:r>
      <w:r w:rsidR="00B34A70" w:rsidRPr="00B47352">
        <w:rPr>
          <w:highlight w:val="green"/>
          <w:lang w:eastAsia="de-DE"/>
        </w:rPr>
        <w:t>werden mit Doppelunterschrift unterzeichnet.</w:t>
      </w:r>
    </w:p>
    <w:p w14:paraId="2DD1DAD1" w14:textId="77777777" w:rsidR="00F84DD9" w:rsidRPr="00B47352" w:rsidRDefault="00800614" w:rsidP="00F84DD9">
      <w:pPr>
        <w:rPr>
          <w:highlight w:val="green"/>
          <w:lang w:eastAsia="de-DE"/>
        </w:rPr>
      </w:pPr>
      <w:r w:rsidRPr="00B47352">
        <w:rPr>
          <w:highlight w:val="green"/>
          <w:lang w:eastAsia="de-DE"/>
        </w:rPr>
        <w:lastRenderedPageBreak/>
        <w:t>Die von den Kantonen eingereichte Anzahl Gesuche um Zusicherung oder Auszahlung von Abgeltungen hat sich in den letzten Jahren bei zirka 250 pro Jahr eingependelt. Bearbeitet wurden bisher insgesamt 1‘294 Gesuche</w:t>
      </w:r>
      <w:r w:rsidR="00596293" w:rsidRPr="00B47352">
        <w:rPr>
          <w:highlight w:val="green"/>
          <w:lang w:eastAsia="de-DE"/>
        </w:rPr>
        <w:t xml:space="preserve"> (713 Sanierungen, 17 Überwachungen, 334 Untersuchungsprojekte und 230 Untersuchung von Katasterein</w:t>
      </w:r>
      <w:r w:rsidR="007D361E" w:rsidRPr="00B47352">
        <w:rPr>
          <w:highlight w:val="green"/>
          <w:lang w:eastAsia="de-DE"/>
        </w:rPr>
        <w:t>trägen, die sich schliesslich</w:t>
      </w:r>
      <w:r w:rsidR="00596293" w:rsidRPr="00B47352">
        <w:rPr>
          <w:highlight w:val="green"/>
          <w:lang w:eastAsia="de-DE"/>
        </w:rPr>
        <w:t xml:space="preserve"> als nicht belastet erwiesen haben).</w:t>
      </w:r>
    </w:p>
    <w:p w14:paraId="66C44077" w14:textId="77777777" w:rsidR="00C22352" w:rsidRPr="00B47352" w:rsidRDefault="00C22352" w:rsidP="00F84DD9">
      <w:pPr>
        <w:rPr>
          <w:highlight w:val="green"/>
          <w:lang w:eastAsia="de-DE"/>
        </w:rPr>
      </w:pPr>
    </w:p>
    <w:p w14:paraId="11EA0C72" w14:textId="77777777" w:rsidR="00C22352" w:rsidRPr="00B47352" w:rsidRDefault="00706E39" w:rsidP="006B5B1E">
      <w:pPr>
        <w:pStyle w:val="berschrift2"/>
        <w:spacing w:before="240"/>
        <w:ind w:left="578" w:hanging="578"/>
        <w:rPr>
          <w:highlight w:val="green"/>
          <w:lang w:eastAsia="de-DE"/>
        </w:rPr>
      </w:pPr>
      <w:bookmarkStart w:id="236" w:name="_Toc356294695"/>
      <w:r w:rsidRPr="00B47352">
        <w:rPr>
          <w:highlight w:val="green"/>
          <w:lang w:eastAsia="de-DE"/>
        </w:rPr>
        <w:t>Kataster der belasteten Standorte</w:t>
      </w:r>
      <w:bookmarkEnd w:id="236"/>
    </w:p>
    <w:p w14:paraId="5AEC2484" w14:textId="77777777" w:rsidR="00706E39" w:rsidRPr="00B47352" w:rsidRDefault="00784AA8" w:rsidP="00706E39">
      <w:pPr>
        <w:rPr>
          <w:highlight w:val="green"/>
          <w:lang w:eastAsia="de-DE"/>
        </w:rPr>
      </w:pPr>
      <w:r w:rsidRPr="00B47352">
        <w:rPr>
          <w:highlight w:val="green"/>
          <w:lang w:eastAsia="de-DE"/>
        </w:rPr>
        <w:t xml:space="preserve">Seit Ende der 90er Jahre erstellen die Kantone und die von belasteten Standorten betroffenen Bundesstellen (VBS, BAV, BAZL) ihre Kataster der belasteten Standorte. </w:t>
      </w:r>
      <w:r w:rsidR="004542A4" w:rsidRPr="00B47352">
        <w:rPr>
          <w:highlight w:val="green"/>
          <w:lang w:eastAsia="de-DE"/>
        </w:rPr>
        <w:t>Wie folgende Graphik zeigt, sind die Erhebungsarbeiten und die entsprechenden Einträge inzwischen erfolgt:</w:t>
      </w:r>
    </w:p>
    <w:p w14:paraId="3041B126" w14:textId="77777777" w:rsidR="004542A4" w:rsidRPr="00B47352" w:rsidRDefault="004542A4" w:rsidP="00706E39">
      <w:pPr>
        <w:rPr>
          <w:highlight w:val="green"/>
          <w:lang w:eastAsia="de-DE"/>
        </w:rPr>
      </w:pPr>
    </w:p>
    <w:p w14:paraId="6335C66F" w14:textId="77777777" w:rsidR="00AE0F12" w:rsidRPr="00B47352" w:rsidRDefault="00AE0F12" w:rsidP="001006DC">
      <w:pPr>
        <w:pStyle w:val="Beschriftung"/>
        <w:keepNext/>
        <w:tabs>
          <w:tab w:val="left" w:pos="2977"/>
        </w:tabs>
        <w:rPr>
          <w:highlight w:val="green"/>
        </w:rPr>
      </w:pPr>
      <w:r w:rsidRPr="00B47352">
        <w:rPr>
          <w:highlight w:val="green"/>
        </w:rPr>
        <w:tab/>
        <w:t>Fertigstellung der Kataster</w:t>
      </w:r>
    </w:p>
    <w:p w14:paraId="210A830B" w14:textId="77777777" w:rsidR="00AE0F12" w:rsidRPr="00B47352" w:rsidRDefault="004542A4" w:rsidP="00AE0F12">
      <w:pPr>
        <w:keepNext/>
        <w:spacing w:before="120"/>
        <w:jc w:val="center"/>
        <w:rPr>
          <w:highlight w:val="green"/>
        </w:rPr>
      </w:pPr>
      <w:r w:rsidRPr="00B47352">
        <w:rPr>
          <w:noProof/>
          <w:highlight w:val="green"/>
          <w:lang w:eastAsia="de-CH"/>
        </w:rPr>
        <w:drawing>
          <wp:inline distT="0" distB="0" distL="0" distR="0" wp14:anchorId="7F5B679D" wp14:editId="70A2E63F">
            <wp:extent cx="3435305" cy="2808907"/>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49019" cy="2820120"/>
                    </a:xfrm>
                    <a:prstGeom prst="rect">
                      <a:avLst/>
                    </a:prstGeom>
                  </pic:spPr>
                </pic:pic>
              </a:graphicData>
            </a:graphic>
          </wp:inline>
        </w:drawing>
      </w:r>
    </w:p>
    <w:p w14:paraId="2B51F3FF" w14:textId="77777777" w:rsidR="00AE0F12" w:rsidRPr="00B47352" w:rsidRDefault="00AE0F12" w:rsidP="00041855">
      <w:pPr>
        <w:tabs>
          <w:tab w:val="left" w:pos="1560"/>
        </w:tabs>
        <w:spacing w:before="120" w:line="240" w:lineRule="auto"/>
        <w:rPr>
          <w:sz w:val="14"/>
          <w:szCs w:val="14"/>
          <w:highlight w:val="green"/>
          <w:lang w:eastAsia="de-DE"/>
        </w:rPr>
      </w:pPr>
      <w:r w:rsidRPr="00B47352">
        <w:rPr>
          <w:sz w:val="14"/>
          <w:szCs w:val="14"/>
          <w:highlight w:val="green"/>
          <w:lang w:eastAsia="de-DE"/>
        </w:rPr>
        <w:tab/>
        <w:t>Quelle: BAFU</w:t>
      </w:r>
    </w:p>
    <w:p w14:paraId="020A3D8E" w14:textId="77777777" w:rsidR="004542A4" w:rsidRPr="00B47352" w:rsidRDefault="00AE0F12" w:rsidP="00F84DD9">
      <w:pPr>
        <w:rPr>
          <w:highlight w:val="green"/>
          <w:lang w:eastAsia="de-DE"/>
        </w:rPr>
      </w:pPr>
      <w:r w:rsidRPr="00B47352">
        <w:rPr>
          <w:highlight w:val="green"/>
          <w:lang w:eastAsia="de-DE"/>
        </w:rPr>
        <w:t xml:space="preserve">Frühere Schätzungen sind von bis zu 50‘000 belasteten Standorten ausgegangen. Gemäss aktueller </w:t>
      </w:r>
      <w:r w:rsidR="004542A4" w:rsidRPr="00B47352">
        <w:rPr>
          <w:highlight w:val="green"/>
          <w:lang w:eastAsia="de-DE"/>
        </w:rPr>
        <w:t xml:space="preserve">Gesamtauswertung </w:t>
      </w:r>
      <w:r w:rsidRPr="00B47352">
        <w:rPr>
          <w:highlight w:val="green"/>
          <w:lang w:eastAsia="de-DE"/>
        </w:rPr>
        <w:t xml:space="preserve">des BAFU </w:t>
      </w:r>
      <w:r w:rsidR="004542A4" w:rsidRPr="00B47352">
        <w:rPr>
          <w:highlight w:val="green"/>
          <w:lang w:eastAsia="de-DE"/>
        </w:rPr>
        <w:t xml:space="preserve">bestehen </w:t>
      </w:r>
      <w:r w:rsidR="00EE4F7A" w:rsidRPr="00B47352">
        <w:rPr>
          <w:highlight w:val="green"/>
          <w:lang w:eastAsia="de-DE"/>
        </w:rPr>
        <w:t xml:space="preserve">jedoch </w:t>
      </w:r>
      <w:r w:rsidR="004542A4" w:rsidRPr="00B47352">
        <w:rPr>
          <w:highlight w:val="green"/>
          <w:lang w:eastAsia="de-DE"/>
        </w:rPr>
        <w:t>in der Schweiz insgesamt</w:t>
      </w:r>
      <w:r w:rsidRPr="00B47352">
        <w:rPr>
          <w:highlight w:val="green"/>
          <w:lang w:eastAsia="de-DE"/>
        </w:rPr>
        <w:t xml:space="preserve"> nur</w:t>
      </w:r>
      <w:r w:rsidR="004542A4" w:rsidRPr="00B47352">
        <w:rPr>
          <w:highlight w:val="green"/>
          <w:lang w:eastAsia="de-DE"/>
        </w:rPr>
        <w:t xml:space="preserve"> 38‘000 belastete Standorte.</w:t>
      </w:r>
      <w:r w:rsidRPr="00B47352">
        <w:rPr>
          <w:highlight w:val="green"/>
          <w:lang w:eastAsia="de-DE"/>
        </w:rPr>
        <w:t xml:space="preserve"> Bei knapp 10‘000 Standorten sind die Untersuchungen über ihre Umweltauswirkungen noch am Laufen oder </w:t>
      </w:r>
      <w:r w:rsidR="002B502D" w:rsidRPr="00B47352">
        <w:rPr>
          <w:highlight w:val="green"/>
          <w:lang w:eastAsia="de-DE"/>
        </w:rPr>
        <w:t xml:space="preserve">werden in den nächsten Jahren in Angriff genommen. </w:t>
      </w:r>
    </w:p>
    <w:p w14:paraId="5DE821BD" w14:textId="77777777" w:rsidR="00305CB5" w:rsidRPr="00B47352" w:rsidRDefault="00305CB5" w:rsidP="00F84DD9">
      <w:pPr>
        <w:rPr>
          <w:highlight w:val="green"/>
          <w:lang w:eastAsia="de-DE"/>
        </w:rPr>
      </w:pPr>
      <w:r w:rsidRPr="00B47352">
        <w:rPr>
          <w:highlight w:val="green"/>
          <w:lang w:eastAsia="de-DE"/>
        </w:rPr>
        <w:t>Den Kantonen wurden für die Katasterbearbeitung insgesamt 18,6 Millionen Franken ausgezahlt. Die diesbezüglichen Abgeltungszahlungen sind damit abgeschlossen.</w:t>
      </w:r>
    </w:p>
    <w:p w14:paraId="2D632F7F" w14:textId="77777777" w:rsidR="004542A4" w:rsidRPr="00B47352" w:rsidRDefault="00EE4F7A" w:rsidP="00F84DD9">
      <w:pPr>
        <w:rPr>
          <w:highlight w:val="green"/>
          <w:lang w:eastAsia="de-DE"/>
        </w:rPr>
      </w:pPr>
      <w:r w:rsidRPr="00B47352">
        <w:rPr>
          <w:highlight w:val="green"/>
          <w:lang w:eastAsia="de-DE"/>
        </w:rPr>
        <w:t>Untersuchungen von Standorten, die sich als nicht belastet erweisen (</w:t>
      </w:r>
      <w:r w:rsidR="007366D3" w:rsidRPr="00B47352">
        <w:rPr>
          <w:highlight w:val="green"/>
          <w:lang w:eastAsia="de-DE"/>
        </w:rPr>
        <w:t>Art. 32e Abs. 3 Bst. d USG</w:t>
      </w:r>
      <w:r w:rsidRPr="00B47352">
        <w:rPr>
          <w:highlight w:val="green"/>
          <w:lang w:eastAsia="de-DE"/>
        </w:rPr>
        <w:t>) sind abgeltungspflichtig. Unter diesem Titel sind bisher für 270 Standorte insgesamt rund 1,1 Millionen aufgewendet worden.</w:t>
      </w:r>
    </w:p>
    <w:p w14:paraId="5121F1D4" w14:textId="77777777" w:rsidR="00EE4F7A" w:rsidRPr="00B47352" w:rsidRDefault="00EE4F7A" w:rsidP="00F84DD9">
      <w:pPr>
        <w:rPr>
          <w:highlight w:val="green"/>
          <w:lang w:eastAsia="de-DE"/>
        </w:rPr>
      </w:pPr>
    </w:p>
    <w:p w14:paraId="1E4731ED" w14:textId="77777777" w:rsidR="009D244F" w:rsidRPr="00B47352" w:rsidRDefault="003F25CC" w:rsidP="009D244F">
      <w:pPr>
        <w:pStyle w:val="berschrift2"/>
        <w:rPr>
          <w:highlight w:val="green"/>
          <w:lang w:eastAsia="de-DE"/>
        </w:rPr>
      </w:pPr>
      <w:bookmarkStart w:id="237" w:name="_Toc356294696"/>
      <w:r w:rsidRPr="00B47352">
        <w:rPr>
          <w:highlight w:val="green"/>
          <w:lang w:eastAsia="de-DE"/>
        </w:rPr>
        <w:lastRenderedPageBreak/>
        <w:t>Aktueller Stand bei den Schiessanlagenstandorten</w:t>
      </w:r>
      <w:bookmarkEnd w:id="237"/>
    </w:p>
    <w:p w14:paraId="2C5317C2" w14:textId="77777777" w:rsidR="001D40AA" w:rsidRPr="00B47352" w:rsidRDefault="001D40AA" w:rsidP="001D40AA">
      <w:pPr>
        <w:rPr>
          <w:highlight w:val="green"/>
          <w:lang w:eastAsia="de-DE"/>
        </w:rPr>
      </w:pPr>
      <w:r w:rsidRPr="00B47352">
        <w:rPr>
          <w:highlight w:val="green"/>
          <w:lang w:eastAsia="de-DE"/>
        </w:rPr>
        <w:t>Im Kataster der belasteten Standorte der Schweiz sind rund 4'000 Schiessanlagen erfasst. Diese Anlagen enthalten insgesamt mehrere zehntausend Tonnen Blei und andere Schwermetalle aus dem Schiessbetrieb. Jedes Jahr gelangen zudem etwa 200 Tonnen zusätzliches Blei in die Kugelfänge.</w:t>
      </w:r>
    </w:p>
    <w:p w14:paraId="0AC32BF8" w14:textId="77777777" w:rsidR="001D40AA" w:rsidRPr="00B47352" w:rsidRDefault="001D40AA" w:rsidP="001D40AA">
      <w:pPr>
        <w:rPr>
          <w:highlight w:val="green"/>
          <w:lang w:eastAsia="de-DE"/>
        </w:rPr>
      </w:pPr>
      <w:r w:rsidRPr="00B47352">
        <w:rPr>
          <w:highlight w:val="green"/>
          <w:lang w:eastAsia="de-DE"/>
        </w:rPr>
        <w:t>Wenn schadstoffbelastete Kugelfänge Grundwasser, Gewässer oder Boden gefährden, erfordert dies Massnahmen zur Beseitigung der Gefahr, d.h. der belastete Standort muss saniert werden. Die altlastentechnische Sanierung von Schiessanlagen richtet sich nach den Zielsetzungen und Vorgaben des Umweltschutzgesetzes und der Altlastenverordnung.</w:t>
      </w:r>
    </w:p>
    <w:p w14:paraId="7C7A8F4C" w14:textId="77777777" w:rsidR="001D40AA" w:rsidRPr="00B47352" w:rsidRDefault="00EB7EAC" w:rsidP="001D40AA">
      <w:pPr>
        <w:rPr>
          <w:highlight w:val="green"/>
          <w:lang w:eastAsia="de-DE"/>
        </w:rPr>
      </w:pPr>
      <w:r w:rsidRPr="00B47352">
        <w:rPr>
          <w:highlight w:val="green"/>
          <w:lang w:eastAsia="de-DE"/>
        </w:rPr>
        <w:t>Der Bund beteiligt sich</w:t>
      </w:r>
      <w:r w:rsidR="001D40AA" w:rsidRPr="00B47352">
        <w:rPr>
          <w:highlight w:val="green"/>
          <w:lang w:eastAsia="de-DE"/>
        </w:rPr>
        <w:t xml:space="preserve"> an den Kosten von Massnahmen zur Untersuchung, Überwachung und Sanierung von belasteten Standorten bei Schiessanlagen.</w:t>
      </w:r>
    </w:p>
    <w:p w14:paraId="04D85E62" w14:textId="77777777" w:rsidR="009D244F" w:rsidRPr="00B47352" w:rsidRDefault="00EB7EAC" w:rsidP="00F84DD9">
      <w:pPr>
        <w:rPr>
          <w:highlight w:val="green"/>
          <w:lang w:val="de-DE" w:eastAsia="de-DE"/>
        </w:rPr>
      </w:pPr>
      <w:r w:rsidRPr="00B47352">
        <w:rPr>
          <w:highlight w:val="green"/>
          <w:lang w:val="de-DE" w:eastAsia="de-DE"/>
        </w:rPr>
        <w:t>Mit der Änderung des USG (Art. 32e Abs. 3 Bst. c) vom Oktober 2009 wurde für die Schiessanlagen-Sanierung einer Fristverlängerung zugestimmt. Für Schiessanlagen in Grundwasser</w:t>
      </w:r>
      <w:r w:rsidR="00D01431" w:rsidRPr="00B47352">
        <w:rPr>
          <w:highlight w:val="green"/>
          <w:lang w:val="de-DE" w:eastAsia="de-DE"/>
        </w:rPr>
        <w:t>schutzzonen ist die Nutzungs</w:t>
      </w:r>
      <w:r w:rsidRPr="00B47352">
        <w:rPr>
          <w:highlight w:val="green"/>
          <w:lang w:val="de-DE" w:eastAsia="de-DE"/>
        </w:rPr>
        <w:t>frist bis</w:t>
      </w:r>
      <w:r w:rsidR="006D4EB7" w:rsidRPr="00B47352">
        <w:rPr>
          <w:highlight w:val="green"/>
          <w:lang w:val="de-DE" w:eastAsia="de-DE"/>
        </w:rPr>
        <w:t xml:space="preserve"> Ende 2012 und für alle übrigen Anlagen bis Ende 2020 </w:t>
      </w:r>
      <w:r w:rsidR="00DB3874" w:rsidRPr="00B47352">
        <w:rPr>
          <w:highlight w:val="green"/>
          <w:lang w:val="de-DE" w:eastAsia="de-DE"/>
        </w:rPr>
        <w:t>ausgedehnt</w:t>
      </w:r>
      <w:r w:rsidR="005750A7" w:rsidRPr="00B47352">
        <w:rPr>
          <w:highlight w:val="green"/>
          <w:lang w:val="de-DE" w:eastAsia="de-DE"/>
        </w:rPr>
        <w:t xml:space="preserve"> </w:t>
      </w:r>
      <w:r w:rsidR="00F8055E" w:rsidRPr="00B47352">
        <w:rPr>
          <w:highlight w:val="green"/>
          <w:lang w:val="de-DE" w:eastAsia="de-DE"/>
        </w:rPr>
        <w:t>(</w:t>
      </w:r>
      <w:r w:rsidR="00DB3874" w:rsidRPr="00B47352">
        <w:rPr>
          <w:highlight w:val="green"/>
          <w:lang w:val="de-DE" w:eastAsia="de-DE"/>
        </w:rPr>
        <w:t xml:space="preserve">Frist </w:t>
      </w:r>
      <w:r w:rsidR="00F8055E" w:rsidRPr="00B47352">
        <w:rPr>
          <w:highlight w:val="green"/>
          <w:lang w:val="de-DE" w:eastAsia="de-DE"/>
        </w:rPr>
        <w:t>nach alter Regelung bis</w:t>
      </w:r>
      <w:r w:rsidR="00DB3874" w:rsidRPr="00B47352">
        <w:rPr>
          <w:highlight w:val="green"/>
          <w:lang w:val="de-DE" w:eastAsia="de-DE"/>
        </w:rPr>
        <w:t xml:space="preserve"> 1. November 2008</w:t>
      </w:r>
      <w:r w:rsidR="00F8055E" w:rsidRPr="00B47352">
        <w:rPr>
          <w:highlight w:val="green"/>
          <w:lang w:val="de-DE" w:eastAsia="de-DE"/>
        </w:rPr>
        <w:t>)</w:t>
      </w:r>
      <w:r w:rsidR="00726BF3" w:rsidRPr="00B47352">
        <w:rPr>
          <w:highlight w:val="green"/>
          <w:lang w:val="de-DE" w:eastAsia="de-DE"/>
        </w:rPr>
        <w:t>.</w:t>
      </w:r>
    </w:p>
    <w:p w14:paraId="7BA98E2B" w14:textId="77777777" w:rsidR="00726BF3" w:rsidRPr="00B47352" w:rsidRDefault="00BA1A50" w:rsidP="00F84DD9">
      <w:pPr>
        <w:rPr>
          <w:highlight w:val="green"/>
          <w:lang w:val="de-DE" w:eastAsia="de-DE"/>
        </w:rPr>
      </w:pPr>
      <w:r w:rsidRPr="00B47352">
        <w:rPr>
          <w:highlight w:val="green"/>
          <w:lang w:eastAsia="de-DE"/>
        </w:rPr>
        <w:t xml:space="preserve">Derzeit sind 495 Schiessanlagenstandorte im VASA-Verfahren, wovon 400 Abgeltungsverfahren abgeschlossen sind. </w:t>
      </w:r>
      <w:r w:rsidR="00FA39E2" w:rsidRPr="00B47352">
        <w:rPr>
          <w:highlight w:val="green"/>
          <w:lang w:eastAsia="de-DE"/>
        </w:rPr>
        <w:t xml:space="preserve">Bis Ende 2012 wurden für Schiessanlagensanierungen </w:t>
      </w:r>
      <w:r w:rsidR="00726BF3" w:rsidRPr="00B47352">
        <w:rPr>
          <w:highlight w:val="green"/>
          <w:lang w:eastAsia="de-DE"/>
        </w:rPr>
        <w:t xml:space="preserve">insgesamt </w:t>
      </w:r>
      <w:r w:rsidR="002D1C44" w:rsidRPr="00B47352">
        <w:rPr>
          <w:highlight w:val="green"/>
          <w:lang w:eastAsia="de-DE"/>
        </w:rPr>
        <w:t xml:space="preserve">rund </w:t>
      </w:r>
      <w:r w:rsidR="002D1C44" w:rsidRPr="00B47352">
        <w:rPr>
          <w:highlight w:val="green"/>
          <w:lang w:val="de-DE" w:eastAsia="de-DE"/>
        </w:rPr>
        <w:t>43 Millionen Franken zugesichert und davon etwas mehr als 27 Millionen Franken ausbezahlt</w:t>
      </w:r>
      <w:r w:rsidR="00FF12D7" w:rsidRPr="00B47352">
        <w:rPr>
          <w:highlight w:val="green"/>
          <w:lang w:val="de-DE" w:eastAsia="de-DE"/>
        </w:rPr>
        <w:t>.</w:t>
      </w:r>
    </w:p>
    <w:p w14:paraId="32C00D25" w14:textId="77777777" w:rsidR="009D244F" w:rsidRPr="00B47352" w:rsidRDefault="00A62494" w:rsidP="00F84DD9">
      <w:pPr>
        <w:rPr>
          <w:highlight w:val="green"/>
          <w:lang w:eastAsia="de-DE"/>
        </w:rPr>
      </w:pPr>
      <w:r w:rsidRPr="00B47352">
        <w:rPr>
          <w:highlight w:val="green"/>
          <w:lang w:eastAsia="de-DE"/>
        </w:rPr>
        <w:t xml:space="preserve">Die </w:t>
      </w:r>
      <w:r w:rsidR="00FA39E2" w:rsidRPr="00B47352">
        <w:rPr>
          <w:highlight w:val="green"/>
          <w:lang w:eastAsia="de-DE"/>
        </w:rPr>
        <w:t>Standorte mit dem dringendsten Sanierungsbedarf sind mit wenigen Ausnahmen saniert. Aufgrund der Katastereintragungen und weiterer Angaben der kantonalen Fachstellen schätzt das BAFU die noch zu erwartenden Gesuche für Schiessanlagensanierungen auf insgesamt etwa 2‘000.</w:t>
      </w:r>
      <w:r w:rsidR="00941B56" w:rsidRPr="00B47352">
        <w:rPr>
          <w:highlight w:val="green"/>
          <w:lang w:eastAsia="de-DE"/>
        </w:rPr>
        <w:t xml:space="preserve"> Soll die Frist Ende 2020 eingehalten werden, ist in den nächsten Jahren eine erhebliche Steigerung bei den Sanierungsprojekten unumgänglich. Derz</w:t>
      </w:r>
      <w:r w:rsidR="00726BF3" w:rsidRPr="00B47352">
        <w:rPr>
          <w:highlight w:val="green"/>
          <w:lang w:eastAsia="de-DE"/>
        </w:rPr>
        <w:t>eit werden durchschnittlich</w:t>
      </w:r>
      <w:r w:rsidR="00941B56" w:rsidRPr="00B47352">
        <w:rPr>
          <w:highlight w:val="green"/>
          <w:lang w:eastAsia="de-DE"/>
        </w:rPr>
        <w:t xml:space="preserve"> </w:t>
      </w:r>
      <w:r w:rsidR="00726BF3" w:rsidRPr="00B47352">
        <w:rPr>
          <w:highlight w:val="green"/>
          <w:lang w:eastAsia="de-DE"/>
        </w:rPr>
        <w:t xml:space="preserve">etwa </w:t>
      </w:r>
      <w:r w:rsidR="00941B56" w:rsidRPr="00B47352">
        <w:rPr>
          <w:highlight w:val="green"/>
          <w:lang w:eastAsia="de-DE"/>
        </w:rPr>
        <w:t>120 neue Sanierungsfäll</w:t>
      </w:r>
      <w:r w:rsidR="001D1A69" w:rsidRPr="00B47352">
        <w:rPr>
          <w:highlight w:val="green"/>
          <w:lang w:eastAsia="de-DE"/>
        </w:rPr>
        <w:t>e</w:t>
      </w:r>
      <w:r w:rsidR="00941B56" w:rsidRPr="00B47352">
        <w:rPr>
          <w:highlight w:val="green"/>
          <w:lang w:eastAsia="de-DE"/>
        </w:rPr>
        <w:t xml:space="preserve"> pro Jahr registriert. Der Zeitpunkt der Einreichung von Gesuchen ist jedoch nicht genau vorhersehbar. Das terminliche „näher rücken“ der Frist 31.12.2020 führt nach Erfahrung des BAFU auch zu einer Beschleunigung der </w:t>
      </w:r>
      <w:r w:rsidR="00726BF3" w:rsidRPr="00B47352">
        <w:rPr>
          <w:highlight w:val="green"/>
          <w:lang w:eastAsia="de-DE"/>
        </w:rPr>
        <w:t>Fallb</w:t>
      </w:r>
      <w:r w:rsidR="00941B56" w:rsidRPr="00B47352">
        <w:rPr>
          <w:highlight w:val="green"/>
          <w:lang w:eastAsia="de-DE"/>
        </w:rPr>
        <w:t xml:space="preserve">earbeitung. </w:t>
      </w:r>
      <w:r w:rsidR="00B35C9B" w:rsidRPr="00B47352">
        <w:rPr>
          <w:highlight w:val="green"/>
          <w:lang w:eastAsia="de-DE"/>
        </w:rPr>
        <w:t>Aktuell</w:t>
      </w:r>
      <w:r w:rsidR="00941B56" w:rsidRPr="00B47352">
        <w:rPr>
          <w:highlight w:val="green"/>
          <w:lang w:eastAsia="de-DE"/>
        </w:rPr>
        <w:t xml:space="preserve"> sieht </w:t>
      </w:r>
      <w:r w:rsidR="00B35C9B" w:rsidRPr="00B47352">
        <w:rPr>
          <w:highlight w:val="green"/>
          <w:lang w:eastAsia="de-DE"/>
        </w:rPr>
        <w:t>das BAFU</w:t>
      </w:r>
      <w:r w:rsidR="00941B56" w:rsidRPr="00B47352">
        <w:rPr>
          <w:highlight w:val="green"/>
          <w:lang w:eastAsia="de-DE"/>
        </w:rPr>
        <w:t xml:space="preserve"> keinen allgemeinen Korrekturbedarf</w:t>
      </w:r>
      <w:r w:rsidR="00B35C9B" w:rsidRPr="00B47352">
        <w:rPr>
          <w:highlight w:val="green"/>
          <w:lang w:eastAsia="de-DE"/>
        </w:rPr>
        <w:t>. Mittelfristig sind</w:t>
      </w:r>
      <w:r w:rsidR="00941B56" w:rsidRPr="00B47352">
        <w:rPr>
          <w:highlight w:val="green"/>
          <w:lang w:eastAsia="de-DE"/>
        </w:rPr>
        <w:t xml:space="preserve"> </w:t>
      </w:r>
      <w:r w:rsidR="00AF70B3" w:rsidRPr="00B47352">
        <w:rPr>
          <w:highlight w:val="green"/>
          <w:lang w:eastAsia="de-DE"/>
        </w:rPr>
        <w:t>beim</w:t>
      </w:r>
      <w:r w:rsidR="00941B56" w:rsidRPr="00B47352">
        <w:rPr>
          <w:highlight w:val="green"/>
          <w:lang w:eastAsia="de-DE"/>
        </w:rPr>
        <w:t xml:space="preserve"> Abgeltungsverfah</w:t>
      </w:r>
      <w:r w:rsidR="00B35C9B" w:rsidRPr="00B47352">
        <w:rPr>
          <w:highlight w:val="green"/>
          <w:lang w:eastAsia="de-DE"/>
        </w:rPr>
        <w:t>ren</w:t>
      </w:r>
      <w:r w:rsidR="00941B56" w:rsidRPr="00B47352">
        <w:rPr>
          <w:highlight w:val="green"/>
          <w:lang w:eastAsia="de-DE"/>
        </w:rPr>
        <w:t xml:space="preserve"> </w:t>
      </w:r>
      <w:r w:rsidR="00B35C9B" w:rsidRPr="00B47352">
        <w:rPr>
          <w:highlight w:val="green"/>
          <w:lang w:eastAsia="de-DE"/>
        </w:rPr>
        <w:t xml:space="preserve">jedoch Massnahmen nötig. </w:t>
      </w:r>
    </w:p>
    <w:p w14:paraId="0CC5124C" w14:textId="77777777" w:rsidR="004A4C5E" w:rsidRPr="00B47352" w:rsidRDefault="004A4C5E" w:rsidP="00497922">
      <w:pPr>
        <w:spacing w:before="0"/>
        <w:rPr>
          <w:highlight w:val="green"/>
          <w:lang w:eastAsia="de-DE"/>
        </w:rPr>
      </w:pPr>
    </w:p>
    <w:p w14:paraId="7F5B9684" w14:textId="77777777" w:rsidR="00FA39E2" w:rsidRPr="00B47352" w:rsidRDefault="00395BD5" w:rsidP="00497922">
      <w:pPr>
        <w:pStyle w:val="berschrift1"/>
        <w:rPr>
          <w:highlight w:val="green"/>
        </w:rPr>
      </w:pPr>
      <w:bookmarkStart w:id="238" w:name="_Toc356294697"/>
      <w:r w:rsidRPr="00B47352">
        <w:rPr>
          <w:highlight w:val="green"/>
        </w:rPr>
        <w:t>Projektprüfungen im Bereich Abgeltungen für Sanierungsmassnahmen</w:t>
      </w:r>
      <w:bookmarkEnd w:id="238"/>
    </w:p>
    <w:p w14:paraId="77AA4CE5" w14:textId="77777777" w:rsidR="00C32AA5" w:rsidRPr="00B47352" w:rsidRDefault="00CF4511" w:rsidP="00F84DD9">
      <w:pPr>
        <w:rPr>
          <w:highlight w:val="green"/>
          <w:lang w:eastAsia="de-DE"/>
        </w:rPr>
      </w:pPr>
      <w:r w:rsidRPr="00B47352">
        <w:rPr>
          <w:highlight w:val="green"/>
          <w:lang w:eastAsia="de-DE"/>
        </w:rPr>
        <w:t>Für die</w:t>
      </w:r>
      <w:r w:rsidR="00C32AA5" w:rsidRPr="00B47352">
        <w:rPr>
          <w:highlight w:val="green"/>
          <w:lang w:eastAsia="de-DE"/>
        </w:rPr>
        <w:t xml:space="preserve"> Überprüfung des altlast</w:t>
      </w:r>
      <w:r w:rsidRPr="00B47352">
        <w:rPr>
          <w:highlight w:val="green"/>
          <w:lang w:eastAsia="de-DE"/>
        </w:rPr>
        <w:t>enrechtlichen Vollzugs wurden</w:t>
      </w:r>
      <w:r w:rsidR="00C32AA5" w:rsidRPr="00B47352">
        <w:rPr>
          <w:highlight w:val="green"/>
          <w:lang w:eastAsia="de-DE"/>
        </w:rPr>
        <w:t xml:space="preserve"> </w:t>
      </w:r>
      <w:r w:rsidRPr="00B47352">
        <w:rPr>
          <w:highlight w:val="green"/>
          <w:lang w:eastAsia="de-DE"/>
        </w:rPr>
        <w:t>die</w:t>
      </w:r>
      <w:r w:rsidR="00F244AF" w:rsidRPr="00B47352">
        <w:rPr>
          <w:highlight w:val="green"/>
          <w:lang w:eastAsia="de-DE"/>
        </w:rPr>
        <w:t xml:space="preserve"> </w:t>
      </w:r>
      <w:r w:rsidR="00C32AA5" w:rsidRPr="00B47352">
        <w:rPr>
          <w:highlight w:val="green"/>
          <w:lang w:eastAsia="de-DE"/>
        </w:rPr>
        <w:t>folgende</w:t>
      </w:r>
      <w:r w:rsidR="00302D14" w:rsidRPr="00B47352">
        <w:rPr>
          <w:highlight w:val="green"/>
          <w:lang w:eastAsia="de-DE"/>
        </w:rPr>
        <w:t xml:space="preserve">n </w:t>
      </w:r>
      <w:r w:rsidR="00C32AA5" w:rsidRPr="00B47352">
        <w:rPr>
          <w:highlight w:val="green"/>
          <w:lang w:eastAsia="de-DE"/>
        </w:rPr>
        <w:t>Sanierungsprojekte ausgewählt:</w:t>
      </w:r>
    </w:p>
    <w:p w14:paraId="5B54F2A3" w14:textId="77777777" w:rsidR="00FA39E2" w:rsidRPr="00B47352" w:rsidRDefault="003D5E22" w:rsidP="00913BC9">
      <w:pPr>
        <w:pStyle w:val="Listenabsatz"/>
        <w:numPr>
          <w:ilvl w:val="0"/>
          <w:numId w:val="12"/>
        </w:numPr>
        <w:spacing w:after="120"/>
        <w:ind w:left="357" w:hanging="357"/>
        <w:contextualSpacing w:val="0"/>
        <w:rPr>
          <w:highlight w:val="green"/>
          <w:lang w:eastAsia="de-DE"/>
        </w:rPr>
      </w:pPr>
      <w:r w:rsidRPr="00B47352">
        <w:rPr>
          <w:highlight w:val="green"/>
          <w:lang w:eastAsia="de-DE"/>
        </w:rPr>
        <w:t>Beim</w:t>
      </w:r>
      <w:r w:rsidR="00395BD5" w:rsidRPr="00B47352">
        <w:rPr>
          <w:highlight w:val="green"/>
          <w:lang w:eastAsia="de-DE"/>
        </w:rPr>
        <w:t xml:space="preserve"> </w:t>
      </w:r>
      <w:r w:rsidRPr="00B47352">
        <w:rPr>
          <w:highlight w:val="green"/>
          <w:lang w:eastAsia="de-DE"/>
        </w:rPr>
        <w:t>Sanierungsp</w:t>
      </w:r>
      <w:r w:rsidR="00395BD5" w:rsidRPr="00B47352">
        <w:rPr>
          <w:highlight w:val="green"/>
          <w:lang w:eastAsia="de-DE"/>
        </w:rPr>
        <w:t xml:space="preserve">rojekt </w:t>
      </w:r>
      <w:r w:rsidR="000323F5" w:rsidRPr="00B47352">
        <w:rPr>
          <w:highlight w:val="green"/>
          <w:lang w:eastAsia="de-DE"/>
        </w:rPr>
        <w:t>„</w:t>
      </w:r>
      <w:r w:rsidR="00395BD5" w:rsidRPr="00B47352">
        <w:rPr>
          <w:highlight w:val="green"/>
          <w:lang w:eastAsia="de-DE"/>
        </w:rPr>
        <w:t>Areal</w:t>
      </w:r>
      <w:r w:rsidR="00B03233" w:rsidRPr="00B47352">
        <w:rPr>
          <w:highlight w:val="green"/>
          <w:lang w:eastAsia="de-DE"/>
        </w:rPr>
        <w:t xml:space="preserve"> Schnepfenmatt/</w:t>
      </w:r>
      <w:proofErr w:type="spellStart"/>
      <w:r w:rsidR="00B03233" w:rsidRPr="00B47352">
        <w:rPr>
          <w:highlight w:val="green"/>
          <w:lang w:eastAsia="de-DE"/>
        </w:rPr>
        <w:t>Canva</w:t>
      </w:r>
      <w:proofErr w:type="spellEnd"/>
      <w:r w:rsidR="000323F5" w:rsidRPr="00B47352">
        <w:rPr>
          <w:highlight w:val="green"/>
          <w:lang w:eastAsia="de-DE"/>
        </w:rPr>
        <w:t>“</w:t>
      </w:r>
      <w:r w:rsidR="00B03233" w:rsidRPr="00B47352">
        <w:rPr>
          <w:highlight w:val="green"/>
          <w:lang w:eastAsia="de-DE"/>
        </w:rPr>
        <w:t>,</w:t>
      </w:r>
      <w:r w:rsidR="00395BD5" w:rsidRPr="00B47352">
        <w:rPr>
          <w:highlight w:val="green"/>
          <w:lang w:eastAsia="de-DE"/>
        </w:rPr>
        <w:t xml:space="preserve"> Zuchwil</w:t>
      </w:r>
      <w:r w:rsidR="000323F5" w:rsidRPr="00B47352">
        <w:rPr>
          <w:highlight w:val="green"/>
          <w:lang w:eastAsia="de-DE"/>
        </w:rPr>
        <w:t>,</w:t>
      </w:r>
      <w:r w:rsidR="0029618D" w:rsidRPr="00B47352">
        <w:rPr>
          <w:highlight w:val="green"/>
          <w:lang w:eastAsia="de-DE"/>
        </w:rPr>
        <w:t xml:space="preserve"> handelt es sich um ein mittelgrosses Sanierungsprojekt, bei dem mithilfe eines in situ-Verfahrens CKW</w:t>
      </w:r>
      <w:r w:rsidR="00DB5EAA" w:rsidRPr="00B47352">
        <w:rPr>
          <w:rStyle w:val="Funotenzeichen"/>
          <w:highlight w:val="green"/>
          <w:lang w:eastAsia="de-DE"/>
        </w:rPr>
        <w:footnoteReference w:id="1"/>
      </w:r>
      <w:r w:rsidR="0029618D" w:rsidRPr="00B47352">
        <w:rPr>
          <w:highlight w:val="green"/>
          <w:lang w:eastAsia="de-DE"/>
        </w:rPr>
        <w:t xml:space="preserve">-belastetes </w:t>
      </w:r>
      <w:r w:rsidR="0029618D" w:rsidRPr="00B47352">
        <w:rPr>
          <w:highlight w:val="green"/>
          <w:lang w:eastAsia="de-DE"/>
        </w:rPr>
        <w:lastRenderedPageBreak/>
        <w:t>Grundwasser dekontaminiert wird. Es wurden</w:t>
      </w:r>
      <w:r w:rsidR="00395BD5" w:rsidRPr="00B47352">
        <w:rPr>
          <w:highlight w:val="green"/>
          <w:lang w:eastAsia="de-DE"/>
        </w:rPr>
        <w:t xml:space="preserve"> </w:t>
      </w:r>
      <w:r w:rsidRPr="00B47352">
        <w:rPr>
          <w:highlight w:val="green"/>
          <w:lang w:eastAsia="de-DE"/>
        </w:rPr>
        <w:t>die Verfahrensschritte hinsichtlich der Vorgaben der Altlastenbearbeitung überprüft</w:t>
      </w:r>
      <w:r w:rsidR="00395BD5" w:rsidRPr="00B47352">
        <w:rPr>
          <w:highlight w:val="green"/>
          <w:lang w:eastAsia="de-DE"/>
        </w:rPr>
        <w:t xml:space="preserve">. </w:t>
      </w:r>
    </w:p>
    <w:p w14:paraId="64ED4462" w14:textId="77777777" w:rsidR="004A4C5E" w:rsidRPr="00B47352" w:rsidRDefault="00DE738D" w:rsidP="002E374A">
      <w:pPr>
        <w:pStyle w:val="Listenabsatz"/>
        <w:numPr>
          <w:ilvl w:val="0"/>
          <w:numId w:val="12"/>
        </w:numPr>
        <w:spacing w:after="240"/>
        <w:ind w:left="357" w:hanging="357"/>
        <w:rPr>
          <w:highlight w:val="green"/>
          <w:lang w:eastAsia="de-DE"/>
        </w:rPr>
      </w:pPr>
      <w:r w:rsidRPr="00B47352">
        <w:rPr>
          <w:highlight w:val="green"/>
          <w:lang w:eastAsia="de-DE"/>
        </w:rPr>
        <w:t xml:space="preserve">Bei der Sondermülldeponie Kölliken (SMDK) handelt es sich um die grösste Altlast der Schweiz. </w:t>
      </w:r>
      <w:r w:rsidR="000F3E26" w:rsidRPr="00B47352">
        <w:rPr>
          <w:highlight w:val="green"/>
          <w:lang w:eastAsia="de-DE"/>
        </w:rPr>
        <w:t xml:space="preserve">Eine umfassende Projektprüfung der Gesamtsanierung der SMDK war im Rahmen dieser Prüfung nicht vorgesehen. Die Kontrollen haben sich im Wesentlichen </w:t>
      </w:r>
      <w:r w:rsidR="00911EDF" w:rsidRPr="00B47352">
        <w:rPr>
          <w:highlight w:val="green"/>
          <w:lang w:eastAsia="de-DE"/>
        </w:rPr>
        <w:t>auf den Nachvollzug des Entwurfs einer neuen Verfügung um Zusicherung und Auszahlung von Abgeltunge</w:t>
      </w:r>
      <w:r w:rsidR="00904B42" w:rsidRPr="00B47352">
        <w:rPr>
          <w:highlight w:val="green"/>
          <w:lang w:eastAsia="de-DE"/>
        </w:rPr>
        <w:t>n an die Sanierung der SMDK</w:t>
      </w:r>
      <w:r w:rsidR="00B41855" w:rsidRPr="00B47352">
        <w:rPr>
          <w:highlight w:val="green"/>
          <w:lang w:eastAsia="de-DE"/>
        </w:rPr>
        <w:t xml:space="preserve"> konzentriert.</w:t>
      </w:r>
    </w:p>
    <w:p w14:paraId="7D655663" w14:textId="77777777" w:rsidR="00B03233" w:rsidRPr="00B47352" w:rsidRDefault="004A4C5E" w:rsidP="002E374A">
      <w:pPr>
        <w:pStyle w:val="berschrift2"/>
        <w:spacing w:before="480"/>
        <w:ind w:left="578" w:hanging="578"/>
        <w:rPr>
          <w:highlight w:val="green"/>
          <w:lang w:eastAsia="de-DE"/>
        </w:rPr>
      </w:pPr>
      <w:bookmarkStart w:id="239" w:name="_Toc356294698"/>
      <w:r w:rsidRPr="00B47352">
        <w:rPr>
          <w:highlight w:val="green"/>
          <w:lang w:eastAsia="de-DE"/>
        </w:rPr>
        <w:t>Sanierungsp</w:t>
      </w:r>
      <w:r w:rsidR="000323F5" w:rsidRPr="00B47352">
        <w:rPr>
          <w:highlight w:val="green"/>
          <w:lang w:eastAsia="de-DE"/>
        </w:rPr>
        <w:t>rojekt „Areal Schnepfenmatt/</w:t>
      </w:r>
      <w:proofErr w:type="spellStart"/>
      <w:r w:rsidR="000323F5" w:rsidRPr="00B47352">
        <w:rPr>
          <w:highlight w:val="green"/>
          <w:lang w:eastAsia="de-DE"/>
        </w:rPr>
        <w:t>Canva</w:t>
      </w:r>
      <w:proofErr w:type="spellEnd"/>
      <w:r w:rsidR="000323F5" w:rsidRPr="00B47352">
        <w:rPr>
          <w:highlight w:val="green"/>
          <w:lang w:eastAsia="de-DE"/>
        </w:rPr>
        <w:t>“, Zuchwil</w:t>
      </w:r>
      <w:r w:rsidR="00B86CD5" w:rsidRPr="00B47352">
        <w:rPr>
          <w:highlight w:val="green"/>
          <w:lang w:eastAsia="de-DE"/>
        </w:rPr>
        <w:t>: Dekontamination von CKW-belastetem Grundwasser</w:t>
      </w:r>
      <w:bookmarkEnd w:id="239"/>
    </w:p>
    <w:p w14:paraId="33B01EA8" w14:textId="77777777" w:rsidR="00F14E48" w:rsidRPr="00B47352" w:rsidRDefault="00F14E48" w:rsidP="002E374A">
      <w:pPr>
        <w:pStyle w:val="berschrift3"/>
        <w:rPr>
          <w:highlight w:val="green"/>
        </w:rPr>
      </w:pPr>
      <w:bookmarkStart w:id="240" w:name="_Toc356294699"/>
      <w:r w:rsidRPr="00B47352">
        <w:rPr>
          <w:highlight w:val="green"/>
        </w:rPr>
        <w:t xml:space="preserve">Zitat aus dem Regierungsratsbeschluss </w:t>
      </w:r>
      <w:r w:rsidR="00041855" w:rsidRPr="00B47352">
        <w:rPr>
          <w:highlight w:val="green"/>
        </w:rPr>
        <w:t>des Kantons Solothurn vom 23.03.2010</w:t>
      </w:r>
      <w:bookmarkEnd w:id="240"/>
    </w:p>
    <w:p w14:paraId="0694F544" w14:textId="77777777" w:rsidR="00F14E48" w:rsidRPr="00B47352" w:rsidRDefault="00F14E48" w:rsidP="00F14E48">
      <w:pPr>
        <w:rPr>
          <w:highlight w:val="green"/>
          <w:lang w:eastAsia="de-DE"/>
        </w:rPr>
      </w:pPr>
      <w:r w:rsidRPr="00B47352">
        <w:rPr>
          <w:highlight w:val="green"/>
          <w:lang w:eastAsia="de-DE"/>
        </w:rPr>
        <w:t>„Anlässlich einer Neuüberbauung wurden 1988 in Zuchwil beim heutigen Areal Schnepfenmatt/</w:t>
      </w:r>
      <w:proofErr w:type="spellStart"/>
      <w:r w:rsidRPr="00B47352">
        <w:rPr>
          <w:highlight w:val="green"/>
          <w:lang w:eastAsia="de-DE"/>
        </w:rPr>
        <w:t>Canva</w:t>
      </w:r>
      <w:proofErr w:type="spellEnd"/>
      <w:r w:rsidRPr="00B47352">
        <w:rPr>
          <w:highlight w:val="green"/>
          <w:lang w:eastAsia="de-DE"/>
        </w:rPr>
        <w:t xml:space="preserve"> (GB Zuchwil Nr. 700) erhebliche Verschmutzungen des Untergrundes (Boden, Grundwasser) mit chlorierten Kohlenwasserstoffen (CKW) nachgewiesen. Nach Abklärungen stellte das (damals zuständige) kantonale Amt für Umweltschutz fest, dass durch diese Belastung die Umwelt und zwei bestehende öffentliche Trinkwasserpumpwerke (PW </w:t>
      </w:r>
      <w:proofErr w:type="spellStart"/>
      <w:r w:rsidRPr="00B47352">
        <w:rPr>
          <w:highlight w:val="green"/>
          <w:lang w:eastAsia="de-DE"/>
        </w:rPr>
        <w:t>Rötiquai</w:t>
      </w:r>
      <w:proofErr w:type="spellEnd"/>
      <w:r w:rsidRPr="00B47352">
        <w:rPr>
          <w:highlight w:val="green"/>
          <w:lang w:eastAsia="de-DE"/>
        </w:rPr>
        <w:t xml:space="preserve">, PW </w:t>
      </w:r>
      <w:proofErr w:type="spellStart"/>
      <w:r w:rsidRPr="00B47352">
        <w:rPr>
          <w:highlight w:val="green"/>
          <w:lang w:eastAsia="de-DE"/>
        </w:rPr>
        <w:t>Aarmatt</w:t>
      </w:r>
      <w:proofErr w:type="spellEnd"/>
      <w:r w:rsidRPr="00B47352">
        <w:rPr>
          <w:highlight w:val="green"/>
          <w:lang w:eastAsia="de-DE"/>
        </w:rPr>
        <w:t>) akut gefährdet sind. Obwohl es sich beim Areal Schnepfenmatt/</w:t>
      </w:r>
      <w:proofErr w:type="spellStart"/>
      <w:r w:rsidRPr="00B47352">
        <w:rPr>
          <w:highlight w:val="green"/>
          <w:lang w:eastAsia="de-DE"/>
        </w:rPr>
        <w:t>Canva</w:t>
      </w:r>
      <w:proofErr w:type="spellEnd"/>
      <w:r w:rsidRPr="00B47352">
        <w:rPr>
          <w:highlight w:val="green"/>
          <w:lang w:eastAsia="de-DE"/>
        </w:rPr>
        <w:t xml:space="preserve"> um eine der gravierendsten Altlasten im Kanton Solothurn handelt, konnte bislang noch keine erfolgreiche Sanierung durchgeführt werden. Grund dafür sind die örtlichen Verhältnisse (Geologie, Grundwasserstand, Überbauung etc.), welche herkömmliche Sanierungsmethoden nicht zulassen.</w:t>
      </w:r>
    </w:p>
    <w:p w14:paraId="1B91EA34" w14:textId="77777777" w:rsidR="00F14E48" w:rsidRPr="00B47352" w:rsidRDefault="00F14E48" w:rsidP="00F14E48">
      <w:pPr>
        <w:autoSpaceDE w:val="0"/>
        <w:autoSpaceDN w:val="0"/>
        <w:adjustRightInd w:val="0"/>
        <w:rPr>
          <w:rFonts w:ascii="Frutiger-Roman" w:hAnsi="Frutiger-Roman" w:cs="Frutiger-Roman"/>
          <w:highlight w:val="green"/>
          <w:lang w:eastAsia="de-CH"/>
        </w:rPr>
      </w:pPr>
      <w:r w:rsidRPr="00B47352">
        <w:rPr>
          <w:rFonts w:ascii="Frutiger-Roman" w:hAnsi="Frutiger-Roman" w:cs="Frutiger-Roman"/>
          <w:highlight w:val="green"/>
          <w:lang w:eastAsia="de-CH"/>
        </w:rPr>
        <w:t>Seit 2009/2010 wird direkt östlich des Areals Schnepfenmatt/</w:t>
      </w:r>
      <w:proofErr w:type="spellStart"/>
      <w:r w:rsidRPr="00B47352">
        <w:rPr>
          <w:rFonts w:ascii="Frutiger-Roman" w:hAnsi="Frutiger-Roman" w:cs="Frutiger-Roman"/>
          <w:highlight w:val="green"/>
          <w:lang w:eastAsia="de-CH"/>
        </w:rPr>
        <w:t>Canva</w:t>
      </w:r>
      <w:proofErr w:type="spellEnd"/>
      <w:r w:rsidRPr="00B47352">
        <w:rPr>
          <w:rFonts w:ascii="Frutiger-Roman" w:hAnsi="Frutiger-Roman" w:cs="Frutiger-Roman"/>
          <w:highlight w:val="green"/>
          <w:lang w:eastAsia="de-CH"/>
        </w:rPr>
        <w:t xml:space="preserve"> durch die Synthes GmbH ein neues Gebäude erstellt. Während mehrerer Monate erfolgte innerhalb der </w:t>
      </w:r>
      <w:proofErr w:type="spellStart"/>
      <w:r w:rsidRPr="00B47352">
        <w:rPr>
          <w:rFonts w:ascii="Frutiger-Roman" w:hAnsi="Frutiger-Roman" w:cs="Frutiger-Roman"/>
          <w:highlight w:val="green"/>
          <w:lang w:eastAsia="de-CH"/>
        </w:rPr>
        <w:t>umspundeten</w:t>
      </w:r>
      <w:proofErr w:type="spellEnd"/>
      <w:r w:rsidRPr="00B47352">
        <w:rPr>
          <w:rFonts w:ascii="Frutiger-Roman" w:hAnsi="Frutiger-Roman" w:cs="Frutiger-Roman"/>
          <w:highlight w:val="green"/>
          <w:lang w:eastAsia="de-CH"/>
        </w:rPr>
        <w:t xml:space="preserve"> Baugrube eine Grundwasserhaltung. Dabei wurde unter anderem Grundwasser gefördert, welches vom Areal Schnepfenmatt/</w:t>
      </w:r>
      <w:proofErr w:type="spellStart"/>
      <w:r w:rsidRPr="00B47352">
        <w:rPr>
          <w:rFonts w:ascii="Frutiger-Roman" w:hAnsi="Frutiger-Roman" w:cs="Frutiger-Roman"/>
          <w:highlight w:val="green"/>
          <w:lang w:eastAsia="de-CH"/>
        </w:rPr>
        <w:t>Canva</w:t>
      </w:r>
      <w:proofErr w:type="spellEnd"/>
      <w:r w:rsidRPr="00B47352">
        <w:rPr>
          <w:rFonts w:ascii="Frutiger-Roman" w:hAnsi="Frutiger-Roman" w:cs="Frutiger-Roman"/>
          <w:highlight w:val="green"/>
          <w:lang w:eastAsia="de-CH"/>
        </w:rPr>
        <w:t xml:space="preserve"> stammte und mit Schadstoffen belastet war. Das Bauvorhaben der Synthes GmbH führte zur Erkenntnis, dass entgegen früherer Annahmen eine Grundwassersanierung des Areals Schnepfenmatt/</w:t>
      </w:r>
      <w:proofErr w:type="spellStart"/>
      <w:r w:rsidRPr="00B47352">
        <w:rPr>
          <w:rFonts w:ascii="Frutiger-Roman" w:hAnsi="Frutiger-Roman" w:cs="Frutiger-Roman"/>
          <w:highlight w:val="green"/>
          <w:lang w:eastAsia="de-CH"/>
        </w:rPr>
        <w:t>Canva</w:t>
      </w:r>
      <w:proofErr w:type="spellEnd"/>
      <w:r w:rsidRPr="00B47352">
        <w:rPr>
          <w:rFonts w:ascii="Frutiger-Roman" w:hAnsi="Frutiger-Roman" w:cs="Frutiger-Roman"/>
          <w:highlight w:val="green"/>
          <w:lang w:eastAsia="de-CH"/>
        </w:rPr>
        <w:t xml:space="preserve"> möglich ist, ohne das Risiko von Schäden an Gebäuden eingehen zu müssen.</w:t>
      </w:r>
    </w:p>
    <w:p w14:paraId="47D27EB8" w14:textId="77777777" w:rsidR="00F14E48" w:rsidRPr="00B47352" w:rsidRDefault="00F14E48" w:rsidP="00F14E48">
      <w:pPr>
        <w:autoSpaceDE w:val="0"/>
        <w:autoSpaceDN w:val="0"/>
        <w:adjustRightInd w:val="0"/>
        <w:rPr>
          <w:highlight w:val="green"/>
        </w:rPr>
      </w:pPr>
      <w:r w:rsidRPr="00B47352">
        <w:rPr>
          <w:rFonts w:ascii="Frutiger-Roman" w:hAnsi="Frutiger-Roman" w:cs="Frutiger-Roman"/>
          <w:highlight w:val="green"/>
          <w:lang w:eastAsia="de-CH"/>
        </w:rPr>
        <w:t xml:space="preserve">Im Auftrag des Amtes für Umwelt hat die Firma Wanner AG Solothurn ein Sanierungsprojekt erarbeitet, welches auf der bereits beim Bau der Firma Synthes GmbH angewendeten Methode basiert. Gemäss Sanierungsprojekt ist von einem mehrjährigen Betrieb der Sanierungsanlage auszugehen, bis </w:t>
      </w:r>
      <w:r w:rsidR="00102330" w:rsidRPr="00B47352">
        <w:rPr>
          <w:rFonts w:ascii="Frutiger-Roman" w:hAnsi="Frutiger-Roman" w:cs="Frutiger-Roman"/>
          <w:highlight w:val="green"/>
          <w:lang w:eastAsia="de-CH"/>
        </w:rPr>
        <w:t xml:space="preserve">der Standort </w:t>
      </w:r>
      <w:r w:rsidR="00102330" w:rsidRPr="00B47352">
        <w:rPr>
          <w:highlight w:val="green"/>
        </w:rPr>
        <w:t>„Areal Schnepfenmatt/</w:t>
      </w:r>
      <w:proofErr w:type="spellStart"/>
      <w:r w:rsidR="00102330" w:rsidRPr="00B47352">
        <w:rPr>
          <w:highlight w:val="green"/>
        </w:rPr>
        <w:t>Canva</w:t>
      </w:r>
      <w:proofErr w:type="spellEnd"/>
      <w:r w:rsidR="00102330" w:rsidRPr="00B47352">
        <w:rPr>
          <w:highlight w:val="green"/>
        </w:rPr>
        <w:t>“</w:t>
      </w:r>
      <w:r w:rsidRPr="00B47352">
        <w:rPr>
          <w:rFonts w:ascii="Frutiger-Roman" w:hAnsi="Frutiger-Roman" w:cs="Frutiger-Roman"/>
          <w:highlight w:val="green"/>
          <w:lang w:eastAsia="de-CH"/>
        </w:rPr>
        <w:t xml:space="preserve"> endgültig saniert ist. Für eine erfolgreiche Sanierung ist es notwendig, dass ein grosser Teil der technischen Installationen auf dem Areal der Firma Synthes GmbH erfolgt. Diese ist an einer Sanierung des Nachbargrundstückes interessiert und hat deshalb dem Vorgehen zugestimmt. Zwingende Voraussetzung ist allerdings, dass die Installationen vor Anfang April 2010 erfolgen, da dann die Umgebungsarbeiten der Firma Synthes GmbH beginnen. Eine spätere Installation der Sanierungsanlagen wäre nicht mehr oder nur noch mit sehr erheblichem Mehraufwand möglich.“</w:t>
      </w:r>
    </w:p>
    <w:p w14:paraId="71542AAA" w14:textId="77777777" w:rsidR="00F14E48" w:rsidRPr="00B47352" w:rsidRDefault="00F14E48" w:rsidP="000B16B1">
      <w:pPr>
        <w:pStyle w:val="berschrift3"/>
        <w:spacing w:before="480"/>
        <w:rPr>
          <w:highlight w:val="green"/>
        </w:rPr>
      </w:pPr>
      <w:bookmarkStart w:id="241" w:name="_Toc356294700"/>
      <w:r w:rsidRPr="00B47352">
        <w:rPr>
          <w:highlight w:val="green"/>
        </w:rPr>
        <w:t>Das Zusicherungsverfahren wurde regelkonform abgewickelt</w:t>
      </w:r>
      <w:bookmarkEnd w:id="241"/>
    </w:p>
    <w:p w14:paraId="44F5A315" w14:textId="77777777" w:rsidR="00F14E48" w:rsidRPr="00B47352" w:rsidRDefault="00F14E48" w:rsidP="00F14E48">
      <w:pPr>
        <w:rPr>
          <w:highlight w:val="green"/>
        </w:rPr>
      </w:pPr>
      <w:r w:rsidRPr="00B47352">
        <w:rPr>
          <w:highlight w:val="green"/>
        </w:rPr>
        <w:t xml:space="preserve">Im Rahmen der Vorarbeiten fanden hinsichtlich der Sanierung </w:t>
      </w:r>
      <w:r w:rsidR="00102330" w:rsidRPr="00B47352">
        <w:rPr>
          <w:highlight w:val="green"/>
        </w:rPr>
        <w:t>des „Areals Schnepfenmatt/</w:t>
      </w:r>
      <w:proofErr w:type="spellStart"/>
      <w:r w:rsidR="00102330" w:rsidRPr="00B47352">
        <w:rPr>
          <w:highlight w:val="green"/>
        </w:rPr>
        <w:t>Canva</w:t>
      </w:r>
      <w:proofErr w:type="spellEnd"/>
      <w:r w:rsidR="00102330" w:rsidRPr="00B47352">
        <w:rPr>
          <w:highlight w:val="green"/>
        </w:rPr>
        <w:t>“</w:t>
      </w:r>
      <w:r w:rsidRPr="00B47352">
        <w:rPr>
          <w:highlight w:val="green"/>
        </w:rPr>
        <w:t xml:space="preserve"> verschiedene Kontaktnahmen zwischen dem </w:t>
      </w:r>
      <w:proofErr w:type="spellStart"/>
      <w:r w:rsidRPr="00B47352">
        <w:rPr>
          <w:highlight w:val="green"/>
        </w:rPr>
        <w:t>AfU</w:t>
      </w:r>
      <w:proofErr w:type="spellEnd"/>
      <w:r w:rsidRPr="00B47352">
        <w:rPr>
          <w:highlight w:val="green"/>
        </w:rPr>
        <w:t xml:space="preserve"> Kanton Solothurn (</w:t>
      </w:r>
      <w:proofErr w:type="spellStart"/>
      <w:r w:rsidRPr="00B47352">
        <w:rPr>
          <w:highlight w:val="green"/>
        </w:rPr>
        <w:t>AfU</w:t>
      </w:r>
      <w:proofErr w:type="spellEnd"/>
      <w:r w:rsidRPr="00B47352">
        <w:rPr>
          <w:highlight w:val="green"/>
        </w:rPr>
        <w:t xml:space="preserve"> SO), dem BAFU und weiteren Interessierten statt. So gab es auch eine offizielle Anhörung gemäss Art. 14 </w:t>
      </w:r>
      <w:r w:rsidRPr="00B47352">
        <w:rPr>
          <w:highlight w:val="green"/>
        </w:rPr>
        <w:lastRenderedPageBreak/>
        <w:t xml:space="preserve">VASA vom 05.03.2010 </w:t>
      </w:r>
      <w:proofErr w:type="gramStart"/>
      <w:r w:rsidRPr="00B47352">
        <w:rPr>
          <w:highlight w:val="green"/>
        </w:rPr>
        <w:t>an der Vertreter</w:t>
      </w:r>
      <w:proofErr w:type="gramEnd"/>
      <w:r w:rsidRPr="00B47352">
        <w:rPr>
          <w:highlight w:val="green"/>
        </w:rPr>
        <w:t xml:space="preserve"> des </w:t>
      </w:r>
      <w:proofErr w:type="spellStart"/>
      <w:r w:rsidRPr="00B47352">
        <w:rPr>
          <w:highlight w:val="green"/>
        </w:rPr>
        <w:t>AfU</w:t>
      </w:r>
      <w:proofErr w:type="spellEnd"/>
      <w:r w:rsidRPr="00B47352">
        <w:rPr>
          <w:highlight w:val="green"/>
        </w:rPr>
        <w:t xml:space="preserve"> SO, des BAFU, der Firma Synthes GmbH sowie die Beauftrag</w:t>
      </w:r>
      <w:r w:rsidR="00F76FE1" w:rsidRPr="00B47352">
        <w:rPr>
          <w:highlight w:val="green"/>
        </w:rPr>
        <w:t>t</w:t>
      </w:r>
      <w:r w:rsidRPr="00B47352">
        <w:rPr>
          <w:highlight w:val="green"/>
        </w:rPr>
        <w:t>en der projektierenden und ausführenden Firmen teilnahmen, an der das weitere Vorgehen besprochen wurde.</w:t>
      </w:r>
    </w:p>
    <w:p w14:paraId="1E7E490D" w14:textId="77777777" w:rsidR="00F14E48" w:rsidRPr="00B47352" w:rsidRDefault="00F14E48" w:rsidP="00F14E48">
      <w:pPr>
        <w:rPr>
          <w:highlight w:val="green"/>
        </w:rPr>
      </w:pPr>
      <w:r w:rsidRPr="00B47352">
        <w:rPr>
          <w:highlight w:val="green"/>
        </w:rPr>
        <w:t xml:space="preserve">Am 12.03.2010 stellte das </w:t>
      </w:r>
      <w:proofErr w:type="spellStart"/>
      <w:r w:rsidRPr="00B47352">
        <w:rPr>
          <w:highlight w:val="green"/>
        </w:rPr>
        <w:t>AfU</w:t>
      </w:r>
      <w:proofErr w:type="spellEnd"/>
      <w:r w:rsidRPr="00B47352">
        <w:rPr>
          <w:highlight w:val="green"/>
        </w:rPr>
        <w:t xml:space="preserve"> SO </w:t>
      </w:r>
      <w:r w:rsidR="00102330" w:rsidRPr="00B47352">
        <w:rPr>
          <w:highlight w:val="green"/>
        </w:rPr>
        <w:t>für die Altlastsanierung des</w:t>
      </w:r>
      <w:r w:rsidRPr="00B47352">
        <w:rPr>
          <w:highlight w:val="green"/>
        </w:rPr>
        <w:t xml:space="preserve"> </w:t>
      </w:r>
      <w:r w:rsidR="00102330" w:rsidRPr="00B47352">
        <w:rPr>
          <w:highlight w:val="green"/>
        </w:rPr>
        <w:t>„</w:t>
      </w:r>
      <w:r w:rsidRPr="00B47352">
        <w:rPr>
          <w:highlight w:val="green"/>
        </w:rPr>
        <w:t>Areal</w:t>
      </w:r>
      <w:r w:rsidR="00102330" w:rsidRPr="00B47352">
        <w:rPr>
          <w:highlight w:val="green"/>
        </w:rPr>
        <w:t>s</w:t>
      </w:r>
      <w:r w:rsidRPr="00B47352">
        <w:rPr>
          <w:highlight w:val="green"/>
        </w:rPr>
        <w:t xml:space="preserve"> Schnepfenmatt/</w:t>
      </w:r>
      <w:proofErr w:type="spellStart"/>
      <w:r w:rsidRPr="00B47352">
        <w:rPr>
          <w:highlight w:val="green"/>
        </w:rPr>
        <w:t>Canva</w:t>
      </w:r>
      <w:proofErr w:type="spellEnd"/>
      <w:r w:rsidR="00102330" w:rsidRPr="00B47352">
        <w:rPr>
          <w:highlight w:val="green"/>
        </w:rPr>
        <w:t>“</w:t>
      </w:r>
      <w:r w:rsidRPr="00B47352">
        <w:rPr>
          <w:highlight w:val="green"/>
        </w:rPr>
        <w:t xml:space="preserve"> ein Abgeltungsgesuch gemäss Art. 15 VASA. Diesem lagen ein Sanierungsprojekt, eine Stellungnahme des </w:t>
      </w:r>
      <w:proofErr w:type="spellStart"/>
      <w:r w:rsidRPr="00B47352">
        <w:rPr>
          <w:highlight w:val="green"/>
        </w:rPr>
        <w:t>AfU</w:t>
      </w:r>
      <w:proofErr w:type="spellEnd"/>
      <w:r w:rsidRPr="00B47352">
        <w:rPr>
          <w:highlight w:val="green"/>
        </w:rPr>
        <w:t xml:space="preserve"> SO, eine Kostenverteilungsverfügung des Bau- und Justizd</w:t>
      </w:r>
      <w:r w:rsidR="00233931" w:rsidRPr="00B47352">
        <w:rPr>
          <w:highlight w:val="green"/>
        </w:rPr>
        <w:t>epartements Kanton Solothurn mit</w:t>
      </w:r>
      <w:r w:rsidRPr="00B47352">
        <w:rPr>
          <w:highlight w:val="green"/>
        </w:rPr>
        <w:t xml:space="preserve"> entsprechenden Empfangsbestätigungen bei. In der Stellungnahme des </w:t>
      </w:r>
      <w:proofErr w:type="spellStart"/>
      <w:r w:rsidRPr="00B47352">
        <w:rPr>
          <w:highlight w:val="green"/>
        </w:rPr>
        <w:t>AfU</w:t>
      </w:r>
      <w:proofErr w:type="spellEnd"/>
      <w:r w:rsidRPr="00B47352">
        <w:rPr>
          <w:highlight w:val="green"/>
        </w:rPr>
        <w:t xml:space="preserve"> SO wurden die Kosten für die Installation der Sanierungsanlage sowie den Betrieb der ersten 5 Jahre mit 2,08 Mio. Franken angegeben. Da gemäss Kostenverteilungsverfügung nicht mehr auf den Verursacher zurückgegriffen werden konnte und auch die heutigen Besitzer von einer Kostenübernahme befreit wurden, sind die gesamten Kosten für die notwendigen Massnahmen zur Untersuchung, Überwachung und Sanierung des belasteten Standorts durch den Kanton zu tragen.</w:t>
      </w:r>
    </w:p>
    <w:p w14:paraId="6DC54B31" w14:textId="77777777" w:rsidR="00F14E48" w:rsidRPr="00B47352" w:rsidRDefault="00171DCB" w:rsidP="00F14E48">
      <w:pPr>
        <w:rPr>
          <w:highlight w:val="green"/>
        </w:rPr>
      </w:pPr>
      <w:r w:rsidRPr="00B47352">
        <w:rPr>
          <w:highlight w:val="green"/>
        </w:rPr>
        <w:t>Mit Datum vom 30.</w:t>
      </w:r>
      <w:r w:rsidR="00F061EC" w:rsidRPr="00B47352">
        <w:rPr>
          <w:highlight w:val="green"/>
        </w:rPr>
        <w:t xml:space="preserve"> März </w:t>
      </w:r>
      <w:r w:rsidR="00F14E48" w:rsidRPr="00B47352">
        <w:rPr>
          <w:highlight w:val="green"/>
        </w:rPr>
        <w:t>2010 hat das BAFU betreffend Sanierung des Betriebsstandorts „Areal Schnepfenmatt/</w:t>
      </w:r>
      <w:proofErr w:type="spellStart"/>
      <w:r w:rsidR="00F14E48" w:rsidRPr="00B47352">
        <w:rPr>
          <w:highlight w:val="green"/>
        </w:rPr>
        <w:t>Canva</w:t>
      </w:r>
      <w:proofErr w:type="spellEnd"/>
      <w:r w:rsidR="00F14E48" w:rsidRPr="00B47352">
        <w:rPr>
          <w:highlight w:val="green"/>
        </w:rPr>
        <w:t>“, Zuchwil</w:t>
      </w:r>
      <w:r w:rsidR="00102330" w:rsidRPr="00B47352">
        <w:rPr>
          <w:highlight w:val="green"/>
        </w:rPr>
        <w:t>,</w:t>
      </w:r>
      <w:r w:rsidR="00F14E48" w:rsidRPr="00B47352">
        <w:rPr>
          <w:highlight w:val="green"/>
        </w:rPr>
        <w:t xml:space="preserve"> die Zusicherung einer Abgeltung gemäss VASA verfügt. Dies vor allem, weil die Grundwasserhaltung beim Bau der Synthes GmbH zeigte, dass die Verschmutzung des Grundwassers saniert werden kann, ohne Setzungsschäden an umliegenden, bestehenden Gebäuden in Kauf nehmen zu müssen. Die subventionierte Massnahme und ihre voraussichtliche Dauer sind in der Zusicherung beschrieben.</w:t>
      </w:r>
    </w:p>
    <w:p w14:paraId="44E27DFA" w14:textId="77777777" w:rsidR="00F14E48" w:rsidRPr="00B47352" w:rsidRDefault="00F14E48" w:rsidP="00F14E48">
      <w:pPr>
        <w:rPr>
          <w:highlight w:val="green"/>
        </w:rPr>
      </w:pPr>
      <w:r w:rsidRPr="00B47352">
        <w:rPr>
          <w:highlight w:val="green"/>
        </w:rPr>
        <w:t xml:space="preserve">Entsprechend dem Gesuch des </w:t>
      </w:r>
      <w:proofErr w:type="spellStart"/>
      <w:r w:rsidRPr="00B47352">
        <w:rPr>
          <w:highlight w:val="green"/>
        </w:rPr>
        <w:t>AfU</w:t>
      </w:r>
      <w:proofErr w:type="spellEnd"/>
      <w:r w:rsidRPr="00B47352">
        <w:rPr>
          <w:highlight w:val="green"/>
        </w:rPr>
        <w:t xml:space="preserve"> SO sicherte das BAFU an die voraussichtlichen, anrechenbaren Gesamtkosten von 3,4 Mio. Franken einen Abgeltungsbetrag von 1,36 Mio. Franken bzw. 40% der Ausfallkosten zu. Für die Berechnung des Bundesbeitrages wurden die folgenden Kosten in Betracht gezogen (Beträge in Franken):</w:t>
      </w:r>
    </w:p>
    <w:p w14:paraId="4007BE4E" w14:textId="77777777" w:rsidR="00C6381B" w:rsidRPr="00B47352" w:rsidRDefault="00C6381B" w:rsidP="00C6381B">
      <w:pPr>
        <w:spacing w:before="0"/>
        <w:rPr>
          <w:highlight w:val="green"/>
        </w:rPr>
      </w:pPr>
    </w:p>
    <w:p w14:paraId="041C920D" w14:textId="77777777" w:rsidR="00F14E48" w:rsidRPr="00B47352" w:rsidRDefault="00F14E48" w:rsidP="00913BC9">
      <w:pPr>
        <w:pStyle w:val="Listenabsatz"/>
        <w:numPr>
          <w:ilvl w:val="0"/>
          <w:numId w:val="11"/>
        </w:numPr>
        <w:tabs>
          <w:tab w:val="right" w:pos="284"/>
          <w:tab w:val="right" w:pos="8505"/>
        </w:tabs>
        <w:spacing w:before="0"/>
        <w:ind w:left="284" w:hanging="284"/>
        <w:rPr>
          <w:highlight w:val="green"/>
        </w:rPr>
      </w:pPr>
      <w:r w:rsidRPr="00B47352">
        <w:rPr>
          <w:highlight w:val="green"/>
        </w:rPr>
        <w:t>Projektkosten gemäss Kostenvo</w:t>
      </w:r>
      <w:r w:rsidR="0020135A" w:rsidRPr="00B47352">
        <w:rPr>
          <w:highlight w:val="green"/>
        </w:rPr>
        <w:t>ranschlag AFU Solothurn (ohne MwSt.</w:t>
      </w:r>
      <w:r w:rsidRPr="00B47352">
        <w:rPr>
          <w:highlight w:val="green"/>
        </w:rPr>
        <w:t>)</w:t>
      </w:r>
      <w:r w:rsidRPr="00B47352">
        <w:rPr>
          <w:highlight w:val="green"/>
        </w:rPr>
        <w:tab/>
        <w:t>2‘080‘000</w:t>
      </w:r>
    </w:p>
    <w:p w14:paraId="571BBCC9" w14:textId="77777777" w:rsidR="00F14E48" w:rsidRPr="00B47352" w:rsidRDefault="00F14E48" w:rsidP="00913BC9">
      <w:pPr>
        <w:pStyle w:val="Listenabsatz"/>
        <w:numPr>
          <w:ilvl w:val="0"/>
          <w:numId w:val="11"/>
        </w:numPr>
        <w:tabs>
          <w:tab w:val="right" w:pos="284"/>
          <w:tab w:val="right" w:pos="8505"/>
        </w:tabs>
        <w:spacing w:before="0"/>
        <w:ind w:left="284" w:hanging="284"/>
        <w:rPr>
          <w:highlight w:val="green"/>
        </w:rPr>
      </w:pPr>
      <w:r w:rsidRPr="00B47352">
        <w:rPr>
          <w:highlight w:val="green"/>
        </w:rPr>
        <w:t xml:space="preserve">Erweiterung Betrieb von 5 auf 8 Jahre (ohne </w:t>
      </w:r>
      <w:r w:rsidR="0020135A" w:rsidRPr="00B47352">
        <w:rPr>
          <w:highlight w:val="green"/>
        </w:rPr>
        <w:t>MwSt.)</w:t>
      </w:r>
      <w:r w:rsidRPr="00B47352">
        <w:rPr>
          <w:highlight w:val="green"/>
        </w:rPr>
        <w:tab/>
        <w:t>645‘000</w:t>
      </w:r>
    </w:p>
    <w:p w14:paraId="5E265079" w14:textId="77777777" w:rsidR="00F14E48" w:rsidRPr="00B47352" w:rsidRDefault="00F14E48" w:rsidP="00913BC9">
      <w:pPr>
        <w:pStyle w:val="Listenabsatz"/>
        <w:numPr>
          <w:ilvl w:val="0"/>
          <w:numId w:val="11"/>
        </w:numPr>
        <w:tabs>
          <w:tab w:val="right" w:pos="284"/>
          <w:tab w:val="right" w:pos="8505"/>
        </w:tabs>
        <w:spacing w:before="0"/>
        <w:ind w:left="284" w:hanging="284"/>
        <w:rPr>
          <w:highlight w:val="green"/>
        </w:rPr>
      </w:pPr>
      <w:r w:rsidRPr="00B47352">
        <w:rPr>
          <w:highlight w:val="green"/>
        </w:rPr>
        <w:t>Vorarbe</w:t>
      </w:r>
      <w:r w:rsidR="0020135A" w:rsidRPr="00B47352">
        <w:rPr>
          <w:highlight w:val="green"/>
        </w:rPr>
        <w:t xml:space="preserve">iten </w:t>
      </w:r>
      <w:proofErr w:type="gramStart"/>
      <w:r w:rsidR="0020135A" w:rsidRPr="00B47352">
        <w:rPr>
          <w:highlight w:val="green"/>
        </w:rPr>
        <w:t>ausserhalb Projekt</w:t>
      </w:r>
      <w:proofErr w:type="gramEnd"/>
      <w:r w:rsidR="0020135A" w:rsidRPr="00B47352">
        <w:rPr>
          <w:highlight w:val="green"/>
        </w:rPr>
        <w:t xml:space="preserve"> (ohne MwSt.)</w:t>
      </w:r>
      <w:r w:rsidRPr="00B47352">
        <w:rPr>
          <w:highlight w:val="green"/>
        </w:rPr>
        <w:tab/>
        <w:t>43‘075</w:t>
      </w:r>
    </w:p>
    <w:p w14:paraId="7EEA098B" w14:textId="77777777" w:rsidR="00F14E48" w:rsidRPr="00B47352" w:rsidRDefault="005E0029" w:rsidP="00913BC9">
      <w:pPr>
        <w:pStyle w:val="Listenabsatz"/>
        <w:numPr>
          <w:ilvl w:val="0"/>
          <w:numId w:val="11"/>
        </w:numPr>
        <w:tabs>
          <w:tab w:val="right" w:pos="284"/>
          <w:tab w:val="right" w:pos="8505"/>
        </w:tabs>
        <w:spacing w:before="0"/>
        <w:ind w:left="284" w:hanging="284"/>
        <w:rPr>
          <w:highlight w:val="green"/>
        </w:rPr>
      </w:pPr>
      <w:r w:rsidRPr="00B47352">
        <w:rPr>
          <w:highlight w:val="green"/>
        </w:rPr>
        <w:t>MwSt.</w:t>
      </w:r>
      <w:r w:rsidR="00F14E48" w:rsidRPr="00B47352">
        <w:rPr>
          <w:highlight w:val="green"/>
        </w:rPr>
        <w:t>: 7,6% auf 2‘768‘075</w:t>
      </w:r>
      <w:r w:rsidR="00F14E48" w:rsidRPr="00B47352">
        <w:rPr>
          <w:highlight w:val="green"/>
        </w:rPr>
        <w:tab/>
        <w:t>210‘373</w:t>
      </w:r>
    </w:p>
    <w:p w14:paraId="737D26A8" w14:textId="77777777" w:rsidR="00F14E48" w:rsidRPr="00B47352" w:rsidRDefault="00F14E48" w:rsidP="00913BC9">
      <w:pPr>
        <w:pStyle w:val="Listenabsatz"/>
        <w:numPr>
          <w:ilvl w:val="0"/>
          <w:numId w:val="11"/>
        </w:numPr>
        <w:tabs>
          <w:tab w:val="right" w:pos="284"/>
          <w:tab w:val="right" w:pos="8505"/>
        </w:tabs>
        <w:spacing w:before="0"/>
        <w:ind w:left="284" w:hanging="284"/>
        <w:rPr>
          <w:highlight w:val="green"/>
        </w:rPr>
      </w:pPr>
      <w:r w:rsidRPr="00B47352">
        <w:rPr>
          <w:highlight w:val="green"/>
        </w:rPr>
        <w:t xml:space="preserve">Vorarbeiten </w:t>
      </w:r>
      <w:proofErr w:type="gramStart"/>
      <w:r w:rsidRPr="00B47352">
        <w:rPr>
          <w:highlight w:val="green"/>
        </w:rPr>
        <w:t>ausserhalb Projekt</w:t>
      </w:r>
      <w:proofErr w:type="gramEnd"/>
      <w:r w:rsidRPr="00B47352">
        <w:rPr>
          <w:highlight w:val="green"/>
        </w:rPr>
        <w:t xml:space="preserve"> (inkl. </w:t>
      </w:r>
      <w:r w:rsidR="0020135A" w:rsidRPr="00B47352">
        <w:rPr>
          <w:highlight w:val="green"/>
        </w:rPr>
        <w:t>MwSt.)</w:t>
      </w:r>
      <w:r w:rsidRPr="00B47352">
        <w:rPr>
          <w:highlight w:val="green"/>
        </w:rPr>
        <w:tab/>
        <w:t>446‘495</w:t>
      </w:r>
    </w:p>
    <w:p w14:paraId="23410354" w14:textId="77777777" w:rsidR="00F14E48" w:rsidRPr="00B47352" w:rsidRDefault="00F14E48" w:rsidP="00167EB6">
      <w:pPr>
        <w:tabs>
          <w:tab w:val="right" w:pos="284"/>
          <w:tab w:val="right" w:pos="8505"/>
        </w:tabs>
        <w:spacing w:after="240"/>
        <w:rPr>
          <w:highlight w:val="green"/>
        </w:rPr>
      </w:pPr>
      <w:r w:rsidRPr="00B47352">
        <w:rPr>
          <w:b/>
          <w:highlight w:val="green"/>
        </w:rPr>
        <w:t>Total beitragsberechtigte Kosten</w:t>
      </w:r>
      <w:r w:rsidRPr="00B47352">
        <w:rPr>
          <w:highlight w:val="green"/>
        </w:rPr>
        <w:t xml:space="preserve"> (inkl. </w:t>
      </w:r>
      <w:r w:rsidR="0020135A" w:rsidRPr="00B47352">
        <w:rPr>
          <w:highlight w:val="green"/>
        </w:rPr>
        <w:t>MwSt.)</w:t>
      </w:r>
      <w:r w:rsidRPr="00B47352">
        <w:rPr>
          <w:highlight w:val="green"/>
        </w:rPr>
        <w:tab/>
      </w:r>
      <w:r w:rsidRPr="00B47352">
        <w:rPr>
          <w:b/>
          <w:highlight w:val="green"/>
        </w:rPr>
        <w:t>3‘424‘943</w:t>
      </w:r>
    </w:p>
    <w:p w14:paraId="10297094" w14:textId="77777777" w:rsidR="00F14E48" w:rsidRPr="00B47352" w:rsidRDefault="00F14E48" w:rsidP="00F14E48">
      <w:pPr>
        <w:tabs>
          <w:tab w:val="right" w:pos="284"/>
          <w:tab w:val="center" w:pos="8505"/>
        </w:tabs>
        <w:rPr>
          <w:highlight w:val="green"/>
        </w:rPr>
      </w:pPr>
      <w:r w:rsidRPr="00B47352">
        <w:rPr>
          <w:highlight w:val="green"/>
        </w:rPr>
        <w:t>Laut Verfügungstext sind für die Auszahlung die in der Endabrechnung ausgewiesenen Kosten massgebend. Dabei bleibt die Ausscheidung nicht abgeltungsberechtigter Kosten im Rahmen der Endabrechnung (Auszahlungsverfügung) vorbehalten. Grundsätzlich anrechenbar sind diejenigen Aufwendungen, die tatsächlich entstehen, und die für die zweckmässige Erfüllung der Aufgabe (Erreichung des Sanierungsziels) unbedingt erforderlich sind (Art. 14 Abs. 1 Subventionsgesetz).</w:t>
      </w:r>
    </w:p>
    <w:p w14:paraId="20D0A70C" w14:textId="77777777" w:rsidR="00F14E48" w:rsidRDefault="00F14E48" w:rsidP="00F14E48">
      <w:pPr>
        <w:tabs>
          <w:tab w:val="right" w:pos="284"/>
          <w:tab w:val="center" w:pos="8505"/>
        </w:tabs>
      </w:pPr>
      <w:r w:rsidRPr="00B47352">
        <w:rPr>
          <w:highlight w:val="green"/>
        </w:rPr>
        <w:t>Die Zusicherungsverfügung sieht ein</w:t>
      </w:r>
      <w:r w:rsidR="00EF77CB" w:rsidRPr="00B47352">
        <w:rPr>
          <w:highlight w:val="green"/>
        </w:rPr>
        <w:t xml:space="preserve">e erste Teilzahlung </w:t>
      </w:r>
      <w:r w:rsidR="008C2A9B" w:rsidRPr="00B47352">
        <w:rPr>
          <w:highlight w:val="green"/>
        </w:rPr>
        <w:t xml:space="preserve">an die voraussichtlich anrechenbaren Kosten </w:t>
      </w:r>
      <w:r w:rsidR="00EF77CB" w:rsidRPr="00B47352">
        <w:rPr>
          <w:highlight w:val="green"/>
        </w:rPr>
        <w:t xml:space="preserve">von rund </w:t>
      </w:r>
      <w:r w:rsidR="008C2A9B" w:rsidRPr="00B47352">
        <w:rPr>
          <w:highlight w:val="green"/>
        </w:rPr>
        <w:t>1,5 Millionen</w:t>
      </w:r>
      <w:r w:rsidRPr="00B47352">
        <w:rPr>
          <w:highlight w:val="green"/>
        </w:rPr>
        <w:t xml:space="preserve"> Franken</w:t>
      </w:r>
      <w:r w:rsidR="00EF77CB" w:rsidRPr="00B47352">
        <w:rPr>
          <w:highlight w:val="green"/>
        </w:rPr>
        <w:t xml:space="preserve"> </w:t>
      </w:r>
      <w:r w:rsidRPr="00B47352">
        <w:rPr>
          <w:highlight w:val="green"/>
        </w:rPr>
        <w:t>nach dem ersten Betriebsjahr vor, bei der ebenfalls sämtliche Vorarbeiten verrechnet werden könn</w:t>
      </w:r>
      <w:r w:rsidR="00EF77CB" w:rsidRPr="00B47352">
        <w:rPr>
          <w:highlight w:val="green"/>
        </w:rPr>
        <w:t xml:space="preserve">en. Die Restzahlung </w:t>
      </w:r>
      <w:r w:rsidR="008C2A9B" w:rsidRPr="00B47352">
        <w:rPr>
          <w:highlight w:val="green"/>
        </w:rPr>
        <w:t xml:space="preserve">an die anrechenbaren Kosten </w:t>
      </w:r>
      <w:r w:rsidR="00EF77CB" w:rsidRPr="00B47352">
        <w:rPr>
          <w:highlight w:val="green"/>
        </w:rPr>
        <w:t xml:space="preserve">von rund </w:t>
      </w:r>
      <w:r w:rsidR="008C2A9B" w:rsidRPr="00B47352">
        <w:rPr>
          <w:highlight w:val="green"/>
        </w:rPr>
        <w:t>1,9 Millionen</w:t>
      </w:r>
      <w:r w:rsidRPr="00B47352">
        <w:rPr>
          <w:highlight w:val="green"/>
        </w:rPr>
        <w:t xml:space="preserve"> Franken soll nach Abschluss der Sanierungsarbeiten, maximal 8 Jahre nach Beginn erfolgen.</w:t>
      </w:r>
    </w:p>
    <w:p w14:paraId="7FA5438F" w14:textId="77777777" w:rsidR="00F14E48" w:rsidRPr="00421172" w:rsidRDefault="00F14E48" w:rsidP="00F14E48">
      <w:pPr>
        <w:tabs>
          <w:tab w:val="right" w:pos="284"/>
          <w:tab w:val="center" w:pos="8505"/>
        </w:tabs>
        <w:rPr>
          <w:color w:val="auto"/>
        </w:rPr>
      </w:pPr>
      <w:r w:rsidRPr="00B47352">
        <w:rPr>
          <w:highlight w:val="blue"/>
        </w:rPr>
        <w:lastRenderedPageBreak/>
        <w:t>Aus Sicht der EFK wurde das Zusicherungsverfahren durch das BAFU regelkonform durchgeführt. Dass alle Untersuchungs- und Überwachungsmassnahmen, die zu einer Sanierungsmassnahme führten, als anrechenbar in Betracht gezogen wurden, entsprach der damaligen ständigen Praxis des BAFU, die rechtsgleich für alle Gesuchsteller angewendet wurde.</w:t>
      </w:r>
      <w:r w:rsidRPr="00B47352">
        <w:rPr>
          <w:color w:val="auto"/>
          <w:highlight w:val="blue"/>
        </w:rPr>
        <w:t xml:space="preserve"> Jedoch hinsichtlich der erwarteten</w:t>
      </w:r>
      <w:r w:rsidR="00E17FC2" w:rsidRPr="00B47352">
        <w:rPr>
          <w:color w:val="auto"/>
          <w:highlight w:val="blue"/>
        </w:rPr>
        <w:t xml:space="preserve"> Projetkaufsicht durch das BAFU</w:t>
      </w:r>
      <w:r w:rsidRPr="00B47352">
        <w:rPr>
          <w:color w:val="auto"/>
          <w:highlight w:val="blue"/>
        </w:rPr>
        <w:t xml:space="preserve"> </w:t>
      </w:r>
      <w:r w:rsidR="0029713F" w:rsidRPr="00B47352">
        <w:rPr>
          <w:color w:val="auto"/>
          <w:highlight w:val="blue"/>
        </w:rPr>
        <w:t>fehlt in der Verfügung ein expliziter</w:t>
      </w:r>
      <w:r w:rsidRPr="00B47352">
        <w:rPr>
          <w:color w:val="auto"/>
          <w:highlight w:val="blue"/>
        </w:rPr>
        <w:t xml:space="preserve"> Hinweis auf das angestrebte Sanierungsziel der Massnahme sowie die während dem Betrieb vom Beitragsempfänger erwartete Berichterstattung.</w:t>
      </w:r>
    </w:p>
    <w:p w14:paraId="021DBABE" w14:textId="77777777" w:rsidR="00EB4E87" w:rsidRPr="00B47352" w:rsidRDefault="00EB4E87" w:rsidP="00890E54">
      <w:pPr>
        <w:pStyle w:val="Empfehlung-n"/>
        <w:numPr>
          <w:ilvl w:val="0"/>
          <w:numId w:val="0"/>
        </w:numPr>
        <w:tabs>
          <w:tab w:val="left" w:pos="284"/>
        </w:tabs>
        <w:spacing w:before="240" w:line="300" w:lineRule="atLeast"/>
        <w:rPr>
          <w:color w:val="000000" w:themeColor="text1"/>
          <w:highlight w:val="darkYellow"/>
        </w:rPr>
      </w:pPr>
      <w:r w:rsidRPr="00B47352">
        <w:rPr>
          <w:color w:val="000000" w:themeColor="text1"/>
          <w:highlight w:val="darkYellow"/>
        </w:rPr>
        <w:t>Empfehlung 1 (Priorität 1):</w:t>
      </w:r>
    </w:p>
    <w:p w14:paraId="4991ACD1" w14:textId="77777777" w:rsidR="00EB4E87" w:rsidRPr="00B47352" w:rsidRDefault="00EB4E87" w:rsidP="00EB4E87">
      <w:pPr>
        <w:pStyle w:val="Empfehlung-n"/>
        <w:numPr>
          <w:ilvl w:val="0"/>
          <w:numId w:val="0"/>
        </w:numPr>
        <w:tabs>
          <w:tab w:val="left" w:pos="284"/>
        </w:tabs>
        <w:spacing w:before="120" w:line="300" w:lineRule="atLeast"/>
        <w:rPr>
          <w:i w:val="0"/>
          <w:highlight w:val="darkYellow"/>
        </w:rPr>
      </w:pPr>
      <w:r w:rsidRPr="00B47352">
        <w:rPr>
          <w:highlight w:val="darkYellow"/>
        </w:rPr>
        <w:t xml:space="preserve">Das BAFU nimmt </w:t>
      </w:r>
      <w:r w:rsidR="00531C08" w:rsidRPr="00B47352">
        <w:rPr>
          <w:highlight w:val="darkYellow"/>
        </w:rPr>
        <w:t xml:space="preserve">künftig </w:t>
      </w:r>
      <w:r w:rsidRPr="00B47352">
        <w:rPr>
          <w:highlight w:val="darkYellow"/>
        </w:rPr>
        <w:t>in alle Zusicherungsverfügungen einen Hinweis auf das Sanierungsziel und die während dem Betrieb vom Beitragsempfänger erwartete Berichterstattung auf.</w:t>
      </w:r>
    </w:p>
    <w:p w14:paraId="749FA4B1" w14:textId="77777777" w:rsidR="00F14E48" w:rsidRPr="00B47352" w:rsidRDefault="00F14E48" w:rsidP="000B16B1">
      <w:pPr>
        <w:pStyle w:val="berschrift3"/>
        <w:spacing w:before="480"/>
        <w:rPr>
          <w:highlight w:val="green"/>
        </w:rPr>
      </w:pPr>
      <w:bookmarkStart w:id="242" w:name="_Toc356294701"/>
      <w:r w:rsidRPr="00B47352">
        <w:rPr>
          <w:highlight w:val="green"/>
        </w:rPr>
        <w:t>Die Beitragszahlungen basieren auf nachgewiesenen Leistungen</w:t>
      </w:r>
      <w:bookmarkEnd w:id="242"/>
    </w:p>
    <w:p w14:paraId="2B7E182F" w14:textId="77777777" w:rsidR="00F14E48" w:rsidRPr="00B47352" w:rsidRDefault="00F14E48" w:rsidP="00F14E48">
      <w:pPr>
        <w:tabs>
          <w:tab w:val="right" w:pos="284"/>
          <w:tab w:val="center" w:pos="8505"/>
        </w:tabs>
        <w:rPr>
          <w:highlight w:val="green"/>
        </w:rPr>
      </w:pPr>
      <w:r w:rsidRPr="00B47352">
        <w:rPr>
          <w:highlight w:val="green"/>
        </w:rPr>
        <w:t xml:space="preserve">Am 06.07.2012 stellte das </w:t>
      </w:r>
      <w:proofErr w:type="spellStart"/>
      <w:r w:rsidRPr="00B47352">
        <w:rPr>
          <w:highlight w:val="green"/>
        </w:rPr>
        <w:t>AfU</w:t>
      </w:r>
      <w:proofErr w:type="spellEnd"/>
      <w:r w:rsidRPr="00B47352">
        <w:rPr>
          <w:highlight w:val="green"/>
        </w:rPr>
        <w:t xml:space="preserve"> SO an das BAFU ein Gesuch um Teilzahlung. Die bisherigen Aufwendungen </w:t>
      </w:r>
      <w:r w:rsidR="0069421B" w:rsidRPr="00B47352">
        <w:rPr>
          <w:highlight w:val="green"/>
        </w:rPr>
        <w:t>der Sanierung inkl. Kosten des ersten</w:t>
      </w:r>
      <w:r w:rsidRPr="00B47352">
        <w:rPr>
          <w:highlight w:val="green"/>
        </w:rPr>
        <w:t xml:space="preserve"> Betrie</w:t>
      </w:r>
      <w:r w:rsidR="00D11CD5" w:rsidRPr="00B47352">
        <w:rPr>
          <w:highlight w:val="green"/>
        </w:rPr>
        <w:t>bsjahres wurden mit 1‘257‘999</w:t>
      </w:r>
      <w:r w:rsidRPr="00B47352">
        <w:rPr>
          <w:highlight w:val="green"/>
        </w:rPr>
        <w:t xml:space="preserve"> Franken angegeben; die der vorangehenden Untersuchungen und Überwachungen auf insge</w:t>
      </w:r>
      <w:r w:rsidR="00D11CD5" w:rsidRPr="00B47352">
        <w:rPr>
          <w:highlight w:val="green"/>
        </w:rPr>
        <w:t>samt 493‘900</w:t>
      </w:r>
      <w:r w:rsidRPr="00B47352">
        <w:rPr>
          <w:highlight w:val="green"/>
        </w:rPr>
        <w:t xml:space="preserve"> Franken. Die gesamten bisherigen Kosten belaufen sich laut Angabe des Gesuchtell</w:t>
      </w:r>
      <w:r w:rsidR="003509BC" w:rsidRPr="00B47352">
        <w:rPr>
          <w:highlight w:val="green"/>
        </w:rPr>
        <w:t>ers somit auf total 1‘751‘899 Franken inkl. MwSt.</w:t>
      </w:r>
      <w:r w:rsidRPr="00B47352">
        <w:rPr>
          <w:highlight w:val="green"/>
        </w:rPr>
        <w:t xml:space="preserve"> und der nac</w:t>
      </w:r>
      <w:r w:rsidR="003509BC" w:rsidRPr="00B47352">
        <w:rPr>
          <w:highlight w:val="green"/>
        </w:rPr>
        <w:t>hgesuchte Beitrag auf 700‘760</w:t>
      </w:r>
      <w:r w:rsidRPr="00B47352">
        <w:rPr>
          <w:highlight w:val="green"/>
        </w:rPr>
        <w:t xml:space="preserve"> Franken.</w:t>
      </w:r>
    </w:p>
    <w:p w14:paraId="1F727C8C" w14:textId="77777777" w:rsidR="00F14E48" w:rsidRPr="00B47352" w:rsidRDefault="00F14E48" w:rsidP="00F14E48">
      <w:pPr>
        <w:tabs>
          <w:tab w:val="right" w:pos="284"/>
          <w:tab w:val="center" w:pos="8505"/>
        </w:tabs>
        <w:rPr>
          <w:highlight w:val="green"/>
        </w:rPr>
      </w:pPr>
      <w:r w:rsidRPr="00B47352">
        <w:rPr>
          <w:highlight w:val="green"/>
        </w:rPr>
        <w:t>Richtigerweise schied das BAFU bei seiner Kontrolle des Auszahlungsgesuchs gemäss Art. 13 VASA nicht anrechenbare Kosten von 16‘163 Franken für Versicherungsleistungen aus. Somit ergaben sich noch anre</w:t>
      </w:r>
      <w:r w:rsidR="003509BC" w:rsidRPr="00B47352">
        <w:rPr>
          <w:highlight w:val="green"/>
        </w:rPr>
        <w:t>chenbare Kosten von 1‘735‘736</w:t>
      </w:r>
      <w:r w:rsidRPr="00B47352">
        <w:rPr>
          <w:highlight w:val="green"/>
        </w:rPr>
        <w:t xml:space="preserve"> Franken bzw. ein Bundesbeitrag von 694‘295 Franken. Dies wurde dem Gesu</w:t>
      </w:r>
      <w:r w:rsidR="00BB3A4A" w:rsidRPr="00B47352">
        <w:rPr>
          <w:highlight w:val="green"/>
        </w:rPr>
        <w:t>chsteller mit Verfügung vom 28.</w:t>
      </w:r>
      <w:r w:rsidRPr="00B47352">
        <w:rPr>
          <w:highlight w:val="green"/>
        </w:rPr>
        <w:t>8.2012 mitgeteilt und der Betrag, nachdem die Beschwerdefrist von 30 Tagen ungenutzt verstrichen war, ausbezahlt. Die EFK konnte aufgrund der eingesehenen Dokumente feststellen, dass der genannte Betrag sowohl verpflichtungsmässig als auch von der Auszahlung her korrekt behandelt wurde.</w:t>
      </w:r>
    </w:p>
    <w:p w14:paraId="0620C68D" w14:textId="77777777" w:rsidR="00F14E48" w:rsidRPr="00B47352" w:rsidRDefault="00F14E48" w:rsidP="000B16B1">
      <w:pPr>
        <w:pStyle w:val="berschrift3"/>
        <w:spacing w:before="480"/>
        <w:rPr>
          <w:highlight w:val="green"/>
        </w:rPr>
      </w:pPr>
      <w:bookmarkStart w:id="243" w:name="_Toc356294702"/>
      <w:r w:rsidRPr="00B47352">
        <w:rPr>
          <w:highlight w:val="green"/>
        </w:rPr>
        <w:t>Die Sanierungsmassnahmen sind erfolgreich, eine Erweiterung ist jedoch wahrscheinlich</w:t>
      </w:r>
      <w:bookmarkEnd w:id="243"/>
    </w:p>
    <w:p w14:paraId="326DD1D6" w14:textId="77777777" w:rsidR="00F14E48" w:rsidRPr="00B47352" w:rsidRDefault="00F14E48" w:rsidP="00F14E48">
      <w:pPr>
        <w:tabs>
          <w:tab w:val="right" w:pos="284"/>
          <w:tab w:val="center" w:pos="8505"/>
        </w:tabs>
        <w:rPr>
          <w:highlight w:val="green"/>
        </w:rPr>
      </w:pPr>
      <w:r w:rsidRPr="00B47352">
        <w:rPr>
          <w:highlight w:val="green"/>
        </w:rPr>
        <w:t>Bei der Grundwasserhaltung für den Neubau der Synthes GmbH konnten mit der installierten Reinigungsanlage bei einer Pumpmenge von 58‘000 m</w:t>
      </w:r>
      <w:r w:rsidRPr="00B47352">
        <w:rPr>
          <w:highlight w:val="green"/>
          <w:vertAlign w:val="superscript"/>
        </w:rPr>
        <w:t>3</w:t>
      </w:r>
      <w:r w:rsidRPr="00B47352">
        <w:rPr>
          <w:highlight w:val="green"/>
        </w:rPr>
        <w:t xml:space="preserve"> in 7 Monaten 234 kg CKW aus dem Untergrund entfernt werden. Wie das </w:t>
      </w:r>
      <w:proofErr w:type="spellStart"/>
      <w:r w:rsidRPr="00B47352">
        <w:rPr>
          <w:highlight w:val="green"/>
        </w:rPr>
        <w:t>AfU</w:t>
      </w:r>
      <w:proofErr w:type="spellEnd"/>
      <w:r w:rsidRPr="00B47352">
        <w:rPr>
          <w:highlight w:val="green"/>
        </w:rPr>
        <w:t xml:space="preserve"> SO in seinem Gesuch um Teilzahlung von Beiträgen schreibt, konnten dem Grundwasser seit der Inbetriebnahme der Anlage am 2. März 2011 bis am 2. April 2012 rund 112 kg CKW entzogen werden. </w:t>
      </w:r>
      <w:r w:rsidR="00AD7857" w:rsidRPr="00B47352">
        <w:rPr>
          <w:highlight w:val="green"/>
        </w:rPr>
        <w:t>Im zweiten</w:t>
      </w:r>
      <w:r w:rsidR="00BB3A4A" w:rsidRPr="00B47352">
        <w:rPr>
          <w:highlight w:val="green"/>
        </w:rPr>
        <w:t xml:space="preserve"> Betriebsjahr (bis 01.</w:t>
      </w:r>
      <w:r w:rsidRPr="00B47352">
        <w:rPr>
          <w:highlight w:val="green"/>
        </w:rPr>
        <w:t>3.2013) beträgt die entnommene Menge CKW bisher rund 40 kg, wobei der Betrieb der Anlage infolge von Problemen mit dem hohen Grundwasserspiegel für rund 6 Monate eingestellt werden musste. Das heisst, dass die entnommenen 40 kg seit der letzten Angabe von anfangs April 2012 auf nur rund fünf Monate Betriebsdauer entfallen, was umgerechnet auf das ganze Jahr theoretisch gegen 100 kg ergeben würde.</w:t>
      </w:r>
    </w:p>
    <w:p w14:paraId="3A17C493" w14:textId="77777777" w:rsidR="00F14E48" w:rsidRPr="00B47352" w:rsidRDefault="00F14E48" w:rsidP="00F14E48">
      <w:pPr>
        <w:tabs>
          <w:tab w:val="right" w:pos="284"/>
          <w:tab w:val="center" w:pos="8505"/>
        </w:tabs>
        <w:rPr>
          <w:highlight w:val="green"/>
        </w:rPr>
      </w:pPr>
      <w:r w:rsidRPr="00B47352">
        <w:rPr>
          <w:highlight w:val="green"/>
        </w:rPr>
        <w:t xml:space="preserve">Wenn im Projektbeschrieb für die installierte Anlage von einer Extraktionsmenge von jährlich 21 bis 125 kg CKW ausgegangen wurde, darf die bisherige Wirksamkeit der Massnahme aus </w:t>
      </w:r>
      <w:r w:rsidRPr="00B47352">
        <w:rPr>
          <w:highlight w:val="green"/>
        </w:rPr>
        <w:lastRenderedPageBreak/>
        <w:t>heutiger Sicht als gut bis sehr gut beurteilt werden. Dabei versteht sich von selbst, dass die Zeitmenge von Betriebsunterbrüchen nachgeholt werden muss, um insgesamt am Schluss die gleiche Wirkung zu erzielen. Gleichzeitig ist im Laufe des Pumpbetriebs die Abnahme der Menge an CKW, die aus dem Grundwasser entnommen werden kann, vom System her gesehen plausibel. Anlässlich einer Besichtigung mit dem BAFU, die von Kantonsvertretern sowie den beauftragten Ingenieuren und Unternehmern begleitet wurde, konnte sich die EFK von der Funktion der Massnahme und zudem davon überzeugen, dass sich die Anlage gut ins Umfeld einpasst, da sie praktisch unsichtbar ist. Dies ein Aspekt, auf den durch die Anlieger des Standorts besonders die Synthes GmbH grosser Wert gelegt wird.</w:t>
      </w:r>
    </w:p>
    <w:p w14:paraId="3CDD2055" w14:textId="77777777" w:rsidR="00F14E48" w:rsidRPr="00B47352" w:rsidRDefault="00F14E48" w:rsidP="00F14E48">
      <w:pPr>
        <w:tabs>
          <w:tab w:val="right" w:pos="284"/>
          <w:tab w:val="center" w:pos="8505"/>
        </w:tabs>
        <w:rPr>
          <w:highlight w:val="green"/>
        </w:rPr>
      </w:pPr>
      <w:r w:rsidRPr="00B47352">
        <w:rPr>
          <w:highlight w:val="green"/>
        </w:rPr>
        <w:t xml:space="preserve">Gemäss einer Aktennotiz vom 20.12.2012 wurde im Zuge von Baugrunduntersuchungen für ein neues Bauvorhaben der Synthes GmbH festgestellt, dass der Untergrund stark durch CKW des angrenzenden </w:t>
      </w:r>
      <w:proofErr w:type="spellStart"/>
      <w:r w:rsidRPr="00B47352">
        <w:rPr>
          <w:highlight w:val="green"/>
        </w:rPr>
        <w:t>Canva</w:t>
      </w:r>
      <w:proofErr w:type="spellEnd"/>
      <w:r w:rsidRPr="00B47352">
        <w:rPr>
          <w:highlight w:val="green"/>
        </w:rPr>
        <w:t xml:space="preserve">-Areals belastet ist. Das </w:t>
      </w:r>
      <w:proofErr w:type="spellStart"/>
      <w:r w:rsidRPr="00B47352">
        <w:rPr>
          <w:highlight w:val="green"/>
        </w:rPr>
        <w:t>AfU</w:t>
      </w:r>
      <w:proofErr w:type="spellEnd"/>
      <w:r w:rsidRPr="00B47352">
        <w:rPr>
          <w:highlight w:val="green"/>
        </w:rPr>
        <w:t xml:space="preserve"> SO geht in seiner Beurteilung der Lage deshalb von einer Ausweitung der Untersuchungs- und Sanierungsmassnahmen aus und erkundigte sich beim BAFU bereits nach der Möglichkeit weiterer VASA-Abgeltungen. Um Überraschungen zuvor zu kommen, soll der Standort laut BAFU vollumfänglich untersucht werden. Für diese Massnahme sind jedoch wiederum die Schritte Anhörung / Zusicherung und anschliessend Auszahlung nötig. Dieses Vorgehen ist aus Sicht der EFK als richtig zu beurteilen.</w:t>
      </w:r>
    </w:p>
    <w:p w14:paraId="0A2E2A0F" w14:textId="77777777" w:rsidR="00156883" w:rsidRPr="00B47352" w:rsidRDefault="00156883" w:rsidP="00342936">
      <w:pPr>
        <w:tabs>
          <w:tab w:val="right" w:pos="284"/>
          <w:tab w:val="center" w:pos="8505"/>
        </w:tabs>
        <w:spacing w:before="120"/>
        <w:rPr>
          <w:highlight w:val="green"/>
        </w:rPr>
      </w:pPr>
    </w:p>
    <w:p w14:paraId="28103860" w14:textId="77777777" w:rsidR="00F14E48" w:rsidRPr="00B47352" w:rsidRDefault="00E56D08" w:rsidP="00B86CD5">
      <w:pPr>
        <w:pStyle w:val="berschrift2"/>
        <w:rPr>
          <w:highlight w:val="green"/>
          <w:lang w:eastAsia="de-DE"/>
        </w:rPr>
      </w:pPr>
      <w:bookmarkStart w:id="244" w:name="_Toc356294703"/>
      <w:r w:rsidRPr="00B47352">
        <w:rPr>
          <w:highlight w:val="green"/>
          <w:lang w:eastAsia="de-DE"/>
        </w:rPr>
        <w:t xml:space="preserve">Gesamtsanierung der </w:t>
      </w:r>
      <w:r w:rsidR="00156883" w:rsidRPr="00B47352">
        <w:rPr>
          <w:highlight w:val="green"/>
          <w:lang w:eastAsia="de-DE"/>
        </w:rPr>
        <w:t>Sondermülldeponie Kölliken</w:t>
      </w:r>
      <w:r w:rsidRPr="00B47352">
        <w:rPr>
          <w:highlight w:val="green"/>
          <w:lang w:eastAsia="de-DE"/>
        </w:rPr>
        <w:t>: Das grösste Altlastsanierungsprojekt der Schweiz</w:t>
      </w:r>
      <w:bookmarkEnd w:id="244"/>
    </w:p>
    <w:p w14:paraId="114F73D3" w14:textId="77777777" w:rsidR="00E27180" w:rsidRPr="00B47352" w:rsidRDefault="00E27180" w:rsidP="000B16B1">
      <w:pPr>
        <w:pStyle w:val="berschrift3"/>
        <w:spacing w:before="480"/>
        <w:rPr>
          <w:highlight w:val="green"/>
        </w:rPr>
      </w:pPr>
      <w:bookmarkStart w:id="245" w:name="_Toc356294704"/>
      <w:r w:rsidRPr="00B47352">
        <w:rPr>
          <w:highlight w:val="green"/>
        </w:rPr>
        <w:t>Ausgangslage</w:t>
      </w:r>
      <w:bookmarkEnd w:id="245"/>
    </w:p>
    <w:p w14:paraId="301B1AED" w14:textId="77777777" w:rsidR="003C60EE" w:rsidRPr="00B47352" w:rsidRDefault="00293C55" w:rsidP="00E27180">
      <w:pPr>
        <w:tabs>
          <w:tab w:val="right" w:pos="284"/>
          <w:tab w:val="center" w:pos="8505"/>
        </w:tabs>
        <w:rPr>
          <w:highlight w:val="green"/>
          <w:lang w:eastAsia="de-DE"/>
        </w:rPr>
      </w:pPr>
      <w:r w:rsidRPr="00B47352">
        <w:rPr>
          <w:highlight w:val="green"/>
        </w:rPr>
        <w:t xml:space="preserve">Mit Schreiben </w:t>
      </w:r>
      <w:r w:rsidR="00685A59" w:rsidRPr="00B47352">
        <w:rPr>
          <w:highlight w:val="green"/>
        </w:rPr>
        <w:t>vom 11. Juli 2003 eröffnete</w:t>
      </w:r>
      <w:r w:rsidR="001B6702" w:rsidRPr="00B47352">
        <w:rPr>
          <w:highlight w:val="green"/>
        </w:rPr>
        <w:t xml:space="preserve"> die Abteil</w:t>
      </w:r>
      <w:r w:rsidRPr="00B47352">
        <w:rPr>
          <w:highlight w:val="green"/>
        </w:rPr>
        <w:t>ung für Umwelt</w:t>
      </w:r>
      <w:r w:rsidR="007C51CD" w:rsidRPr="00B47352">
        <w:rPr>
          <w:highlight w:val="green"/>
        </w:rPr>
        <w:t xml:space="preserve"> (</w:t>
      </w:r>
      <w:proofErr w:type="spellStart"/>
      <w:r w:rsidR="007C51CD" w:rsidRPr="00B47352">
        <w:rPr>
          <w:highlight w:val="green"/>
        </w:rPr>
        <w:t>AfU</w:t>
      </w:r>
      <w:proofErr w:type="spellEnd"/>
      <w:r w:rsidR="007C51CD" w:rsidRPr="00B47352">
        <w:rPr>
          <w:highlight w:val="green"/>
        </w:rPr>
        <w:t>)</w:t>
      </w:r>
      <w:r w:rsidRPr="00B47352">
        <w:rPr>
          <w:highlight w:val="green"/>
        </w:rPr>
        <w:t xml:space="preserve"> des Kantons Aargau</w:t>
      </w:r>
      <w:r w:rsidR="001B6702" w:rsidRPr="00B47352">
        <w:rPr>
          <w:highlight w:val="green"/>
        </w:rPr>
        <w:t xml:space="preserve"> </w:t>
      </w:r>
      <w:r w:rsidR="006C4748" w:rsidRPr="00B47352">
        <w:rPr>
          <w:highlight w:val="green"/>
        </w:rPr>
        <w:t>dem</w:t>
      </w:r>
      <w:r w:rsidR="003C60EE" w:rsidRPr="00B47352">
        <w:rPr>
          <w:highlight w:val="green"/>
        </w:rPr>
        <w:t xml:space="preserve"> massnahmenpflichtigen</w:t>
      </w:r>
      <w:r w:rsidR="006C4748" w:rsidRPr="00B47352">
        <w:rPr>
          <w:highlight w:val="green"/>
        </w:rPr>
        <w:t xml:space="preserve"> </w:t>
      </w:r>
      <w:r w:rsidR="003C60EE" w:rsidRPr="00B47352">
        <w:rPr>
          <w:highlight w:val="green"/>
        </w:rPr>
        <w:t>Betreiberk</w:t>
      </w:r>
      <w:r w:rsidR="006C4748" w:rsidRPr="00B47352">
        <w:rPr>
          <w:highlight w:val="green"/>
        </w:rPr>
        <w:t xml:space="preserve">onsortium </w:t>
      </w:r>
      <w:r w:rsidR="003C60EE" w:rsidRPr="00B47352">
        <w:rPr>
          <w:highlight w:val="green"/>
        </w:rPr>
        <w:t>SMDK,</w:t>
      </w:r>
      <w:r w:rsidR="006C4748" w:rsidRPr="00B47352">
        <w:rPr>
          <w:highlight w:val="green"/>
        </w:rPr>
        <w:t xml:space="preserve"> </w:t>
      </w:r>
      <w:r w:rsidR="003C60EE" w:rsidRPr="00B47352">
        <w:rPr>
          <w:highlight w:val="green"/>
          <w:lang w:eastAsia="de-DE"/>
        </w:rPr>
        <w:t>bestehend aus den Kantonen Aargau (41</w:t>
      </w:r>
      <w:r w:rsidR="003C60EE" w:rsidRPr="00B47352">
        <w:rPr>
          <w:sz w:val="18"/>
          <w:highlight w:val="green"/>
          <w:vertAlign w:val="superscript"/>
          <w:lang w:eastAsia="de-DE"/>
        </w:rPr>
        <w:t>2</w:t>
      </w:r>
      <w:r w:rsidR="003C60EE" w:rsidRPr="00B47352">
        <w:rPr>
          <w:highlight w:val="green"/>
          <w:lang w:eastAsia="de-DE"/>
        </w:rPr>
        <w:t>/</w:t>
      </w:r>
      <w:r w:rsidR="003C60EE" w:rsidRPr="00B47352">
        <w:rPr>
          <w:sz w:val="18"/>
          <w:highlight w:val="green"/>
          <w:vertAlign w:val="subscript"/>
          <w:lang w:eastAsia="de-DE"/>
        </w:rPr>
        <w:t>3</w:t>
      </w:r>
      <w:r w:rsidR="003C60EE" w:rsidRPr="00B47352">
        <w:rPr>
          <w:highlight w:val="green"/>
          <w:lang w:eastAsia="de-DE"/>
        </w:rPr>
        <w:t xml:space="preserve"> %) und Zürich (41</w:t>
      </w:r>
      <w:r w:rsidR="003C60EE" w:rsidRPr="00B47352">
        <w:rPr>
          <w:sz w:val="18"/>
          <w:highlight w:val="green"/>
          <w:vertAlign w:val="superscript"/>
          <w:lang w:eastAsia="de-DE"/>
        </w:rPr>
        <w:t>2</w:t>
      </w:r>
      <w:r w:rsidR="003C60EE" w:rsidRPr="00B47352">
        <w:rPr>
          <w:highlight w:val="green"/>
          <w:lang w:eastAsia="de-DE"/>
        </w:rPr>
        <w:t>/</w:t>
      </w:r>
      <w:r w:rsidR="003C60EE" w:rsidRPr="00B47352">
        <w:rPr>
          <w:sz w:val="18"/>
          <w:highlight w:val="green"/>
          <w:vertAlign w:val="subscript"/>
          <w:lang w:eastAsia="de-DE"/>
        </w:rPr>
        <w:t>3</w:t>
      </w:r>
      <w:r w:rsidR="003C60EE" w:rsidRPr="00B47352">
        <w:rPr>
          <w:highlight w:val="green"/>
          <w:lang w:eastAsia="de-DE"/>
        </w:rPr>
        <w:t xml:space="preserve"> %), der Stadt Zürich (8</w:t>
      </w:r>
      <w:r w:rsidR="003C60EE" w:rsidRPr="00B47352">
        <w:rPr>
          <w:sz w:val="18"/>
          <w:highlight w:val="green"/>
          <w:vertAlign w:val="superscript"/>
          <w:lang w:eastAsia="de-DE"/>
        </w:rPr>
        <w:t>1</w:t>
      </w:r>
      <w:r w:rsidR="003C60EE" w:rsidRPr="00B47352">
        <w:rPr>
          <w:highlight w:val="green"/>
          <w:lang w:eastAsia="de-DE"/>
        </w:rPr>
        <w:t>/</w:t>
      </w:r>
      <w:r w:rsidR="003C60EE" w:rsidRPr="00B47352">
        <w:rPr>
          <w:sz w:val="18"/>
          <w:highlight w:val="green"/>
          <w:vertAlign w:val="subscript"/>
          <w:lang w:eastAsia="de-DE"/>
        </w:rPr>
        <w:t>3</w:t>
      </w:r>
      <w:r w:rsidR="003C60EE" w:rsidRPr="00B47352">
        <w:rPr>
          <w:highlight w:val="green"/>
          <w:lang w:eastAsia="de-DE"/>
        </w:rPr>
        <w:t xml:space="preserve"> %) sowie der Basler Chemischen Industrie (8</w:t>
      </w:r>
      <w:r w:rsidR="003C60EE" w:rsidRPr="00B47352">
        <w:rPr>
          <w:sz w:val="18"/>
          <w:highlight w:val="green"/>
          <w:vertAlign w:val="superscript"/>
          <w:lang w:eastAsia="de-DE"/>
        </w:rPr>
        <w:t>1</w:t>
      </w:r>
      <w:r w:rsidR="003C60EE" w:rsidRPr="00B47352">
        <w:rPr>
          <w:highlight w:val="green"/>
          <w:lang w:eastAsia="de-DE"/>
        </w:rPr>
        <w:t>/</w:t>
      </w:r>
      <w:r w:rsidR="003C60EE" w:rsidRPr="00B47352">
        <w:rPr>
          <w:sz w:val="18"/>
          <w:highlight w:val="green"/>
          <w:vertAlign w:val="subscript"/>
          <w:lang w:eastAsia="de-DE"/>
        </w:rPr>
        <w:t>3</w:t>
      </w:r>
      <w:r w:rsidR="003C60EE" w:rsidRPr="00B47352">
        <w:rPr>
          <w:highlight w:val="green"/>
          <w:lang w:eastAsia="de-DE"/>
        </w:rPr>
        <w:t xml:space="preserve"> %), </w:t>
      </w:r>
      <w:r w:rsidR="006C4748" w:rsidRPr="00B47352">
        <w:rPr>
          <w:highlight w:val="green"/>
        </w:rPr>
        <w:t xml:space="preserve">die Sanierungsverfügung </w:t>
      </w:r>
      <w:r w:rsidR="00DB7D87" w:rsidRPr="00B47352">
        <w:rPr>
          <w:highlight w:val="green"/>
        </w:rPr>
        <w:t xml:space="preserve">mit dem Ziel des vollständigen Rückbaus und der altlastenrechtlichen Entsorgung des </w:t>
      </w:r>
      <w:r w:rsidR="005A6A97" w:rsidRPr="00B47352">
        <w:rPr>
          <w:highlight w:val="green"/>
        </w:rPr>
        <w:t>kontaminierten Deponiematerials</w:t>
      </w:r>
      <w:r w:rsidR="003C60EE" w:rsidRPr="00B47352">
        <w:rPr>
          <w:highlight w:val="green"/>
        </w:rPr>
        <w:t>.</w:t>
      </w:r>
      <w:r w:rsidR="003C60EE" w:rsidRPr="00B47352">
        <w:rPr>
          <w:highlight w:val="green"/>
          <w:lang w:eastAsia="de-DE"/>
        </w:rPr>
        <w:t xml:space="preserve"> </w:t>
      </w:r>
      <w:r w:rsidR="002D0231" w:rsidRPr="00B47352">
        <w:rPr>
          <w:highlight w:val="green"/>
          <w:lang w:eastAsia="de-DE"/>
        </w:rPr>
        <w:t>Gestützt auf diese</w:t>
      </w:r>
      <w:r w:rsidR="007C51CD" w:rsidRPr="00B47352">
        <w:rPr>
          <w:highlight w:val="green"/>
          <w:lang w:eastAsia="de-DE"/>
        </w:rPr>
        <w:t xml:space="preserve"> Verfü</w:t>
      </w:r>
      <w:r w:rsidR="00685A59" w:rsidRPr="00B47352">
        <w:rPr>
          <w:highlight w:val="green"/>
          <w:lang w:eastAsia="de-DE"/>
        </w:rPr>
        <w:t>gung reichte</w:t>
      </w:r>
      <w:r w:rsidR="007C51CD" w:rsidRPr="00B47352">
        <w:rPr>
          <w:highlight w:val="green"/>
          <w:lang w:eastAsia="de-DE"/>
        </w:rPr>
        <w:t xml:space="preserve"> die </w:t>
      </w:r>
      <w:proofErr w:type="spellStart"/>
      <w:r w:rsidR="007C51CD" w:rsidRPr="00B47352">
        <w:rPr>
          <w:highlight w:val="green"/>
          <w:lang w:eastAsia="de-DE"/>
        </w:rPr>
        <w:t>AfU</w:t>
      </w:r>
      <w:proofErr w:type="spellEnd"/>
      <w:r w:rsidR="007C51CD" w:rsidRPr="00B47352">
        <w:rPr>
          <w:highlight w:val="green"/>
          <w:lang w:eastAsia="de-DE"/>
        </w:rPr>
        <w:t xml:space="preserve"> des Kantons Aargau mit Schreiben vom 1. Dezember 2005 </w:t>
      </w:r>
      <w:r w:rsidR="002D0231" w:rsidRPr="00B47352">
        <w:rPr>
          <w:highlight w:val="green"/>
          <w:lang w:eastAsia="de-DE"/>
        </w:rPr>
        <w:t xml:space="preserve">dem BAFU ein Gesuch </w:t>
      </w:r>
      <w:r w:rsidR="007C51CD" w:rsidRPr="00B47352">
        <w:rPr>
          <w:highlight w:val="green"/>
          <w:lang w:eastAsia="de-DE"/>
        </w:rPr>
        <w:t>um Zusicherung von VASA-Abgeltungen an die Sanierungskosten</w:t>
      </w:r>
      <w:r w:rsidR="002D0231" w:rsidRPr="00B47352">
        <w:rPr>
          <w:highlight w:val="green"/>
          <w:lang w:eastAsia="de-DE"/>
        </w:rPr>
        <w:t xml:space="preserve"> ein</w:t>
      </w:r>
      <w:r w:rsidR="007C51CD" w:rsidRPr="00B47352">
        <w:rPr>
          <w:highlight w:val="green"/>
          <w:lang w:eastAsia="de-DE"/>
        </w:rPr>
        <w:t>. D</w:t>
      </w:r>
      <w:r w:rsidR="004D7E95" w:rsidRPr="00B47352">
        <w:rPr>
          <w:highlight w:val="green"/>
          <w:lang w:eastAsia="de-DE"/>
        </w:rPr>
        <w:t>as BAFU stimmte dem</w:t>
      </w:r>
      <w:r w:rsidR="007C51CD" w:rsidRPr="00B47352">
        <w:rPr>
          <w:highlight w:val="green"/>
          <w:lang w:eastAsia="de-DE"/>
        </w:rPr>
        <w:t xml:space="preserve"> Gesuch </w:t>
      </w:r>
      <w:r w:rsidR="00573223" w:rsidRPr="00B47352">
        <w:rPr>
          <w:highlight w:val="green"/>
          <w:lang w:eastAsia="de-DE"/>
        </w:rPr>
        <w:t>aufgrund des damals unterbreiteten</w:t>
      </w:r>
      <w:r w:rsidR="002D0231" w:rsidRPr="00B47352">
        <w:rPr>
          <w:highlight w:val="green"/>
          <w:lang w:eastAsia="de-DE"/>
        </w:rPr>
        <w:t xml:space="preserve"> Sanierungskonzepts</w:t>
      </w:r>
      <w:r w:rsidR="004D7E95" w:rsidRPr="00B47352">
        <w:rPr>
          <w:highlight w:val="green"/>
          <w:lang w:eastAsia="de-DE"/>
        </w:rPr>
        <w:t xml:space="preserve"> zu. Mit Verfü</w:t>
      </w:r>
      <w:r w:rsidR="0046025C" w:rsidRPr="00B47352">
        <w:rPr>
          <w:highlight w:val="green"/>
          <w:lang w:eastAsia="de-DE"/>
        </w:rPr>
        <w:t>gung vom 24. August 2006 sicherte</w:t>
      </w:r>
      <w:r w:rsidR="004D7E95" w:rsidRPr="00B47352">
        <w:rPr>
          <w:highlight w:val="green"/>
          <w:lang w:eastAsia="de-DE"/>
        </w:rPr>
        <w:t xml:space="preserve"> das BAFU </w:t>
      </w:r>
      <w:r w:rsidR="004C5A41" w:rsidRPr="00B47352">
        <w:rPr>
          <w:highlight w:val="green"/>
          <w:lang w:eastAsia="de-DE"/>
        </w:rPr>
        <w:t>ausgehend von</w:t>
      </w:r>
      <w:r w:rsidR="00DE7FDB" w:rsidRPr="00B47352">
        <w:rPr>
          <w:highlight w:val="green"/>
          <w:lang w:eastAsia="de-DE"/>
        </w:rPr>
        <w:t xml:space="preserve"> anrechenbaren Kosten im Umfang von</w:t>
      </w:r>
      <w:r w:rsidR="004C5A41" w:rsidRPr="00B47352">
        <w:rPr>
          <w:highlight w:val="green"/>
          <w:lang w:eastAsia="de-DE"/>
        </w:rPr>
        <w:t xml:space="preserve"> 688‘746‘000 Franken </w:t>
      </w:r>
      <w:r w:rsidR="00DE7FDB" w:rsidRPr="00B47352">
        <w:rPr>
          <w:highlight w:val="green"/>
          <w:lang w:eastAsia="de-DE"/>
        </w:rPr>
        <w:t xml:space="preserve">und unter Anwendung des </w:t>
      </w:r>
      <w:r w:rsidR="001D2469" w:rsidRPr="00B47352">
        <w:rPr>
          <w:highlight w:val="green"/>
          <w:lang w:eastAsia="de-DE"/>
        </w:rPr>
        <w:t>auf die Siedlungsabfälle bezogenen</w:t>
      </w:r>
      <w:r w:rsidR="00DE7FDB" w:rsidRPr="00B47352">
        <w:rPr>
          <w:highlight w:val="green"/>
          <w:lang w:eastAsia="de-DE"/>
        </w:rPr>
        <w:t xml:space="preserve"> </w:t>
      </w:r>
      <w:r w:rsidR="004C5A41" w:rsidRPr="00B47352">
        <w:rPr>
          <w:highlight w:val="green"/>
          <w:lang w:eastAsia="de-DE"/>
        </w:rPr>
        <w:t>Abgeltungssatz</w:t>
      </w:r>
      <w:r w:rsidR="00DE7FDB" w:rsidRPr="00B47352">
        <w:rPr>
          <w:highlight w:val="green"/>
          <w:lang w:eastAsia="de-DE"/>
        </w:rPr>
        <w:t>es</w:t>
      </w:r>
      <w:r w:rsidR="004C5A41" w:rsidRPr="00B47352">
        <w:rPr>
          <w:highlight w:val="green"/>
          <w:lang w:eastAsia="de-DE"/>
        </w:rPr>
        <w:t xml:space="preserve"> von 17,64 Prozent </w:t>
      </w:r>
      <w:r w:rsidR="004D7E95" w:rsidRPr="00B47352">
        <w:rPr>
          <w:highlight w:val="green"/>
          <w:lang w:eastAsia="de-DE"/>
        </w:rPr>
        <w:t>einen Betrag von 121</w:t>
      </w:r>
      <w:r w:rsidR="002D0231" w:rsidRPr="00B47352">
        <w:rPr>
          <w:highlight w:val="green"/>
          <w:lang w:eastAsia="de-DE"/>
        </w:rPr>
        <w:t>‘</w:t>
      </w:r>
      <w:r w:rsidR="004D7E95" w:rsidRPr="00B47352">
        <w:rPr>
          <w:highlight w:val="green"/>
          <w:lang w:eastAsia="de-DE"/>
        </w:rPr>
        <w:t>495</w:t>
      </w:r>
      <w:r w:rsidR="002D0231" w:rsidRPr="00B47352">
        <w:rPr>
          <w:highlight w:val="green"/>
          <w:lang w:eastAsia="de-DE"/>
        </w:rPr>
        <w:t>‘000</w:t>
      </w:r>
      <w:r w:rsidR="0046025C" w:rsidRPr="00B47352">
        <w:rPr>
          <w:highlight w:val="green"/>
          <w:lang w:eastAsia="de-DE"/>
        </w:rPr>
        <w:t xml:space="preserve"> Franken zu</w:t>
      </w:r>
      <w:r w:rsidR="008C44BF" w:rsidRPr="00B47352">
        <w:rPr>
          <w:highlight w:val="green"/>
          <w:lang w:eastAsia="de-DE"/>
        </w:rPr>
        <w:t>.</w:t>
      </w:r>
    </w:p>
    <w:p w14:paraId="1AE4D58F" w14:textId="77777777" w:rsidR="00AE5B41" w:rsidRPr="00B47352" w:rsidRDefault="00E66066" w:rsidP="00AE5B41">
      <w:pPr>
        <w:tabs>
          <w:tab w:val="right" w:pos="284"/>
          <w:tab w:val="center" w:pos="8505"/>
        </w:tabs>
        <w:rPr>
          <w:highlight w:val="green"/>
          <w:lang w:eastAsia="de-DE"/>
        </w:rPr>
      </w:pPr>
      <w:r w:rsidRPr="00B47352">
        <w:rPr>
          <w:highlight w:val="green"/>
          <w:lang w:eastAsia="de-DE"/>
        </w:rPr>
        <w:t>Nach vorbereitenden Infrastrukturarbeiten konnte der eigentliche Rückbau und die Entsorgung im November 2007 mit der ersten Rückbauetappe (RE1) gestartet werden.</w:t>
      </w:r>
      <w:r w:rsidR="005A5A3D" w:rsidRPr="00B47352">
        <w:rPr>
          <w:highlight w:val="green"/>
          <w:lang w:eastAsia="de-DE"/>
        </w:rPr>
        <w:t xml:space="preserve"> Sie dauerte -</w:t>
      </w:r>
      <w:r w:rsidR="00E95E77" w:rsidRPr="00B47352">
        <w:rPr>
          <w:highlight w:val="green"/>
          <w:lang w:eastAsia="de-DE"/>
        </w:rPr>
        <w:t xml:space="preserve"> auch bedingt durch Zwischenfälle</w:t>
      </w:r>
      <w:r w:rsidR="00E95E77" w:rsidRPr="00B47352">
        <w:rPr>
          <w:rStyle w:val="Funotenzeichen"/>
          <w:highlight w:val="green"/>
          <w:lang w:eastAsia="de-DE"/>
        </w:rPr>
        <w:footnoteReference w:id="2"/>
      </w:r>
      <w:r w:rsidR="00E95E77" w:rsidRPr="00B47352">
        <w:rPr>
          <w:highlight w:val="green"/>
          <w:lang w:eastAsia="de-DE"/>
        </w:rPr>
        <w:t xml:space="preserve"> - bis Oktober 2009. Insgesamt wurden rund 158‘000 Tonnen Material abgebaut und entsorgt.</w:t>
      </w:r>
    </w:p>
    <w:p w14:paraId="57E19229" w14:textId="77777777" w:rsidR="00AE5B41" w:rsidRPr="00B47352" w:rsidRDefault="00AE5B41" w:rsidP="00AE5B41">
      <w:pPr>
        <w:tabs>
          <w:tab w:val="right" w:pos="284"/>
          <w:tab w:val="center" w:pos="8505"/>
        </w:tabs>
        <w:rPr>
          <w:highlight w:val="green"/>
          <w:lang w:eastAsia="de-DE"/>
        </w:rPr>
      </w:pPr>
      <w:r w:rsidRPr="00B47352">
        <w:rPr>
          <w:highlight w:val="green"/>
          <w:lang w:eastAsia="de-DE"/>
        </w:rPr>
        <w:lastRenderedPageBreak/>
        <w:t>Gestützt auf den Auszahlungsmodus der Zusicherungsverfügung leistete das BAFU für die Massnahmen der Jahre 1985 bis 2008 Abgeltungen von insgesamt rund 56,7 Millionen Fran</w:t>
      </w:r>
      <w:r w:rsidR="009D26AC" w:rsidRPr="00B47352">
        <w:rPr>
          <w:highlight w:val="green"/>
          <w:lang w:eastAsia="de-DE"/>
        </w:rPr>
        <w:t>ken. Da</w:t>
      </w:r>
      <w:r w:rsidRPr="00B47352">
        <w:rPr>
          <w:highlight w:val="green"/>
          <w:lang w:eastAsia="de-DE"/>
        </w:rPr>
        <w:t xml:space="preserve"> die Anrechenbarkeit der Entsorgungskosten noch zu überprüfen war, wurden die Leistungen des Jahres 2008 nur mit Vorbehalt ausbezahlt.</w:t>
      </w:r>
    </w:p>
    <w:p w14:paraId="03B1061D" w14:textId="77777777" w:rsidR="00FE68CB" w:rsidRPr="00B47352" w:rsidRDefault="00487E75" w:rsidP="00FE68CB">
      <w:pPr>
        <w:tabs>
          <w:tab w:val="right" w:pos="284"/>
          <w:tab w:val="center" w:pos="8505"/>
        </w:tabs>
        <w:rPr>
          <w:highlight w:val="green"/>
        </w:rPr>
      </w:pPr>
      <w:r w:rsidRPr="00B47352">
        <w:rPr>
          <w:highlight w:val="green"/>
          <w:lang w:eastAsia="de-DE"/>
        </w:rPr>
        <w:t>Während der ersten Abbauetappe musste erkannt werden, dass eine Anpassung der Kostenplanung unumgänglich wird. Bei der ursprünglich</w:t>
      </w:r>
      <w:r w:rsidR="00D920A0" w:rsidRPr="00B47352">
        <w:rPr>
          <w:highlight w:val="green"/>
          <w:lang w:eastAsia="de-DE"/>
        </w:rPr>
        <w:t>en Kostenschätzung sind</w:t>
      </w:r>
      <w:r w:rsidRPr="00B47352">
        <w:rPr>
          <w:highlight w:val="green"/>
          <w:lang w:eastAsia="de-DE"/>
        </w:rPr>
        <w:t xml:space="preserve"> </w:t>
      </w:r>
      <w:r w:rsidR="00D920A0" w:rsidRPr="00B47352">
        <w:rPr>
          <w:highlight w:val="green"/>
          <w:lang w:eastAsia="de-DE"/>
        </w:rPr>
        <w:t>wesentliche</w:t>
      </w:r>
      <w:r w:rsidRPr="00B47352">
        <w:rPr>
          <w:highlight w:val="green"/>
          <w:lang w:eastAsia="de-DE"/>
        </w:rPr>
        <w:t xml:space="preserve"> im Deponiekörper abgelagerte </w:t>
      </w:r>
      <w:r w:rsidR="00B45615" w:rsidRPr="00B47352">
        <w:rPr>
          <w:highlight w:val="green"/>
          <w:lang w:eastAsia="de-DE"/>
        </w:rPr>
        <w:t>Abfallmengen</w:t>
      </w:r>
      <w:r w:rsidRPr="00B47352">
        <w:rPr>
          <w:highlight w:val="green"/>
          <w:lang w:eastAsia="de-DE"/>
        </w:rPr>
        <w:t xml:space="preserve"> nicht berücksichtigt worden. Es handelt sich um </w:t>
      </w:r>
      <w:r w:rsidR="006D08DF" w:rsidRPr="00B47352">
        <w:rPr>
          <w:highlight w:val="green"/>
          <w:lang w:eastAsia="de-DE"/>
        </w:rPr>
        <w:t xml:space="preserve">rund </w:t>
      </w:r>
      <w:r w:rsidRPr="00B47352">
        <w:rPr>
          <w:highlight w:val="green"/>
          <w:lang w:eastAsia="de-DE"/>
        </w:rPr>
        <w:t>82‘</w:t>
      </w:r>
      <w:r w:rsidR="006D08DF" w:rsidRPr="00B47352">
        <w:rPr>
          <w:highlight w:val="green"/>
          <w:lang w:eastAsia="de-DE"/>
        </w:rPr>
        <w:t>000 Tonnen KVA-Schlacke</w:t>
      </w:r>
      <w:r w:rsidR="002E5D4D" w:rsidRPr="00B47352">
        <w:rPr>
          <w:highlight w:val="green"/>
          <w:lang w:eastAsia="de-DE"/>
        </w:rPr>
        <w:t xml:space="preserve"> und anderen Siedlungsabfall</w:t>
      </w:r>
      <w:r w:rsidR="00FE68CB" w:rsidRPr="00B47352">
        <w:rPr>
          <w:highlight w:val="green"/>
        </w:rPr>
        <w:t>. Die entsprechenden Ablagerungsbelege kamen erst später zum Vorschein. Zudem wird die Sanierung wegen strengeren Sicherheitsvorkehrungen länger dauern. Auch der Abbauunterbruch von rund 6 Monaten wegen des Brandes führt zu höheren Kosten.</w:t>
      </w:r>
    </w:p>
    <w:p w14:paraId="39444A7F" w14:textId="77777777" w:rsidR="00EB581A" w:rsidRPr="00B47352" w:rsidRDefault="004A51F7" w:rsidP="004A51F7">
      <w:pPr>
        <w:tabs>
          <w:tab w:val="right" w:pos="284"/>
          <w:tab w:val="center" w:pos="8505"/>
        </w:tabs>
        <w:rPr>
          <w:highlight w:val="green"/>
          <w:lang w:eastAsia="de-DE"/>
        </w:rPr>
      </w:pPr>
      <w:r w:rsidRPr="00B47352">
        <w:rPr>
          <w:highlight w:val="green"/>
        </w:rPr>
        <w:t>Mit Blick auf die zweite Rückbauetappe (RE2) und aufgrund der bisherigen Erfahrungen ist d</w:t>
      </w:r>
      <w:r w:rsidR="00E27180" w:rsidRPr="00B47352">
        <w:rPr>
          <w:highlight w:val="green"/>
          <w:lang w:eastAsia="de-DE"/>
        </w:rPr>
        <w:t xml:space="preserve">as </w:t>
      </w:r>
      <w:r w:rsidRPr="00B47352">
        <w:rPr>
          <w:highlight w:val="green"/>
          <w:lang w:eastAsia="de-DE"/>
        </w:rPr>
        <w:t>Sanierungsprojekt</w:t>
      </w:r>
      <w:r w:rsidR="00E27180" w:rsidRPr="00B47352">
        <w:rPr>
          <w:highlight w:val="green"/>
          <w:lang w:eastAsia="de-DE"/>
        </w:rPr>
        <w:t xml:space="preserve"> durch die Sanierungsverantwortlichen und deren Auftragnehmer konzeptio</w:t>
      </w:r>
      <w:r w:rsidR="009C5AD2" w:rsidRPr="00B47352">
        <w:rPr>
          <w:highlight w:val="green"/>
          <w:lang w:eastAsia="de-DE"/>
        </w:rPr>
        <w:t>nell</w:t>
      </w:r>
      <w:r w:rsidR="00E27180" w:rsidRPr="00B47352">
        <w:rPr>
          <w:highlight w:val="green"/>
          <w:lang w:eastAsia="de-DE"/>
        </w:rPr>
        <w:t xml:space="preserve"> angepasst worden.</w:t>
      </w:r>
      <w:r w:rsidR="005462EC" w:rsidRPr="00B47352">
        <w:rPr>
          <w:highlight w:val="green"/>
          <w:lang w:eastAsia="de-DE"/>
        </w:rPr>
        <w:t xml:space="preserve"> Insbesondere beabsichtigt der Entsorger einen wesentlichen Anteil des Rückbaumaterials einer zusätzliche</w:t>
      </w:r>
      <w:r w:rsidR="0004713F" w:rsidRPr="00B47352">
        <w:rPr>
          <w:highlight w:val="green"/>
          <w:lang w:eastAsia="de-DE"/>
        </w:rPr>
        <w:t>n Vorbehandlung zu unterziehen.</w:t>
      </w:r>
    </w:p>
    <w:p w14:paraId="0BEABA50" w14:textId="77777777" w:rsidR="00EB581A" w:rsidRPr="00B47352" w:rsidRDefault="00EB581A" w:rsidP="004A51F7">
      <w:pPr>
        <w:tabs>
          <w:tab w:val="right" w:pos="284"/>
          <w:tab w:val="center" w:pos="8505"/>
        </w:tabs>
        <w:rPr>
          <w:highlight w:val="green"/>
          <w:lang w:eastAsia="de-DE"/>
        </w:rPr>
      </w:pPr>
      <w:r w:rsidRPr="00B47352">
        <w:rPr>
          <w:highlight w:val="green"/>
          <w:lang w:eastAsia="de-DE"/>
        </w:rPr>
        <w:t>Nach Artikel 27 des</w:t>
      </w:r>
      <w:r w:rsidR="00E27180" w:rsidRPr="00B47352">
        <w:rPr>
          <w:highlight w:val="green"/>
          <w:lang w:eastAsia="de-DE"/>
        </w:rPr>
        <w:t xml:space="preserve"> Subventionsgesetz</w:t>
      </w:r>
      <w:r w:rsidRPr="00B47352">
        <w:rPr>
          <w:highlight w:val="green"/>
          <w:lang w:eastAsia="de-DE"/>
        </w:rPr>
        <w:t>es</w:t>
      </w:r>
      <w:r w:rsidR="00E27180" w:rsidRPr="00B47352">
        <w:rPr>
          <w:highlight w:val="green"/>
          <w:lang w:eastAsia="de-DE"/>
        </w:rPr>
        <w:t xml:space="preserve"> </w:t>
      </w:r>
      <w:r w:rsidR="00D66977" w:rsidRPr="00B47352">
        <w:rPr>
          <w:highlight w:val="green"/>
          <w:lang w:eastAsia="de-DE"/>
        </w:rPr>
        <w:t>darf der Subventionsempfänger</w:t>
      </w:r>
      <w:r w:rsidR="000B460D" w:rsidRPr="00B47352">
        <w:rPr>
          <w:highlight w:val="green"/>
          <w:lang w:eastAsia="de-DE"/>
        </w:rPr>
        <w:t xml:space="preserve"> wesentliche</w:t>
      </w:r>
      <w:r w:rsidR="00D70409" w:rsidRPr="00B47352">
        <w:rPr>
          <w:highlight w:val="green"/>
          <w:lang w:eastAsia="de-DE"/>
        </w:rPr>
        <w:t xml:space="preserve"> </w:t>
      </w:r>
      <w:r w:rsidR="002C3632" w:rsidRPr="00B47352">
        <w:rPr>
          <w:highlight w:val="green"/>
          <w:lang w:eastAsia="de-DE"/>
        </w:rPr>
        <w:t>oder</w:t>
      </w:r>
      <w:r w:rsidRPr="00B47352">
        <w:rPr>
          <w:highlight w:val="green"/>
          <w:lang w:eastAsia="de-DE"/>
        </w:rPr>
        <w:t xml:space="preserve"> zu Mehrkosten führende Projektänderungen nur mit Genehmigung der zuständigen Bundesbehörde vornehmen. </w:t>
      </w:r>
      <w:r w:rsidR="00DC6F69" w:rsidRPr="00B47352">
        <w:rPr>
          <w:highlight w:val="green"/>
          <w:lang w:eastAsia="de-DE"/>
        </w:rPr>
        <w:t xml:space="preserve">Demzufolge reichte am 29. April 2011 die </w:t>
      </w:r>
      <w:proofErr w:type="spellStart"/>
      <w:r w:rsidR="00DC6F69" w:rsidRPr="00B47352">
        <w:rPr>
          <w:highlight w:val="green"/>
          <w:lang w:eastAsia="de-DE"/>
        </w:rPr>
        <w:t>AfU</w:t>
      </w:r>
      <w:proofErr w:type="spellEnd"/>
      <w:r w:rsidR="00DC6F69" w:rsidRPr="00B47352">
        <w:rPr>
          <w:highlight w:val="green"/>
          <w:lang w:eastAsia="de-DE"/>
        </w:rPr>
        <w:t xml:space="preserve"> des Kantons Aargau beim BAFU ein Nachtragsgesuch zur Zusicherung vom 16. August 2006 für die Sanierung der SMDK ein. </w:t>
      </w:r>
    </w:p>
    <w:p w14:paraId="46FA502D" w14:textId="77777777" w:rsidR="0004713F" w:rsidRPr="00B47352" w:rsidRDefault="009874A8" w:rsidP="004A51F7">
      <w:pPr>
        <w:tabs>
          <w:tab w:val="right" w:pos="284"/>
          <w:tab w:val="center" w:pos="8505"/>
        </w:tabs>
        <w:rPr>
          <w:highlight w:val="green"/>
          <w:lang w:eastAsia="de-DE"/>
        </w:rPr>
      </w:pPr>
      <w:r w:rsidRPr="00B47352">
        <w:rPr>
          <w:highlight w:val="green"/>
          <w:lang w:eastAsia="de-DE"/>
        </w:rPr>
        <w:t>Nach eingehenden Gesprächen</w:t>
      </w:r>
      <w:r w:rsidR="00DC6F69" w:rsidRPr="00B47352">
        <w:rPr>
          <w:highlight w:val="green"/>
          <w:lang w:eastAsia="de-DE"/>
        </w:rPr>
        <w:t xml:space="preserve"> mit dem Gesuchsteller </w:t>
      </w:r>
      <w:r w:rsidR="00B62F2D" w:rsidRPr="00B47352">
        <w:rPr>
          <w:highlight w:val="green"/>
          <w:lang w:eastAsia="de-DE"/>
        </w:rPr>
        <w:t xml:space="preserve">konnte </w:t>
      </w:r>
      <w:r w:rsidR="001B4B54" w:rsidRPr="00B47352">
        <w:rPr>
          <w:highlight w:val="green"/>
          <w:lang w:eastAsia="de-DE"/>
        </w:rPr>
        <w:t xml:space="preserve">inzwischen </w:t>
      </w:r>
      <w:r w:rsidR="00B62F2D" w:rsidRPr="00B47352">
        <w:rPr>
          <w:highlight w:val="green"/>
          <w:lang w:eastAsia="de-DE"/>
        </w:rPr>
        <w:t>eine</w:t>
      </w:r>
      <w:r w:rsidR="00DC6F69" w:rsidRPr="00B47352">
        <w:rPr>
          <w:highlight w:val="green"/>
          <w:lang w:eastAsia="de-DE"/>
        </w:rPr>
        <w:t xml:space="preserve"> einvernehmliche Regelung</w:t>
      </w:r>
      <w:r w:rsidR="001E590C" w:rsidRPr="00B47352">
        <w:rPr>
          <w:highlight w:val="green"/>
          <w:lang w:eastAsia="de-DE"/>
        </w:rPr>
        <w:t xml:space="preserve"> für eine neue</w:t>
      </w:r>
      <w:r w:rsidR="00DC6F69" w:rsidRPr="00B47352">
        <w:rPr>
          <w:highlight w:val="green"/>
          <w:lang w:eastAsia="de-DE"/>
        </w:rPr>
        <w:t xml:space="preserve"> </w:t>
      </w:r>
      <w:r w:rsidR="00E27180" w:rsidRPr="00B47352">
        <w:rPr>
          <w:highlight w:val="green"/>
          <w:lang w:eastAsia="de-DE"/>
        </w:rPr>
        <w:t>Zusicherung</w:t>
      </w:r>
      <w:r w:rsidR="001E590C" w:rsidRPr="00B47352">
        <w:rPr>
          <w:highlight w:val="green"/>
          <w:lang w:eastAsia="de-DE"/>
        </w:rPr>
        <w:t xml:space="preserve"> gefunden werden. </w:t>
      </w:r>
      <w:r w:rsidR="00BD5608" w:rsidRPr="00B47352">
        <w:rPr>
          <w:highlight w:val="green"/>
          <w:lang w:eastAsia="de-DE"/>
        </w:rPr>
        <w:t>Die</w:t>
      </w:r>
      <w:r w:rsidRPr="00B47352">
        <w:rPr>
          <w:highlight w:val="green"/>
          <w:lang w:eastAsia="de-DE"/>
        </w:rPr>
        <w:t xml:space="preserve"> inzwischen</w:t>
      </w:r>
      <w:r w:rsidR="00343CFF" w:rsidRPr="00B47352">
        <w:rPr>
          <w:highlight w:val="green"/>
          <w:lang w:eastAsia="de-DE"/>
        </w:rPr>
        <w:t xml:space="preserve"> rechtsgültig unterzeich</w:t>
      </w:r>
      <w:r w:rsidR="00AE07BC" w:rsidRPr="00B47352">
        <w:rPr>
          <w:highlight w:val="green"/>
          <w:lang w:eastAsia="de-DE"/>
        </w:rPr>
        <w:t xml:space="preserve">nete Abgeltungszusicherung </w:t>
      </w:r>
      <w:r w:rsidRPr="00B47352">
        <w:rPr>
          <w:highlight w:val="green"/>
          <w:lang w:eastAsia="de-DE"/>
        </w:rPr>
        <w:t xml:space="preserve">vom 26. April 2013 </w:t>
      </w:r>
      <w:r w:rsidR="00AE07BC" w:rsidRPr="00B47352">
        <w:rPr>
          <w:highlight w:val="green"/>
          <w:lang w:eastAsia="de-DE"/>
        </w:rPr>
        <w:t xml:space="preserve">wird </w:t>
      </w:r>
      <w:r w:rsidR="00E03D44" w:rsidRPr="00B47352">
        <w:rPr>
          <w:highlight w:val="green"/>
          <w:lang w:eastAsia="de-DE"/>
        </w:rPr>
        <w:t>diejenige</w:t>
      </w:r>
      <w:r w:rsidR="00343CFF" w:rsidRPr="00B47352">
        <w:rPr>
          <w:highlight w:val="green"/>
          <w:lang w:eastAsia="de-DE"/>
        </w:rPr>
        <w:t xml:space="preserve"> des BAFU vom 24. </w:t>
      </w:r>
      <w:r w:rsidR="00BD5608" w:rsidRPr="00B47352">
        <w:rPr>
          <w:highlight w:val="green"/>
          <w:lang w:eastAsia="de-DE"/>
        </w:rPr>
        <w:t>August 2006 komplett ersetzen.</w:t>
      </w:r>
      <w:r w:rsidR="0042541D" w:rsidRPr="00B47352">
        <w:rPr>
          <w:highlight w:val="green"/>
          <w:lang w:eastAsia="de-DE"/>
        </w:rPr>
        <w:t xml:space="preserve"> Gleichzeitig wird die in</w:t>
      </w:r>
      <w:r w:rsidR="00E9426B" w:rsidRPr="00B47352">
        <w:rPr>
          <w:highlight w:val="green"/>
          <w:lang w:eastAsia="de-DE"/>
        </w:rPr>
        <w:t xml:space="preserve"> </w:t>
      </w:r>
      <w:r w:rsidR="00BD5608" w:rsidRPr="00B47352">
        <w:rPr>
          <w:highlight w:val="green"/>
          <w:lang w:eastAsia="de-DE"/>
        </w:rPr>
        <w:t>diese</w:t>
      </w:r>
      <w:r w:rsidR="00322D5D" w:rsidRPr="00B47352">
        <w:rPr>
          <w:highlight w:val="green"/>
          <w:lang w:eastAsia="de-DE"/>
        </w:rPr>
        <w:t xml:space="preserve"> </w:t>
      </w:r>
      <w:r w:rsidR="00BD5608" w:rsidRPr="00B47352">
        <w:rPr>
          <w:highlight w:val="green"/>
          <w:lang w:eastAsia="de-DE"/>
        </w:rPr>
        <w:t xml:space="preserve">Abgeltungszusicherung </w:t>
      </w:r>
      <w:r w:rsidR="00E9426B" w:rsidRPr="00B47352">
        <w:rPr>
          <w:highlight w:val="green"/>
          <w:lang w:eastAsia="de-DE"/>
        </w:rPr>
        <w:t>integrier</w:t>
      </w:r>
      <w:r w:rsidR="00BD5608" w:rsidRPr="00B47352">
        <w:rPr>
          <w:highlight w:val="green"/>
          <w:lang w:eastAsia="de-DE"/>
        </w:rPr>
        <w:t>te</w:t>
      </w:r>
      <w:r w:rsidR="00343CFF" w:rsidRPr="00B47352">
        <w:rPr>
          <w:highlight w:val="green"/>
          <w:lang w:eastAsia="de-DE"/>
        </w:rPr>
        <w:t xml:space="preserve"> Auszahlungsverfü</w:t>
      </w:r>
      <w:r w:rsidR="00BD5608" w:rsidRPr="00B47352">
        <w:rPr>
          <w:highlight w:val="green"/>
          <w:lang w:eastAsia="de-DE"/>
        </w:rPr>
        <w:t>gung</w:t>
      </w:r>
      <w:r w:rsidR="00E9426B" w:rsidRPr="00B47352">
        <w:rPr>
          <w:highlight w:val="green"/>
          <w:lang w:eastAsia="de-DE"/>
        </w:rPr>
        <w:t xml:space="preserve"> die</w:t>
      </w:r>
      <w:r w:rsidR="00343CFF" w:rsidRPr="00B47352">
        <w:rPr>
          <w:highlight w:val="green"/>
          <w:lang w:eastAsia="de-DE"/>
        </w:rPr>
        <w:t xml:space="preserve"> </w:t>
      </w:r>
      <w:r w:rsidR="00BD5608" w:rsidRPr="00B47352">
        <w:rPr>
          <w:highlight w:val="green"/>
          <w:lang w:eastAsia="de-DE"/>
        </w:rPr>
        <w:t xml:space="preserve">früheren </w:t>
      </w:r>
      <w:r w:rsidR="00343CFF" w:rsidRPr="00B47352">
        <w:rPr>
          <w:highlight w:val="green"/>
          <w:lang w:eastAsia="de-DE"/>
        </w:rPr>
        <w:t>Auszahlungsv</w:t>
      </w:r>
      <w:r w:rsidR="002863A1" w:rsidRPr="00B47352">
        <w:rPr>
          <w:highlight w:val="green"/>
          <w:lang w:eastAsia="de-DE"/>
        </w:rPr>
        <w:t>erfügungen des BAFU vom 4. </w:t>
      </w:r>
      <w:r w:rsidR="00343CFF" w:rsidRPr="00B47352">
        <w:rPr>
          <w:highlight w:val="green"/>
          <w:lang w:eastAsia="de-DE"/>
        </w:rPr>
        <w:t>Dezember 2006, 21. September 2007, 1. Dezember 20</w:t>
      </w:r>
      <w:r w:rsidR="00BD5608" w:rsidRPr="00B47352">
        <w:rPr>
          <w:highlight w:val="green"/>
          <w:lang w:eastAsia="de-DE"/>
        </w:rPr>
        <w:t>08 und 7. Dezember 2009 ergänzen</w:t>
      </w:r>
      <w:r w:rsidR="00343CFF" w:rsidRPr="00B47352">
        <w:rPr>
          <w:highlight w:val="green"/>
          <w:lang w:eastAsia="de-DE"/>
        </w:rPr>
        <w:t>.</w:t>
      </w:r>
    </w:p>
    <w:p w14:paraId="0BE2A245" w14:textId="77777777" w:rsidR="00C76670" w:rsidRPr="00B47352" w:rsidRDefault="00DD3760" w:rsidP="00342936">
      <w:pPr>
        <w:pStyle w:val="berschrift3"/>
        <w:spacing w:before="480"/>
        <w:rPr>
          <w:highlight w:val="green"/>
        </w:rPr>
      </w:pPr>
      <w:bookmarkStart w:id="246" w:name="_Toc356294705"/>
      <w:r w:rsidRPr="00B47352">
        <w:rPr>
          <w:highlight w:val="green"/>
        </w:rPr>
        <w:t xml:space="preserve">Nachvollziehbarkeit der neuen </w:t>
      </w:r>
      <w:r w:rsidR="0076620A" w:rsidRPr="00B47352">
        <w:rPr>
          <w:highlight w:val="green"/>
        </w:rPr>
        <w:t>Abgeltungsz</w:t>
      </w:r>
      <w:r w:rsidRPr="00B47352">
        <w:rPr>
          <w:highlight w:val="green"/>
        </w:rPr>
        <w:t>usic</w:t>
      </w:r>
      <w:r w:rsidR="00EB57EE" w:rsidRPr="00B47352">
        <w:rPr>
          <w:highlight w:val="green"/>
        </w:rPr>
        <w:t>herung</w:t>
      </w:r>
      <w:r w:rsidR="002A52DC" w:rsidRPr="00B47352">
        <w:rPr>
          <w:highlight w:val="green"/>
        </w:rPr>
        <w:t xml:space="preserve"> an die</w:t>
      </w:r>
      <w:r w:rsidR="00EB57EE" w:rsidRPr="00B47352">
        <w:rPr>
          <w:highlight w:val="green"/>
        </w:rPr>
        <w:t xml:space="preserve"> Sanie</w:t>
      </w:r>
      <w:r w:rsidR="0076620A" w:rsidRPr="00B47352">
        <w:rPr>
          <w:highlight w:val="green"/>
        </w:rPr>
        <w:t xml:space="preserve">rung </w:t>
      </w:r>
      <w:r w:rsidR="00EB57EE" w:rsidRPr="00B47352">
        <w:rPr>
          <w:highlight w:val="green"/>
        </w:rPr>
        <w:t>der S</w:t>
      </w:r>
      <w:r w:rsidR="0041234A" w:rsidRPr="00B47352">
        <w:rPr>
          <w:highlight w:val="green"/>
        </w:rPr>
        <w:t>ondermülldeponie Kölliken</w:t>
      </w:r>
      <w:bookmarkEnd w:id="246"/>
    </w:p>
    <w:p w14:paraId="1077F554" w14:textId="77777777" w:rsidR="00C76670" w:rsidRPr="00B47352" w:rsidRDefault="00343CFF" w:rsidP="005A3667">
      <w:pPr>
        <w:spacing w:before="120" w:after="120"/>
        <w:rPr>
          <w:highlight w:val="green"/>
          <w:lang w:eastAsia="de-DE"/>
        </w:rPr>
      </w:pPr>
      <w:r w:rsidRPr="00B47352">
        <w:rPr>
          <w:highlight w:val="green"/>
          <w:lang w:eastAsia="de-DE"/>
        </w:rPr>
        <w:t>Die</w:t>
      </w:r>
      <w:r w:rsidR="00F27C51" w:rsidRPr="00B47352">
        <w:rPr>
          <w:highlight w:val="green"/>
          <w:lang w:eastAsia="de-DE"/>
        </w:rPr>
        <w:t xml:space="preserve"> Prüfhandlungen haben sich auf den Zusicherungsentwurf</w:t>
      </w:r>
      <w:r w:rsidR="006D4783" w:rsidRPr="00B47352">
        <w:rPr>
          <w:highlight w:val="green"/>
          <w:lang w:eastAsia="de-DE"/>
        </w:rPr>
        <w:t>, insbesondere auf die finanzrelevanten Positionen</w:t>
      </w:r>
      <w:r w:rsidR="00F27C51" w:rsidRPr="00B47352">
        <w:rPr>
          <w:highlight w:val="green"/>
          <w:lang w:eastAsia="de-DE"/>
        </w:rPr>
        <w:t xml:space="preserve"> fokussiert. </w:t>
      </w:r>
      <w:r w:rsidR="00F40097" w:rsidRPr="00B47352">
        <w:rPr>
          <w:highlight w:val="green"/>
          <w:lang w:eastAsia="de-DE"/>
        </w:rPr>
        <w:t>Im Fo</w:t>
      </w:r>
      <w:r w:rsidR="00454ED0" w:rsidRPr="00B47352">
        <w:rPr>
          <w:highlight w:val="green"/>
          <w:lang w:eastAsia="de-DE"/>
        </w:rPr>
        <w:t xml:space="preserve">lgenden </w:t>
      </w:r>
      <w:r w:rsidR="0064362D" w:rsidRPr="00B47352">
        <w:rPr>
          <w:highlight w:val="green"/>
          <w:lang w:eastAsia="de-DE"/>
        </w:rPr>
        <w:t>finden sich</w:t>
      </w:r>
      <w:r w:rsidR="00454ED0" w:rsidRPr="00B47352">
        <w:rPr>
          <w:highlight w:val="green"/>
          <w:lang w:eastAsia="de-DE"/>
        </w:rPr>
        <w:t xml:space="preserve"> Anmerkungen </w:t>
      </w:r>
      <w:r w:rsidR="0064362D" w:rsidRPr="00B47352">
        <w:rPr>
          <w:highlight w:val="green"/>
          <w:lang w:eastAsia="de-DE"/>
        </w:rPr>
        <w:t>zur</w:t>
      </w:r>
      <w:r w:rsidR="000B16B1" w:rsidRPr="00B47352">
        <w:rPr>
          <w:highlight w:val="green"/>
          <w:lang w:eastAsia="de-DE"/>
        </w:rPr>
        <w:t xml:space="preserve"> Plausibilitätsprüfung:</w:t>
      </w:r>
    </w:p>
    <w:p w14:paraId="650B5D32" w14:textId="77777777" w:rsidR="005E555F" w:rsidRPr="00B47352" w:rsidRDefault="00EA114D" w:rsidP="005A3667">
      <w:pPr>
        <w:pStyle w:val="Formatvorlage2"/>
        <w:spacing w:before="360"/>
        <w:ind w:left="862" w:hanging="862"/>
        <w:rPr>
          <w:highlight w:val="green"/>
        </w:rPr>
      </w:pPr>
      <w:bookmarkStart w:id="247" w:name="_Toc356294706"/>
      <w:r w:rsidRPr="00B47352">
        <w:rPr>
          <w:highlight w:val="green"/>
        </w:rPr>
        <w:t>Höherer Abgeltungssatzes wegen Mehrmengen bei den Siedlungsabfällen</w:t>
      </w:r>
      <w:bookmarkEnd w:id="247"/>
    </w:p>
    <w:p w14:paraId="00034486" w14:textId="77777777" w:rsidR="00EA114D" w:rsidRPr="00B47352" w:rsidRDefault="002E5D4D" w:rsidP="005A3667">
      <w:pPr>
        <w:pStyle w:val="Formatvorlage4"/>
        <w:spacing w:before="120" w:after="120"/>
        <w:rPr>
          <w:b w:val="0"/>
          <w:highlight w:val="green"/>
          <w:lang w:eastAsia="de-DE"/>
        </w:rPr>
      </w:pPr>
      <w:r w:rsidRPr="00B47352">
        <w:rPr>
          <w:b w:val="0"/>
          <w:highlight w:val="green"/>
          <w:lang w:eastAsia="de-DE"/>
        </w:rPr>
        <w:t xml:space="preserve">Im Jahr 2007 haben die Sanierungsverantwortlichen </w:t>
      </w:r>
      <w:r w:rsidR="00EB6603" w:rsidRPr="00B47352">
        <w:rPr>
          <w:b w:val="0"/>
          <w:highlight w:val="green"/>
          <w:lang w:eastAsia="de-DE"/>
        </w:rPr>
        <w:t>Lieferscheine gefunden</w:t>
      </w:r>
      <w:r w:rsidRPr="00B47352">
        <w:rPr>
          <w:b w:val="0"/>
          <w:highlight w:val="green"/>
          <w:lang w:eastAsia="de-DE"/>
        </w:rPr>
        <w:t>, die bei der Erstellung der Einlagerungs</w:t>
      </w:r>
      <w:r w:rsidR="00EB6603" w:rsidRPr="00B47352">
        <w:rPr>
          <w:b w:val="0"/>
          <w:highlight w:val="green"/>
          <w:lang w:eastAsia="de-DE"/>
        </w:rPr>
        <w:t xml:space="preserve">datenbank nicht erfasst wurden und demzufolge in der ursprünglichen Kostenplanung unberücksichtigt blieben. </w:t>
      </w:r>
      <w:r w:rsidR="00F278A7" w:rsidRPr="00B47352">
        <w:rPr>
          <w:b w:val="0"/>
          <w:highlight w:val="green"/>
          <w:lang w:eastAsia="de-DE"/>
        </w:rPr>
        <w:t xml:space="preserve">Mit dem Nachtragsgesuch beantragte die </w:t>
      </w:r>
      <w:proofErr w:type="spellStart"/>
      <w:r w:rsidR="00F278A7" w:rsidRPr="00B47352">
        <w:rPr>
          <w:b w:val="0"/>
          <w:highlight w:val="green"/>
          <w:lang w:eastAsia="de-DE"/>
        </w:rPr>
        <w:t>AfU</w:t>
      </w:r>
      <w:proofErr w:type="spellEnd"/>
      <w:r w:rsidR="00F278A7" w:rsidRPr="00B47352">
        <w:rPr>
          <w:b w:val="0"/>
          <w:highlight w:val="green"/>
          <w:lang w:eastAsia="de-DE"/>
        </w:rPr>
        <w:t xml:space="preserve"> des Kantons Aargau aufgrund der Mehrmengen (93‘554 m</w:t>
      </w:r>
      <w:r w:rsidR="00F278A7" w:rsidRPr="00B47352">
        <w:rPr>
          <w:b w:val="0"/>
          <w:highlight w:val="green"/>
          <w:vertAlign w:val="superscript"/>
          <w:lang w:eastAsia="de-DE"/>
        </w:rPr>
        <w:t>3</w:t>
      </w:r>
      <w:r w:rsidR="003159F4" w:rsidRPr="00B47352">
        <w:rPr>
          <w:b w:val="0"/>
          <w:highlight w:val="green"/>
          <w:lang w:eastAsia="de-DE"/>
        </w:rPr>
        <w:t xml:space="preserve"> bzw. rund 82‘</w:t>
      </w:r>
      <w:r w:rsidR="00EA4FA1" w:rsidRPr="00B47352">
        <w:rPr>
          <w:b w:val="0"/>
          <w:highlight w:val="green"/>
          <w:lang w:eastAsia="de-DE"/>
        </w:rPr>
        <w:t>5</w:t>
      </w:r>
      <w:r w:rsidR="003159F4" w:rsidRPr="00B47352">
        <w:rPr>
          <w:b w:val="0"/>
          <w:highlight w:val="green"/>
          <w:lang w:eastAsia="de-DE"/>
        </w:rPr>
        <w:t xml:space="preserve">00 t) </w:t>
      </w:r>
      <w:r w:rsidR="00F278A7" w:rsidRPr="00B47352">
        <w:rPr>
          <w:b w:val="0"/>
          <w:highlight w:val="green"/>
          <w:lang w:eastAsia="de-DE"/>
        </w:rPr>
        <w:t>an Siedlungsabfällen eine rückwirkende Erhöhung des Abgeltungssatzes von bisher 17,64% auf 24,31%</w:t>
      </w:r>
      <w:r w:rsidR="008622A3" w:rsidRPr="00B47352">
        <w:rPr>
          <w:b w:val="0"/>
          <w:highlight w:val="green"/>
          <w:lang w:eastAsia="de-DE"/>
        </w:rPr>
        <w:t>.</w:t>
      </w:r>
    </w:p>
    <w:p w14:paraId="186877BD" w14:textId="77777777" w:rsidR="00454ED0" w:rsidRPr="00B47352" w:rsidRDefault="008E0DF1" w:rsidP="00C22505">
      <w:pPr>
        <w:pStyle w:val="Formatvorlage4"/>
        <w:rPr>
          <w:b w:val="0"/>
          <w:highlight w:val="green"/>
          <w:lang w:eastAsia="de-DE"/>
        </w:rPr>
      </w:pPr>
      <w:r w:rsidRPr="00B47352">
        <w:rPr>
          <w:b w:val="0"/>
          <w:highlight w:val="green"/>
          <w:lang w:eastAsia="de-DE"/>
        </w:rPr>
        <w:lastRenderedPageBreak/>
        <w:t>Diese Thematik war</w:t>
      </w:r>
      <w:r w:rsidR="00F278A7" w:rsidRPr="00B47352">
        <w:rPr>
          <w:b w:val="0"/>
          <w:highlight w:val="green"/>
          <w:lang w:eastAsia="de-DE"/>
        </w:rPr>
        <w:t xml:space="preserve"> </w:t>
      </w:r>
      <w:r w:rsidR="00315B01" w:rsidRPr="00B47352">
        <w:rPr>
          <w:b w:val="0"/>
          <w:highlight w:val="green"/>
          <w:lang w:eastAsia="de-DE"/>
        </w:rPr>
        <w:t xml:space="preserve">unter anderem </w:t>
      </w:r>
      <w:r w:rsidR="00F278A7" w:rsidRPr="00B47352">
        <w:rPr>
          <w:b w:val="0"/>
          <w:highlight w:val="green"/>
          <w:lang w:eastAsia="de-DE"/>
        </w:rPr>
        <w:t xml:space="preserve">Gegenstand </w:t>
      </w:r>
      <w:r w:rsidR="00A24E0E" w:rsidRPr="00B47352">
        <w:rPr>
          <w:b w:val="0"/>
          <w:highlight w:val="green"/>
          <w:lang w:eastAsia="de-DE"/>
        </w:rPr>
        <w:t>eines Expertengutachtens</w:t>
      </w:r>
      <w:r w:rsidR="00A24E0E" w:rsidRPr="00B47352">
        <w:rPr>
          <w:rStyle w:val="Funotenzeichen"/>
          <w:b w:val="0"/>
          <w:highlight w:val="green"/>
          <w:lang w:eastAsia="de-DE"/>
        </w:rPr>
        <w:footnoteReference w:id="3"/>
      </w:r>
      <w:r w:rsidRPr="00B47352">
        <w:rPr>
          <w:b w:val="0"/>
          <w:highlight w:val="green"/>
          <w:lang w:eastAsia="de-DE"/>
        </w:rPr>
        <w:t>. Das BAFU konnte sich auf d</w:t>
      </w:r>
      <w:r w:rsidR="003159F4" w:rsidRPr="00B47352">
        <w:rPr>
          <w:b w:val="0"/>
          <w:highlight w:val="green"/>
          <w:lang w:eastAsia="de-DE"/>
        </w:rPr>
        <w:t>ie</w:t>
      </w:r>
      <w:r w:rsidRPr="00B47352">
        <w:rPr>
          <w:b w:val="0"/>
          <w:highlight w:val="green"/>
          <w:lang w:eastAsia="de-DE"/>
        </w:rPr>
        <w:t xml:space="preserve"> </w:t>
      </w:r>
      <w:r w:rsidR="003159F4" w:rsidRPr="00B47352">
        <w:rPr>
          <w:b w:val="0"/>
          <w:highlight w:val="green"/>
          <w:lang w:eastAsia="de-DE"/>
        </w:rPr>
        <w:t xml:space="preserve">Dokumentation und </w:t>
      </w:r>
      <w:r w:rsidR="00EA4FA1" w:rsidRPr="00B47352">
        <w:rPr>
          <w:b w:val="0"/>
          <w:highlight w:val="green"/>
          <w:lang w:eastAsia="de-DE"/>
        </w:rPr>
        <w:t xml:space="preserve">die diesbezüglichen gutachterlichen </w:t>
      </w:r>
      <w:r w:rsidR="003159F4" w:rsidRPr="00B47352">
        <w:rPr>
          <w:b w:val="0"/>
          <w:highlight w:val="green"/>
          <w:lang w:eastAsia="de-DE"/>
        </w:rPr>
        <w:t>Berechnungen</w:t>
      </w:r>
      <w:r w:rsidRPr="00B47352">
        <w:rPr>
          <w:b w:val="0"/>
          <w:highlight w:val="green"/>
          <w:lang w:eastAsia="de-DE"/>
        </w:rPr>
        <w:t xml:space="preserve"> </w:t>
      </w:r>
      <w:r w:rsidR="003159F4" w:rsidRPr="00B47352">
        <w:rPr>
          <w:b w:val="0"/>
          <w:highlight w:val="green"/>
          <w:lang w:eastAsia="de-DE"/>
        </w:rPr>
        <w:t>stützen</w:t>
      </w:r>
      <w:r w:rsidR="00EA4FA1" w:rsidRPr="00B47352">
        <w:rPr>
          <w:b w:val="0"/>
          <w:highlight w:val="green"/>
          <w:lang w:eastAsia="de-DE"/>
        </w:rPr>
        <w:t xml:space="preserve">. Es erachtet die geltend gemachten Zusatzmengen </w:t>
      </w:r>
      <w:r w:rsidR="00315B01" w:rsidRPr="00B47352">
        <w:rPr>
          <w:b w:val="0"/>
          <w:highlight w:val="green"/>
          <w:lang w:eastAsia="de-DE"/>
        </w:rPr>
        <w:t xml:space="preserve">im Sinne des USG </w:t>
      </w:r>
      <w:r w:rsidR="00EA4FA1" w:rsidRPr="00B47352">
        <w:rPr>
          <w:b w:val="0"/>
          <w:highlight w:val="green"/>
          <w:lang w:eastAsia="de-DE"/>
        </w:rPr>
        <w:t>als nachvollziehbar und abgeltungsberechtigt</w:t>
      </w:r>
      <w:r w:rsidR="00315B01" w:rsidRPr="00B47352">
        <w:rPr>
          <w:b w:val="0"/>
          <w:highlight w:val="green"/>
          <w:lang w:eastAsia="de-DE"/>
        </w:rPr>
        <w:t>.</w:t>
      </w:r>
      <w:r w:rsidR="00EA4FA1" w:rsidRPr="00B47352">
        <w:rPr>
          <w:b w:val="0"/>
          <w:highlight w:val="green"/>
          <w:lang w:eastAsia="de-DE"/>
        </w:rPr>
        <w:t xml:space="preserve"> D</w:t>
      </w:r>
      <w:r w:rsidR="003159F4" w:rsidRPr="00B47352">
        <w:rPr>
          <w:b w:val="0"/>
          <w:highlight w:val="green"/>
          <w:lang w:eastAsia="de-DE"/>
        </w:rPr>
        <w:t xml:space="preserve">em beantragten </w:t>
      </w:r>
      <w:r w:rsidR="003C57E7" w:rsidRPr="00B47352">
        <w:rPr>
          <w:b w:val="0"/>
          <w:highlight w:val="green"/>
          <w:lang w:eastAsia="de-DE"/>
        </w:rPr>
        <w:t xml:space="preserve">neuen </w:t>
      </w:r>
      <w:r w:rsidR="003159F4" w:rsidRPr="00B47352">
        <w:rPr>
          <w:b w:val="0"/>
          <w:highlight w:val="green"/>
          <w:lang w:eastAsia="de-DE"/>
        </w:rPr>
        <w:t xml:space="preserve">Abgeltungssatz von 24,31 Prozent </w:t>
      </w:r>
      <w:r w:rsidR="00EA4FA1" w:rsidRPr="00B47352">
        <w:rPr>
          <w:b w:val="0"/>
          <w:highlight w:val="green"/>
          <w:lang w:eastAsia="de-DE"/>
        </w:rPr>
        <w:t xml:space="preserve">wurde zugestimmt und </w:t>
      </w:r>
      <w:r w:rsidR="003159F4" w:rsidRPr="00B47352">
        <w:rPr>
          <w:b w:val="0"/>
          <w:highlight w:val="green"/>
          <w:lang w:eastAsia="de-DE"/>
        </w:rPr>
        <w:t xml:space="preserve">in der neuen Zusicherungsverfügung </w:t>
      </w:r>
      <w:r w:rsidR="00315B01" w:rsidRPr="00B47352">
        <w:rPr>
          <w:b w:val="0"/>
          <w:highlight w:val="green"/>
          <w:lang w:eastAsia="de-DE"/>
        </w:rPr>
        <w:t>Rechnung getragen</w:t>
      </w:r>
      <w:r w:rsidR="003159F4" w:rsidRPr="00B47352">
        <w:rPr>
          <w:b w:val="0"/>
          <w:highlight w:val="green"/>
          <w:lang w:eastAsia="de-DE"/>
        </w:rPr>
        <w:t>.</w:t>
      </w:r>
      <w:r w:rsidR="00DD3A1C" w:rsidRPr="00B47352">
        <w:rPr>
          <w:b w:val="0"/>
          <w:highlight w:val="green"/>
          <w:lang w:eastAsia="de-DE"/>
        </w:rPr>
        <w:t xml:space="preserve"> </w:t>
      </w:r>
      <w:r w:rsidR="00F008E7" w:rsidRPr="00B47352">
        <w:rPr>
          <w:b w:val="0"/>
          <w:highlight w:val="green"/>
          <w:lang w:eastAsia="de-DE"/>
        </w:rPr>
        <w:t>Gemäss Gutachten resultieren aus den zusätzlichen Abfallmengen allein für die Entsorgung Mehrkosten in Höhe von über 40 Millionen Franken.</w:t>
      </w:r>
    </w:p>
    <w:p w14:paraId="7AC643D5" w14:textId="77777777" w:rsidR="00454ED0" w:rsidRPr="00B47352" w:rsidRDefault="00315B01" w:rsidP="005A3667">
      <w:pPr>
        <w:pStyle w:val="Formatvorlage4"/>
        <w:spacing w:after="120"/>
        <w:rPr>
          <w:b w:val="0"/>
          <w:highlight w:val="green"/>
          <w:lang w:eastAsia="de-DE"/>
        </w:rPr>
      </w:pPr>
      <w:r w:rsidRPr="00B47352">
        <w:rPr>
          <w:b w:val="0"/>
          <w:highlight w:val="green"/>
          <w:lang w:eastAsia="de-DE"/>
        </w:rPr>
        <w:t xml:space="preserve">Sowohl die gutachterlichen Berechnungen als auch der Entscheid des BAFU </w:t>
      </w:r>
      <w:r w:rsidR="000D7298" w:rsidRPr="00B47352">
        <w:rPr>
          <w:b w:val="0"/>
          <w:highlight w:val="green"/>
          <w:lang w:eastAsia="de-DE"/>
        </w:rPr>
        <w:t>sind aus Sicht der EFK plausibel und nachvollziehbar.</w:t>
      </w:r>
    </w:p>
    <w:p w14:paraId="2325368F" w14:textId="77777777" w:rsidR="00454ED0" w:rsidRPr="00B47352" w:rsidRDefault="002075A1" w:rsidP="005A3667">
      <w:pPr>
        <w:pStyle w:val="Formatvorlage2"/>
        <w:spacing w:before="360"/>
        <w:ind w:left="862" w:hanging="862"/>
        <w:rPr>
          <w:highlight w:val="green"/>
        </w:rPr>
      </w:pPr>
      <w:bookmarkStart w:id="248" w:name="_Toc356294707"/>
      <w:r w:rsidRPr="00B47352">
        <w:rPr>
          <w:highlight w:val="green"/>
        </w:rPr>
        <w:t>Nachzahlung für Sofort- und Schutzmassnahmen sowie Projektierungsarbeiten</w:t>
      </w:r>
      <w:bookmarkEnd w:id="248"/>
    </w:p>
    <w:p w14:paraId="65AAC4AB" w14:textId="77777777" w:rsidR="00454ED0" w:rsidRPr="00B47352" w:rsidRDefault="00956414" w:rsidP="005A3667">
      <w:pPr>
        <w:pStyle w:val="Formatvorlage4"/>
        <w:spacing w:before="120" w:after="120"/>
        <w:rPr>
          <w:b w:val="0"/>
          <w:highlight w:val="green"/>
          <w:lang w:eastAsia="de-DE"/>
        </w:rPr>
      </w:pPr>
      <w:r w:rsidRPr="00B47352">
        <w:rPr>
          <w:b w:val="0"/>
          <w:highlight w:val="green"/>
          <w:lang w:eastAsia="de-DE"/>
        </w:rPr>
        <w:t>Hier</w:t>
      </w:r>
      <w:r w:rsidR="00411719" w:rsidRPr="00B47352">
        <w:rPr>
          <w:b w:val="0"/>
          <w:highlight w:val="green"/>
          <w:lang w:eastAsia="de-DE"/>
        </w:rPr>
        <w:t xml:space="preserve"> handelt </w:t>
      </w:r>
      <w:r w:rsidRPr="00B47352">
        <w:rPr>
          <w:b w:val="0"/>
          <w:highlight w:val="green"/>
          <w:lang w:eastAsia="de-DE"/>
        </w:rPr>
        <w:t xml:space="preserve">es </w:t>
      </w:r>
      <w:r w:rsidR="00411719" w:rsidRPr="00B47352">
        <w:rPr>
          <w:b w:val="0"/>
          <w:highlight w:val="green"/>
          <w:lang w:eastAsia="de-DE"/>
        </w:rPr>
        <w:t xml:space="preserve">sich um Massnahmen, die von der Schliessung der Deponie im Jahre 1985 bis zur Baubewilligung der Gemeinde Kölliken im Jahre 2004 ergriffen wurden. Im Wesentlichen geht es um die Untersuchung und Überwachung der Deponie, Schutz- und Sofortmassnahmen sowie die Projektierungsarbeiten (Ideenwettbewerb bis hin zum Sanierungs- und Eingabeprojekt). </w:t>
      </w:r>
      <w:r w:rsidR="003B0AFD" w:rsidRPr="00B47352">
        <w:rPr>
          <w:b w:val="0"/>
          <w:highlight w:val="green"/>
          <w:lang w:eastAsia="de-DE"/>
        </w:rPr>
        <w:t>Für die</w:t>
      </w:r>
      <w:r w:rsidR="00342936" w:rsidRPr="00B47352">
        <w:rPr>
          <w:b w:val="0"/>
          <w:highlight w:val="green"/>
          <w:lang w:eastAsia="de-DE"/>
        </w:rPr>
        <w:t>se Leistungen</w:t>
      </w:r>
      <w:r w:rsidR="003B0AFD" w:rsidRPr="00B47352">
        <w:rPr>
          <w:b w:val="0"/>
          <w:highlight w:val="green"/>
          <w:lang w:eastAsia="de-DE"/>
        </w:rPr>
        <w:t xml:space="preserve"> hat das BAFU auf der Basis</w:t>
      </w:r>
      <w:r w:rsidR="00411719" w:rsidRPr="00B47352">
        <w:rPr>
          <w:b w:val="0"/>
          <w:highlight w:val="green"/>
          <w:lang w:eastAsia="de-DE"/>
        </w:rPr>
        <w:t xml:space="preserve"> der geltend gemachten </w:t>
      </w:r>
      <w:r w:rsidR="003B0AFD" w:rsidRPr="00B47352">
        <w:rPr>
          <w:b w:val="0"/>
          <w:highlight w:val="green"/>
          <w:lang w:eastAsia="de-DE"/>
        </w:rPr>
        <w:t>anrechenbaren Kosten von insgesamt 159‘858‘122 Franken und unter Anwendung des alten Abgeltungssatzes (17,64%) bisher 28‘198‘973 Franken ausbezahlt. Aufgrund des neuen Abgeltung</w:t>
      </w:r>
      <w:r w:rsidR="00063A67" w:rsidRPr="00B47352">
        <w:rPr>
          <w:b w:val="0"/>
          <w:highlight w:val="green"/>
          <w:lang w:eastAsia="de-DE"/>
        </w:rPr>
        <w:t>ssatzes von 24,31 Prozent</w:t>
      </w:r>
      <w:r w:rsidR="003B0AFD" w:rsidRPr="00B47352">
        <w:rPr>
          <w:b w:val="0"/>
          <w:highlight w:val="green"/>
          <w:lang w:eastAsia="de-DE"/>
        </w:rPr>
        <w:t xml:space="preserve"> ist eine Nachzahlung in Höhe von 10‘662‘536 Franken fäl</w:t>
      </w:r>
      <w:r w:rsidR="007A7E9C" w:rsidRPr="00B47352">
        <w:rPr>
          <w:b w:val="0"/>
          <w:highlight w:val="green"/>
          <w:lang w:eastAsia="de-DE"/>
        </w:rPr>
        <w:t xml:space="preserve">lig und </w:t>
      </w:r>
      <w:r w:rsidR="00C9446B" w:rsidRPr="00B47352">
        <w:rPr>
          <w:b w:val="0"/>
          <w:highlight w:val="green"/>
          <w:lang w:eastAsia="de-DE"/>
        </w:rPr>
        <w:t xml:space="preserve">vom BAFU </w:t>
      </w:r>
      <w:r w:rsidR="00342936" w:rsidRPr="00B47352">
        <w:rPr>
          <w:b w:val="0"/>
          <w:highlight w:val="green"/>
          <w:lang w:eastAsia="de-DE"/>
        </w:rPr>
        <w:t>folgerichtig</w:t>
      </w:r>
      <w:r w:rsidR="007A7E9C" w:rsidRPr="00B47352">
        <w:rPr>
          <w:b w:val="0"/>
          <w:highlight w:val="green"/>
          <w:lang w:eastAsia="de-DE"/>
        </w:rPr>
        <w:t xml:space="preserve"> </w:t>
      </w:r>
      <w:r w:rsidR="00342936" w:rsidRPr="00B47352">
        <w:rPr>
          <w:b w:val="0"/>
          <w:highlight w:val="green"/>
          <w:lang w:eastAsia="de-DE"/>
        </w:rPr>
        <w:t xml:space="preserve">in die Zusicherung aufgenommen </w:t>
      </w:r>
      <w:r w:rsidR="00C9446B" w:rsidRPr="00B47352">
        <w:rPr>
          <w:b w:val="0"/>
          <w:highlight w:val="green"/>
          <w:lang w:eastAsia="de-DE"/>
        </w:rPr>
        <w:t>worden.</w:t>
      </w:r>
    </w:p>
    <w:p w14:paraId="6347C137" w14:textId="77777777" w:rsidR="00454ED0" w:rsidRPr="00B47352" w:rsidRDefault="003C119E" w:rsidP="005A3667">
      <w:pPr>
        <w:pStyle w:val="Formatvorlage2"/>
        <w:spacing w:before="360"/>
        <w:ind w:left="862" w:hanging="862"/>
        <w:rPr>
          <w:highlight w:val="green"/>
        </w:rPr>
      </w:pPr>
      <w:bookmarkStart w:id="249" w:name="_Toc356294708"/>
      <w:r w:rsidRPr="00B47352">
        <w:rPr>
          <w:highlight w:val="green"/>
        </w:rPr>
        <w:t>Nachzahlung für die Erstellung von Infrastrukturbauten</w:t>
      </w:r>
      <w:bookmarkEnd w:id="249"/>
    </w:p>
    <w:p w14:paraId="52CC46CD" w14:textId="77777777" w:rsidR="005A3667" w:rsidRPr="00B47352" w:rsidRDefault="003C119E" w:rsidP="005A3667">
      <w:pPr>
        <w:pStyle w:val="Formatvorlage4"/>
        <w:spacing w:before="120" w:after="120"/>
        <w:rPr>
          <w:b w:val="0"/>
          <w:highlight w:val="green"/>
          <w:lang w:eastAsia="de-DE"/>
        </w:rPr>
      </w:pPr>
      <w:r w:rsidRPr="00B47352">
        <w:rPr>
          <w:b w:val="0"/>
          <w:highlight w:val="green"/>
          <w:lang w:eastAsia="de-DE"/>
        </w:rPr>
        <w:t>Für die Aufwendungen der Ausschreibung und Vergabe der Sanierungsarbeiten sowie insbesondere der Infrastrukturbauten (u.a. Lager-, Manipulations- und Rückbau</w:t>
      </w:r>
      <w:r w:rsidR="009247AC" w:rsidRPr="00B47352">
        <w:rPr>
          <w:b w:val="0"/>
          <w:highlight w:val="green"/>
          <w:lang w:eastAsia="de-DE"/>
        </w:rPr>
        <w:t>halle) wurden anrechenbare Kosten von 111‘402‘882 Franken errechnet. Gestützt darauf hat das BAF</w:t>
      </w:r>
      <w:r w:rsidR="00D41ECD" w:rsidRPr="00B47352">
        <w:rPr>
          <w:b w:val="0"/>
          <w:highlight w:val="green"/>
          <w:lang w:eastAsia="de-DE"/>
        </w:rPr>
        <w:t>U mit dem damals</w:t>
      </w:r>
      <w:r w:rsidR="009247AC" w:rsidRPr="00B47352">
        <w:rPr>
          <w:b w:val="0"/>
          <w:highlight w:val="green"/>
          <w:lang w:eastAsia="de-DE"/>
        </w:rPr>
        <w:t xml:space="preserve"> gültigen Abgeltungssatz von 17,64 Prozent den Betrag von 19‘651‘468 Franken ausbezahlt.</w:t>
      </w:r>
      <w:r w:rsidR="001F56C7" w:rsidRPr="00B47352">
        <w:rPr>
          <w:b w:val="0"/>
          <w:highlight w:val="green"/>
          <w:lang w:eastAsia="de-DE"/>
        </w:rPr>
        <w:t xml:space="preserve"> Auf der Basis des neuen Abgeltungssatzes von 24,31 Prozent ist eine Nachzahlung von 7‘430‘573 Frank</w:t>
      </w:r>
      <w:r w:rsidR="00342936" w:rsidRPr="00B47352">
        <w:rPr>
          <w:b w:val="0"/>
          <w:highlight w:val="green"/>
          <w:lang w:eastAsia="de-DE"/>
        </w:rPr>
        <w:t>en zu leisten.</w:t>
      </w:r>
      <w:r w:rsidR="00544FF4" w:rsidRPr="00B47352">
        <w:rPr>
          <w:b w:val="0"/>
          <w:highlight w:val="green"/>
          <w:lang w:eastAsia="de-DE"/>
        </w:rPr>
        <w:t xml:space="preserve"> </w:t>
      </w:r>
      <w:r w:rsidR="00342936" w:rsidRPr="00B47352">
        <w:rPr>
          <w:b w:val="0"/>
          <w:highlight w:val="green"/>
          <w:lang w:eastAsia="de-DE"/>
        </w:rPr>
        <w:t>Die</w:t>
      </w:r>
      <w:r w:rsidR="001F56C7" w:rsidRPr="00B47352">
        <w:rPr>
          <w:b w:val="0"/>
          <w:highlight w:val="green"/>
          <w:lang w:eastAsia="de-DE"/>
        </w:rPr>
        <w:t xml:space="preserve"> </w:t>
      </w:r>
      <w:r w:rsidR="00342936" w:rsidRPr="00B47352">
        <w:rPr>
          <w:b w:val="0"/>
          <w:highlight w:val="green"/>
          <w:lang w:eastAsia="de-DE"/>
        </w:rPr>
        <w:t xml:space="preserve">aktualisierte </w:t>
      </w:r>
      <w:r w:rsidR="001F56C7" w:rsidRPr="00B47352">
        <w:rPr>
          <w:b w:val="0"/>
          <w:highlight w:val="green"/>
          <w:lang w:eastAsia="de-DE"/>
        </w:rPr>
        <w:t>Zusiche</w:t>
      </w:r>
      <w:r w:rsidR="00544FF4" w:rsidRPr="00B47352">
        <w:rPr>
          <w:b w:val="0"/>
          <w:highlight w:val="green"/>
          <w:lang w:eastAsia="de-DE"/>
        </w:rPr>
        <w:t>rung ist somit korrekt.</w:t>
      </w:r>
    </w:p>
    <w:p w14:paraId="01C50EED" w14:textId="77777777" w:rsidR="005A3667" w:rsidRPr="00B47352" w:rsidRDefault="00533BAB" w:rsidP="00533BAB">
      <w:pPr>
        <w:pStyle w:val="Formatvorlage2"/>
        <w:spacing w:before="360"/>
        <w:ind w:left="862" w:hanging="862"/>
        <w:rPr>
          <w:highlight w:val="green"/>
        </w:rPr>
      </w:pPr>
      <w:bookmarkStart w:id="250" w:name="_Toc356294709"/>
      <w:r w:rsidRPr="00B47352">
        <w:rPr>
          <w:highlight w:val="green"/>
        </w:rPr>
        <w:t>Rückbauetappe 1 (RE1)</w:t>
      </w:r>
      <w:bookmarkEnd w:id="250"/>
    </w:p>
    <w:p w14:paraId="7FDA5583" w14:textId="77777777" w:rsidR="008B4618" w:rsidRPr="00B47352" w:rsidRDefault="00027B4A" w:rsidP="00664FB2">
      <w:pPr>
        <w:pStyle w:val="Formatvorlage4"/>
        <w:spacing w:before="120" w:after="120"/>
        <w:rPr>
          <w:b w:val="0"/>
          <w:highlight w:val="green"/>
          <w:lang w:eastAsia="de-DE"/>
        </w:rPr>
      </w:pPr>
      <w:r w:rsidRPr="00B47352">
        <w:rPr>
          <w:b w:val="0"/>
          <w:highlight w:val="green"/>
          <w:lang w:eastAsia="de-DE"/>
        </w:rPr>
        <w:t>R</w:t>
      </w:r>
      <w:r w:rsidR="00EE6DC1" w:rsidRPr="00B47352">
        <w:rPr>
          <w:b w:val="0"/>
          <w:highlight w:val="green"/>
          <w:lang w:eastAsia="de-DE"/>
        </w:rPr>
        <w:t>und</w:t>
      </w:r>
      <w:r w:rsidR="00664FB2" w:rsidRPr="00B47352">
        <w:rPr>
          <w:b w:val="0"/>
          <w:highlight w:val="green"/>
          <w:lang w:eastAsia="de-DE"/>
        </w:rPr>
        <w:t xml:space="preserve"> 158‘000 Tonnen </w:t>
      </w:r>
      <w:r w:rsidR="00EE6DC1" w:rsidRPr="00B47352">
        <w:rPr>
          <w:b w:val="0"/>
          <w:highlight w:val="green"/>
          <w:lang w:eastAsia="de-DE"/>
        </w:rPr>
        <w:t>Deponiematerial wurde</w:t>
      </w:r>
      <w:r w:rsidRPr="00B47352">
        <w:rPr>
          <w:b w:val="0"/>
          <w:highlight w:val="green"/>
          <w:lang w:eastAsia="de-DE"/>
        </w:rPr>
        <w:t>n</w:t>
      </w:r>
      <w:r w:rsidR="00EE6DC1" w:rsidRPr="00B47352">
        <w:rPr>
          <w:b w:val="0"/>
          <w:highlight w:val="green"/>
          <w:lang w:eastAsia="de-DE"/>
        </w:rPr>
        <w:t xml:space="preserve"> während der Rückbauetappe 1 entsorgt. </w:t>
      </w:r>
      <w:r w:rsidR="00664FB2" w:rsidRPr="00B47352">
        <w:rPr>
          <w:b w:val="0"/>
          <w:highlight w:val="green"/>
          <w:lang w:eastAsia="de-DE"/>
        </w:rPr>
        <w:t xml:space="preserve">Zeitlich erstreckte sich die Rückbauetappe 1 vom November 2007 bis Oktober 2009. Ein grösseres Brandereignis verursachte </w:t>
      </w:r>
      <w:r w:rsidR="00EE6DC1" w:rsidRPr="00B47352">
        <w:rPr>
          <w:b w:val="0"/>
          <w:highlight w:val="green"/>
          <w:lang w:eastAsia="de-DE"/>
        </w:rPr>
        <w:t xml:space="preserve">in der Zeit vom Juni 2008 bis Januar 2009 </w:t>
      </w:r>
      <w:r w:rsidR="00664FB2" w:rsidRPr="00B47352">
        <w:rPr>
          <w:b w:val="0"/>
          <w:highlight w:val="green"/>
          <w:lang w:eastAsia="de-DE"/>
        </w:rPr>
        <w:t>einen Rückbau</w:t>
      </w:r>
      <w:r w:rsidR="00EE6DC1" w:rsidRPr="00B47352">
        <w:rPr>
          <w:b w:val="0"/>
          <w:highlight w:val="green"/>
          <w:lang w:eastAsia="de-DE"/>
        </w:rPr>
        <w:t>stopp.</w:t>
      </w:r>
      <w:r w:rsidR="00664FB2" w:rsidRPr="00B47352">
        <w:rPr>
          <w:b w:val="0"/>
          <w:highlight w:val="green"/>
          <w:lang w:eastAsia="de-DE"/>
        </w:rPr>
        <w:t xml:space="preserve"> </w:t>
      </w:r>
      <w:r w:rsidR="00610316" w:rsidRPr="00B47352">
        <w:rPr>
          <w:b w:val="0"/>
          <w:highlight w:val="green"/>
          <w:lang w:eastAsia="de-DE"/>
        </w:rPr>
        <w:t xml:space="preserve">Daraufhin mussten die Rückbauvorgänge und die Arbeitssicherheitsmassnahmen mit </w:t>
      </w:r>
      <w:r w:rsidRPr="00B47352">
        <w:rPr>
          <w:b w:val="0"/>
          <w:highlight w:val="green"/>
          <w:lang w:eastAsia="de-DE"/>
        </w:rPr>
        <w:t xml:space="preserve">negativen </w:t>
      </w:r>
      <w:r w:rsidR="00610316" w:rsidRPr="00B47352">
        <w:rPr>
          <w:b w:val="0"/>
          <w:highlight w:val="green"/>
          <w:lang w:eastAsia="de-DE"/>
        </w:rPr>
        <w:t>Kostenauswirkungen auf die gesamte Sanierung angepasst werden.</w:t>
      </w:r>
    </w:p>
    <w:p w14:paraId="760F845D" w14:textId="77777777" w:rsidR="008B4618" w:rsidRPr="00B47352" w:rsidRDefault="00610316" w:rsidP="009C195E">
      <w:pPr>
        <w:pStyle w:val="Formatvorlage4"/>
        <w:spacing w:before="120" w:after="120"/>
        <w:rPr>
          <w:b w:val="0"/>
          <w:highlight w:val="green"/>
          <w:lang w:eastAsia="de-DE"/>
        </w:rPr>
      </w:pPr>
      <w:r w:rsidRPr="00B47352">
        <w:rPr>
          <w:b w:val="0"/>
          <w:highlight w:val="green"/>
          <w:lang w:eastAsia="de-DE"/>
        </w:rPr>
        <w:t>Die</w:t>
      </w:r>
      <w:r w:rsidR="00CD1A67" w:rsidRPr="00B47352">
        <w:rPr>
          <w:b w:val="0"/>
          <w:highlight w:val="green"/>
          <w:lang w:eastAsia="de-DE"/>
        </w:rPr>
        <w:t xml:space="preserve"> Auszahlungsgesuche der Jahre 2008 und 2009 in Höhe von </w:t>
      </w:r>
      <w:r w:rsidRPr="00B47352">
        <w:rPr>
          <w:b w:val="0"/>
          <w:highlight w:val="green"/>
          <w:lang w:eastAsia="de-DE"/>
        </w:rPr>
        <w:t>total 118‘033‘714 Franken</w:t>
      </w:r>
      <w:r w:rsidR="00C07DED" w:rsidRPr="00B47352">
        <w:rPr>
          <w:b w:val="0"/>
          <w:highlight w:val="green"/>
          <w:lang w:eastAsia="de-DE"/>
        </w:rPr>
        <w:t xml:space="preserve"> beinhalten</w:t>
      </w:r>
      <w:r w:rsidR="001E11AC" w:rsidRPr="00B47352">
        <w:rPr>
          <w:b w:val="0"/>
          <w:highlight w:val="green"/>
          <w:lang w:eastAsia="de-DE"/>
        </w:rPr>
        <w:t xml:space="preserve"> </w:t>
      </w:r>
      <w:r w:rsidR="00D74B4A" w:rsidRPr="00B47352">
        <w:rPr>
          <w:b w:val="0"/>
          <w:highlight w:val="green"/>
          <w:lang w:eastAsia="de-DE"/>
        </w:rPr>
        <w:t>auch</w:t>
      </w:r>
      <w:r w:rsidR="00A10523" w:rsidRPr="00B47352">
        <w:rPr>
          <w:b w:val="0"/>
          <w:highlight w:val="green"/>
          <w:lang w:eastAsia="de-DE"/>
        </w:rPr>
        <w:t xml:space="preserve"> die</w:t>
      </w:r>
      <w:r w:rsidR="00D74B4A" w:rsidRPr="00B47352">
        <w:rPr>
          <w:b w:val="0"/>
          <w:highlight w:val="green"/>
          <w:lang w:eastAsia="de-DE"/>
        </w:rPr>
        <w:t xml:space="preserve"> </w:t>
      </w:r>
      <w:r w:rsidR="001E11AC" w:rsidRPr="00B47352">
        <w:rPr>
          <w:b w:val="0"/>
          <w:highlight w:val="green"/>
          <w:lang w:eastAsia="de-DE"/>
        </w:rPr>
        <w:t xml:space="preserve">Entsorgungskosten der Rückbauetappe 1 im Umfang von 60‘693‘092 Franken. Davon sind 19‘796‘587 Franken gemäss Schreiben vom 14. Januar 2013 der </w:t>
      </w:r>
      <w:proofErr w:type="spellStart"/>
      <w:r w:rsidR="001E11AC" w:rsidRPr="00B47352">
        <w:rPr>
          <w:b w:val="0"/>
          <w:highlight w:val="green"/>
          <w:lang w:eastAsia="de-DE"/>
        </w:rPr>
        <w:t>AfU</w:t>
      </w:r>
      <w:proofErr w:type="spellEnd"/>
      <w:r w:rsidR="001E11AC" w:rsidRPr="00B47352">
        <w:rPr>
          <w:b w:val="0"/>
          <w:highlight w:val="green"/>
          <w:lang w:eastAsia="de-DE"/>
        </w:rPr>
        <w:t xml:space="preserve"> des </w:t>
      </w:r>
      <w:r w:rsidR="001E11AC" w:rsidRPr="00B47352">
        <w:rPr>
          <w:b w:val="0"/>
          <w:highlight w:val="green"/>
          <w:lang w:eastAsia="de-DE"/>
        </w:rPr>
        <w:lastRenderedPageBreak/>
        <w:t xml:space="preserve">Kantons Aargau nicht anrechenbar. </w:t>
      </w:r>
      <w:r w:rsidR="00B64871" w:rsidRPr="00B47352">
        <w:rPr>
          <w:b w:val="0"/>
          <w:highlight w:val="green"/>
          <w:lang w:eastAsia="de-DE"/>
        </w:rPr>
        <w:t>Ebenfalls nicht anrechenbar sind 2‘</w:t>
      </w:r>
      <w:r w:rsidR="00D74B4A" w:rsidRPr="00B47352">
        <w:rPr>
          <w:b w:val="0"/>
          <w:highlight w:val="green"/>
          <w:lang w:eastAsia="de-DE"/>
        </w:rPr>
        <w:t>533‘814 Franken der Kosten der Vorbehandlung in der</w:t>
      </w:r>
      <w:r w:rsidR="00743B1B" w:rsidRPr="00B47352">
        <w:rPr>
          <w:b w:val="0"/>
          <w:highlight w:val="green"/>
          <w:lang w:eastAsia="de-DE"/>
        </w:rPr>
        <w:t xml:space="preserve"> Bodenwaschanlage ESAR</w:t>
      </w:r>
      <w:r w:rsidR="00B64871" w:rsidRPr="00B47352">
        <w:rPr>
          <w:b w:val="0"/>
          <w:highlight w:val="green"/>
          <w:lang w:eastAsia="de-DE"/>
        </w:rPr>
        <w:t>. Der Nutzen dieser Bearbeitungsstufe war lange umstritten. Im Sinne einer Kompromisslösung werden Entschädigungen für die Vorbehandlung in der ESAR nur für Deponiekörpermaterial (ohne Deck</w:t>
      </w:r>
      <w:r w:rsidR="00CB23E8" w:rsidRPr="00B47352">
        <w:rPr>
          <w:b w:val="0"/>
          <w:highlight w:val="green"/>
          <w:lang w:eastAsia="de-DE"/>
        </w:rPr>
        <w:t>schicht</w:t>
      </w:r>
      <w:r w:rsidR="00B64871" w:rsidRPr="00B47352">
        <w:rPr>
          <w:b w:val="0"/>
          <w:highlight w:val="green"/>
          <w:lang w:eastAsia="de-DE"/>
        </w:rPr>
        <w:t xml:space="preserve">- und </w:t>
      </w:r>
      <w:proofErr w:type="spellStart"/>
      <w:r w:rsidR="00B64871" w:rsidRPr="00B47352">
        <w:rPr>
          <w:b w:val="0"/>
          <w:highlight w:val="green"/>
          <w:lang w:eastAsia="de-DE"/>
        </w:rPr>
        <w:t>Deponiesohlematerial</w:t>
      </w:r>
      <w:proofErr w:type="spellEnd"/>
      <w:r w:rsidR="00B64871" w:rsidRPr="00B47352">
        <w:rPr>
          <w:b w:val="0"/>
          <w:highlight w:val="green"/>
          <w:lang w:eastAsia="de-DE"/>
        </w:rPr>
        <w:t>) gewährt</w:t>
      </w:r>
      <w:r w:rsidR="00CB23E8" w:rsidRPr="00B47352">
        <w:rPr>
          <w:b w:val="0"/>
          <w:highlight w:val="green"/>
          <w:lang w:eastAsia="de-DE"/>
        </w:rPr>
        <w:t>. Zudem werden die anrechenbaren Kosten anstelle von Fr.65.-/</w:t>
      </w:r>
      <w:r w:rsidR="00C06A2E" w:rsidRPr="00B47352">
        <w:rPr>
          <w:b w:val="0"/>
          <w:highlight w:val="green"/>
          <w:lang w:eastAsia="de-DE"/>
        </w:rPr>
        <w:t>t</w:t>
      </w:r>
      <w:r w:rsidR="00CB23E8" w:rsidRPr="00B47352">
        <w:rPr>
          <w:b w:val="0"/>
          <w:highlight w:val="green"/>
          <w:lang w:eastAsia="de-DE"/>
        </w:rPr>
        <w:t xml:space="preserve"> auf 32.50/t festgelegt. </w:t>
      </w:r>
      <w:r w:rsidR="009C195E" w:rsidRPr="00B47352">
        <w:rPr>
          <w:b w:val="0"/>
          <w:highlight w:val="green"/>
          <w:lang w:eastAsia="de-DE"/>
        </w:rPr>
        <w:t>Die anrechenbaren Kosten</w:t>
      </w:r>
      <w:r w:rsidR="00175E30" w:rsidRPr="00B47352">
        <w:rPr>
          <w:b w:val="0"/>
          <w:highlight w:val="green"/>
          <w:lang w:eastAsia="de-DE"/>
        </w:rPr>
        <w:t xml:space="preserve"> (inkl. RE1)</w:t>
      </w:r>
      <w:r w:rsidR="009C195E" w:rsidRPr="00B47352">
        <w:rPr>
          <w:b w:val="0"/>
          <w:highlight w:val="green"/>
          <w:lang w:eastAsia="de-DE"/>
        </w:rPr>
        <w:t xml:space="preserve"> der Jahre 2008 und 2009 belaufen sich somit auf 95‘703‘313 Franken. Unter Anwendung des neuen Abgeltungssatzes von 24,31 Prozent und unter Berücksichtigung einer im Jahr 2009 mit Vorbehalt </w:t>
      </w:r>
      <w:r w:rsidR="00C95761" w:rsidRPr="00B47352">
        <w:rPr>
          <w:b w:val="0"/>
          <w:highlight w:val="green"/>
          <w:lang w:eastAsia="de-DE"/>
        </w:rPr>
        <w:t>ausgezahlten Summe von 8‘828‘389 Franken verbleibt eine Abgeltungssumme von 14‘437‘086 Franken. Hinzu kommt ein Abgeltungsbetrag in Höhe von 2‘191‘810 Franken. Dieser errechnet sich aus den in den Jahren 2005 bis 2008 versehentlich nicht in die Abgeltungsberechnungen eingeflossen</w:t>
      </w:r>
      <w:r w:rsidR="00C06A2E" w:rsidRPr="00B47352">
        <w:rPr>
          <w:b w:val="0"/>
          <w:highlight w:val="green"/>
          <w:lang w:eastAsia="de-DE"/>
        </w:rPr>
        <w:t>en</w:t>
      </w:r>
      <w:r w:rsidR="00C95761" w:rsidRPr="00B47352">
        <w:rPr>
          <w:b w:val="0"/>
          <w:highlight w:val="green"/>
          <w:lang w:eastAsia="de-DE"/>
        </w:rPr>
        <w:t xml:space="preserve"> Personalkosten</w:t>
      </w:r>
      <w:r w:rsidR="00175E30" w:rsidRPr="00B47352">
        <w:rPr>
          <w:b w:val="0"/>
          <w:highlight w:val="green"/>
          <w:lang w:eastAsia="de-DE"/>
        </w:rPr>
        <w:t xml:space="preserve"> </w:t>
      </w:r>
      <w:r w:rsidR="00C95761" w:rsidRPr="00B47352">
        <w:rPr>
          <w:b w:val="0"/>
          <w:highlight w:val="green"/>
          <w:lang w:eastAsia="de-DE"/>
        </w:rPr>
        <w:t>von 9‘016‘083 Franken.</w:t>
      </w:r>
    </w:p>
    <w:p w14:paraId="4C55EBC8" w14:textId="77777777" w:rsidR="00EE6DC1" w:rsidRPr="00B47352" w:rsidRDefault="00093363" w:rsidP="009C195E">
      <w:pPr>
        <w:pStyle w:val="Formatvorlage4"/>
        <w:spacing w:before="120" w:after="120"/>
        <w:rPr>
          <w:b w:val="0"/>
          <w:highlight w:val="green"/>
          <w:lang w:eastAsia="de-DE"/>
        </w:rPr>
      </w:pPr>
      <w:r w:rsidRPr="00B47352">
        <w:rPr>
          <w:b w:val="0"/>
          <w:highlight w:val="green"/>
          <w:lang w:eastAsia="de-DE"/>
        </w:rPr>
        <w:t xml:space="preserve">Aufgrund der </w:t>
      </w:r>
      <w:r w:rsidR="00317F0F" w:rsidRPr="00B47352">
        <w:rPr>
          <w:b w:val="0"/>
          <w:highlight w:val="green"/>
          <w:lang w:eastAsia="de-DE"/>
        </w:rPr>
        <w:t>vorgelegenen</w:t>
      </w:r>
      <w:r w:rsidRPr="00B47352">
        <w:rPr>
          <w:b w:val="0"/>
          <w:highlight w:val="green"/>
          <w:lang w:eastAsia="de-DE"/>
        </w:rPr>
        <w:t xml:space="preserve"> Dokumente konnten die Zahlenwerte </w:t>
      </w:r>
      <w:r w:rsidR="00317F0F" w:rsidRPr="00B47352">
        <w:rPr>
          <w:b w:val="0"/>
          <w:highlight w:val="green"/>
          <w:lang w:eastAsia="de-DE"/>
        </w:rPr>
        <w:t xml:space="preserve">plausibilisiert werden. </w:t>
      </w:r>
    </w:p>
    <w:p w14:paraId="17432536" w14:textId="77777777" w:rsidR="00D1542F" w:rsidRPr="00B47352" w:rsidRDefault="00D1542F" w:rsidP="00D1542F">
      <w:pPr>
        <w:pStyle w:val="Formatvorlage2"/>
        <w:spacing w:before="360"/>
        <w:ind w:left="862" w:hanging="862"/>
        <w:rPr>
          <w:highlight w:val="green"/>
        </w:rPr>
      </w:pPr>
      <w:bookmarkStart w:id="251" w:name="_Toc356294710"/>
      <w:r w:rsidRPr="00B47352">
        <w:rPr>
          <w:highlight w:val="green"/>
        </w:rPr>
        <w:t>Umbauphase zwischen Rückbauetappe 1 und 2</w:t>
      </w:r>
      <w:bookmarkEnd w:id="251"/>
    </w:p>
    <w:p w14:paraId="05F73C06" w14:textId="77777777" w:rsidR="00D1542F" w:rsidRPr="00B47352" w:rsidRDefault="00D1542F" w:rsidP="00D1542F">
      <w:pPr>
        <w:pStyle w:val="Formatvorlage4"/>
        <w:spacing w:before="120" w:after="120"/>
        <w:rPr>
          <w:b w:val="0"/>
          <w:highlight w:val="green"/>
          <w:lang w:eastAsia="de-DE"/>
        </w:rPr>
      </w:pPr>
      <w:r w:rsidRPr="00B47352">
        <w:rPr>
          <w:b w:val="0"/>
          <w:highlight w:val="green"/>
          <w:lang w:eastAsia="de-DE"/>
        </w:rPr>
        <w:t>In der Umbauphase gab es keine Entsorgungsaktivitäten. Der Umbau erfolgte grösstenteils im Jahr 20</w:t>
      </w:r>
      <w:r w:rsidR="0037677B" w:rsidRPr="00B47352">
        <w:rPr>
          <w:b w:val="0"/>
          <w:highlight w:val="green"/>
          <w:lang w:eastAsia="de-DE"/>
        </w:rPr>
        <w:t>10. Hierfür erhielt das BAFU von der</w:t>
      </w:r>
      <w:r w:rsidRPr="00B47352">
        <w:rPr>
          <w:b w:val="0"/>
          <w:highlight w:val="green"/>
          <w:lang w:eastAsia="de-DE"/>
        </w:rPr>
        <w:t xml:space="preserve"> </w:t>
      </w:r>
      <w:proofErr w:type="spellStart"/>
      <w:r w:rsidRPr="00B47352">
        <w:rPr>
          <w:b w:val="0"/>
          <w:highlight w:val="green"/>
          <w:lang w:eastAsia="de-DE"/>
        </w:rPr>
        <w:t>AfU</w:t>
      </w:r>
      <w:proofErr w:type="spellEnd"/>
      <w:r w:rsidRPr="00B47352">
        <w:rPr>
          <w:b w:val="0"/>
          <w:highlight w:val="green"/>
          <w:lang w:eastAsia="de-DE"/>
        </w:rPr>
        <w:t xml:space="preserve"> des Kantons Aargau ein vom 16. Dezember 2011 datiertes Auszahlungsgesuch. </w:t>
      </w:r>
      <w:r w:rsidR="00DB5E35" w:rsidRPr="00B47352">
        <w:rPr>
          <w:b w:val="0"/>
          <w:highlight w:val="green"/>
          <w:lang w:eastAsia="de-DE"/>
        </w:rPr>
        <w:t>Die anrechenbaren Kosten werden mit 31‘978‘050 Franken beziffert. Die Kosten sind grundsätzlich im vorliegenden Zusicherungsbetrag enthalten. Sie werden im Laufe der nächsten Monate geprüft und der Abgeltungsbetrag mit einer separaten Auszahlungsverfügung ausbezahlt.</w:t>
      </w:r>
      <w:r w:rsidR="00C06A2E" w:rsidRPr="00B47352">
        <w:rPr>
          <w:b w:val="0"/>
          <w:highlight w:val="green"/>
          <w:lang w:eastAsia="de-DE"/>
        </w:rPr>
        <w:t xml:space="preserve"> </w:t>
      </w:r>
    </w:p>
    <w:p w14:paraId="78C65684" w14:textId="77777777" w:rsidR="00D1542F" w:rsidRPr="00B47352" w:rsidRDefault="002055B4" w:rsidP="002055B4">
      <w:pPr>
        <w:pStyle w:val="Formatvorlage2"/>
        <w:spacing w:before="360"/>
        <w:ind w:left="862" w:hanging="862"/>
        <w:rPr>
          <w:highlight w:val="green"/>
        </w:rPr>
      </w:pPr>
      <w:bookmarkStart w:id="252" w:name="_Toc356294711"/>
      <w:r w:rsidRPr="00B47352">
        <w:rPr>
          <w:highlight w:val="green"/>
        </w:rPr>
        <w:t>Rückbauetappe 2 (RE2)</w:t>
      </w:r>
      <w:bookmarkEnd w:id="252"/>
    </w:p>
    <w:p w14:paraId="6BF209D3" w14:textId="77777777" w:rsidR="00B63818" w:rsidRPr="00B47352" w:rsidRDefault="00B63818" w:rsidP="009C195E">
      <w:pPr>
        <w:pStyle w:val="Formatvorlage4"/>
        <w:spacing w:before="120" w:after="120"/>
        <w:rPr>
          <w:b w:val="0"/>
          <w:highlight w:val="green"/>
          <w:lang w:eastAsia="de-DE"/>
        </w:rPr>
      </w:pPr>
      <w:r w:rsidRPr="00B47352">
        <w:rPr>
          <w:b w:val="0"/>
          <w:highlight w:val="green"/>
          <w:lang w:eastAsia="de-DE"/>
        </w:rPr>
        <w:t>Im Rahm</w:t>
      </w:r>
      <w:r w:rsidR="00F134D1" w:rsidRPr="00B47352">
        <w:rPr>
          <w:b w:val="0"/>
          <w:highlight w:val="green"/>
          <w:lang w:eastAsia="de-DE"/>
        </w:rPr>
        <w:t>en der Rückbauetappe 2 sind aller Voraussicht nach</w:t>
      </w:r>
      <w:r w:rsidRPr="00B47352">
        <w:rPr>
          <w:b w:val="0"/>
          <w:highlight w:val="green"/>
          <w:lang w:eastAsia="de-DE"/>
        </w:rPr>
        <w:t xml:space="preserve"> 450‘000 Tonnen Abfälle zu entsorgen. Es sind dies Abfälle </w:t>
      </w:r>
      <w:r w:rsidR="00F134D1" w:rsidRPr="00B47352">
        <w:rPr>
          <w:b w:val="0"/>
          <w:highlight w:val="green"/>
          <w:lang w:eastAsia="de-DE"/>
        </w:rPr>
        <w:t>aus der Deponiedeckschicht (</w:t>
      </w:r>
      <w:r w:rsidRPr="00B47352">
        <w:rPr>
          <w:b w:val="0"/>
          <w:highlight w:val="green"/>
          <w:lang w:eastAsia="de-DE"/>
        </w:rPr>
        <w:t xml:space="preserve">22‘000 t), </w:t>
      </w:r>
      <w:r w:rsidR="00F134D1" w:rsidRPr="00B47352">
        <w:rPr>
          <w:b w:val="0"/>
          <w:highlight w:val="green"/>
          <w:lang w:eastAsia="de-DE"/>
        </w:rPr>
        <w:t>aus dem Deponiekörper (</w:t>
      </w:r>
      <w:r w:rsidRPr="00B47352">
        <w:rPr>
          <w:b w:val="0"/>
          <w:highlight w:val="green"/>
          <w:lang w:eastAsia="de-DE"/>
        </w:rPr>
        <w:t>363‘000 t) und a</w:t>
      </w:r>
      <w:r w:rsidR="00F134D1" w:rsidRPr="00B47352">
        <w:rPr>
          <w:b w:val="0"/>
          <w:highlight w:val="green"/>
          <w:lang w:eastAsia="de-DE"/>
        </w:rPr>
        <w:t>us der Deponiesohle (</w:t>
      </w:r>
      <w:r w:rsidRPr="00B47352">
        <w:rPr>
          <w:b w:val="0"/>
          <w:highlight w:val="green"/>
          <w:lang w:eastAsia="de-DE"/>
        </w:rPr>
        <w:t>65‘</w:t>
      </w:r>
      <w:r w:rsidR="005D4840" w:rsidRPr="00B47352">
        <w:rPr>
          <w:b w:val="0"/>
          <w:highlight w:val="green"/>
          <w:lang w:eastAsia="de-DE"/>
        </w:rPr>
        <w:t>000 t).</w:t>
      </w:r>
    </w:p>
    <w:p w14:paraId="3F6FD7DE" w14:textId="77777777" w:rsidR="00EE6DC1" w:rsidRPr="00B47352" w:rsidRDefault="00A13A13" w:rsidP="009C195E">
      <w:pPr>
        <w:pStyle w:val="Formatvorlage4"/>
        <w:spacing w:before="120" w:after="120"/>
        <w:rPr>
          <w:b w:val="0"/>
          <w:highlight w:val="green"/>
          <w:lang w:eastAsia="de-DE"/>
        </w:rPr>
      </w:pPr>
      <w:r w:rsidRPr="00B47352">
        <w:rPr>
          <w:b w:val="0"/>
          <w:highlight w:val="green"/>
          <w:lang w:eastAsia="de-DE"/>
        </w:rPr>
        <w:t>Die Rückbauetappe 2 wurde zunächst mit einer Vorphase gestartet (Test der Anlagen, Geräte und Arbeitsprozesse). Es folgte eine Versuchsphase, die dazu diente, die Projektänderungen auf ihre Eignung zu überprüfen. Dies galt insbesondere für die neu ausgearbeitete</w:t>
      </w:r>
      <w:r w:rsidR="00C06A2E" w:rsidRPr="00B47352">
        <w:rPr>
          <w:b w:val="0"/>
          <w:highlight w:val="green"/>
          <w:lang w:eastAsia="de-DE"/>
        </w:rPr>
        <w:t>n</w:t>
      </w:r>
      <w:r w:rsidRPr="00B47352">
        <w:rPr>
          <w:b w:val="0"/>
          <w:highlight w:val="green"/>
          <w:lang w:eastAsia="de-DE"/>
        </w:rPr>
        <w:t xml:space="preserve"> Probenahme</w:t>
      </w:r>
      <w:r w:rsidR="00C06A2E" w:rsidRPr="00B47352">
        <w:rPr>
          <w:b w:val="0"/>
          <w:highlight w:val="green"/>
          <w:lang w:eastAsia="de-DE"/>
        </w:rPr>
        <w:t>n</w:t>
      </w:r>
      <w:r w:rsidRPr="00B47352">
        <w:rPr>
          <w:b w:val="0"/>
          <w:highlight w:val="green"/>
          <w:lang w:eastAsia="de-DE"/>
        </w:rPr>
        <w:t>, die Abfallbehandlung im Bodenannahmeze</w:t>
      </w:r>
      <w:r w:rsidR="0059019F" w:rsidRPr="00B47352">
        <w:rPr>
          <w:b w:val="0"/>
          <w:highlight w:val="green"/>
          <w:lang w:eastAsia="de-DE"/>
        </w:rPr>
        <w:t>ntrum Oberglatt (BAZO) sowie</w:t>
      </w:r>
      <w:r w:rsidR="00F134D1" w:rsidRPr="00B47352">
        <w:rPr>
          <w:b w:val="0"/>
          <w:highlight w:val="green"/>
          <w:lang w:eastAsia="de-DE"/>
        </w:rPr>
        <w:t xml:space="preserve"> für</w:t>
      </w:r>
      <w:r w:rsidR="0059019F" w:rsidRPr="00B47352">
        <w:rPr>
          <w:b w:val="0"/>
          <w:highlight w:val="green"/>
          <w:lang w:eastAsia="de-DE"/>
        </w:rPr>
        <w:t xml:space="preserve"> den</w:t>
      </w:r>
      <w:r w:rsidRPr="00B47352">
        <w:rPr>
          <w:b w:val="0"/>
          <w:highlight w:val="green"/>
          <w:lang w:eastAsia="de-DE"/>
        </w:rPr>
        <w:t xml:space="preserve"> Rückbau. </w:t>
      </w:r>
      <w:r w:rsidR="00791CB1" w:rsidRPr="00B47352">
        <w:rPr>
          <w:b w:val="0"/>
          <w:highlight w:val="green"/>
          <w:lang w:eastAsia="de-DE"/>
        </w:rPr>
        <w:t xml:space="preserve">Momentan befindet sich </w:t>
      </w:r>
      <w:r w:rsidR="00B63818" w:rsidRPr="00B47352">
        <w:rPr>
          <w:b w:val="0"/>
          <w:highlight w:val="green"/>
          <w:lang w:eastAsia="de-DE"/>
        </w:rPr>
        <w:t xml:space="preserve">die </w:t>
      </w:r>
      <w:r w:rsidR="00CB05D4" w:rsidRPr="00B47352">
        <w:rPr>
          <w:b w:val="0"/>
          <w:highlight w:val="green"/>
          <w:lang w:eastAsia="de-DE"/>
        </w:rPr>
        <w:t>Rückbauetappe 2</w:t>
      </w:r>
      <w:r w:rsidR="00791CB1" w:rsidRPr="00B47352">
        <w:rPr>
          <w:b w:val="0"/>
          <w:highlight w:val="green"/>
          <w:lang w:eastAsia="de-DE"/>
        </w:rPr>
        <w:t xml:space="preserve"> in der Prüfphase.</w:t>
      </w:r>
      <w:r w:rsidR="009D76D9" w:rsidRPr="00B47352">
        <w:rPr>
          <w:b w:val="0"/>
          <w:highlight w:val="green"/>
          <w:lang w:eastAsia="de-DE"/>
        </w:rPr>
        <w:t xml:space="preserve"> Gemäss den Bestimmungen der Artikel 26 Absatz 2 und Artikel 27 </w:t>
      </w:r>
      <w:proofErr w:type="spellStart"/>
      <w:r w:rsidR="009D76D9" w:rsidRPr="00B47352">
        <w:rPr>
          <w:b w:val="0"/>
          <w:highlight w:val="green"/>
          <w:lang w:eastAsia="de-DE"/>
        </w:rPr>
        <w:t>SuG</w:t>
      </w:r>
      <w:proofErr w:type="spellEnd"/>
      <w:r w:rsidR="009D76D9" w:rsidRPr="00B47352">
        <w:rPr>
          <w:b w:val="0"/>
          <w:highlight w:val="green"/>
          <w:lang w:eastAsia="de-DE"/>
        </w:rPr>
        <w:t xml:space="preserve"> kan</w:t>
      </w:r>
      <w:r w:rsidR="00CB05D4" w:rsidRPr="00B47352">
        <w:rPr>
          <w:b w:val="0"/>
          <w:highlight w:val="green"/>
          <w:lang w:eastAsia="de-DE"/>
        </w:rPr>
        <w:t xml:space="preserve">n die Rückbauetappe </w:t>
      </w:r>
      <w:r w:rsidR="009D76D9" w:rsidRPr="00B47352">
        <w:rPr>
          <w:b w:val="0"/>
          <w:highlight w:val="green"/>
          <w:lang w:eastAsia="de-DE"/>
        </w:rPr>
        <w:t>2 erst mit dem Inkrafttreten der</w:t>
      </w:r>
      <w:r w:rsidR="00791CB1" w:rsidRPr="00B47352">
        <w:rPr>
          <w:b w:val="0"/>
          <w:highlight w:val="green"/>
          <w:lang w:eastAsia="de-DE"/>
        </w:rPr>
        <w:t xml:space="preserve"> Zusicherungsverfü</w:t>
      </w:r>
      <w:r w:rsidR="009D76D9" w:rsidRPr="00B47352">
        <w:rPr>
          <w:b w:val="0"/>
          <w:highlight w:val="green"/>
          <w:lang w:eastAsia="de-DE"/>
        </w:rPr>
        <w:t xml:space="preserve">gung </w:t>
      </w:r>
      <w:r w:rsidR="00791CB1" w:rsidRPr="00B47352">
        <w:rPr>
          <w:b w:val="0"/>
          <w:highlight w:val="green"/>
          <w:lang w:eastAsia="de-DE"/>
        </w:rPr>
        <w:t>in d</w:t>
      </w:r>
      <w:r w:rsidR="009D76D9" w:rsidRPr="00B47352">
        <w:rPr>
          <w:b w:val="0"/>
          <w:highlight w:val="green"/>
          <w:lang w:eastAsia="de-DE"/>
        </w:rPr>
        <w:t>ie Hauptphase übergehen.</w:t>
      </w:r>
    </w:p>
    <w:p w14:paraId="40B92EFF" w14:textId="77777777" w:rsidR="00CB05D4" w:rsidRPr="00B47352" w:rsidRDefault="00CC055F" w:rsidP="009C195E">
      <w:pPr>
        <w:pStyle w:val="Formatvorlage4"/>
        <w:spacing w:before="120" w:after="120"/>
        <w:rPr>
          <w:b w:val="0"/>
          <w:highlight w:val="green"/>
          <w:lang w:eastAsia="de-DE"/>
        </w:rPr>
      </w:pPr>
      <w:r w:rsidRPr="00B47352">
        <w:rPr>
          <w:b w:val="0"/>
          <w:highlight w:val="green"/>
          <w:lang w:eastAsia="de-DE"/>
        </w:rPr>
        <w:t>In der Hauptphase sollen die mit dem Nachtragsgesu</w:t>
      </w:r>
      <w:r w:rsidR="00CB05D4" w:rsidRPr="00B47352">
        <w:rPr>
          <w:b w:val="0"/>
          <w:highlight w:val="green"/>
          <w:lang w:eastAsia="de-DE"/>
        </w:rPr>
        <w:t>ch dargelegten Projektanpassungen</w:t>
      </w:r>
      <w:r w:rsidRPr="00B47352">
        <w:rPr>
          <w:b w:val="0"/>
          <w:highlight w:val="green"/>
          <w:lang w:eastAsia="de-DE"/>
        </w:rPr>
        <w:t xml:space="preserve"> wirksam werden.</w:t>
      </w:r>
      <w:r w:rsidR="00AE3FE6" w:rsidRPr="00B47352">
        <w:rPr>
          <w:b w:val="0"/>
          <w:highlight w:val="green"/>
          <w:lang w:eastAsia="de-DE"/>
        </w:rPr>
        <w:t xml:space="preserve"> Die Projektänderungen basieren auf den Erkenntnissen und Erfahrungen</w:t>
      </w:r>
      <w:r w:rsidR="003C1389" w:rsidRPr="00B47352">
        <w:rPr>
          <w:b w:val="0"/>
          <w:highlight w:val="green"/>
          <w:lang w:eastAsia="de-DE"/>
        </w:rPr>
        <w:t xml:space="preserve"> aus der </w:t>
      </w:r>
      <w:r w:rsidR="00EF10BA" w:rsidRPr="00B47352">
        <w:rPr>
          <w:b w:val="0"/>
          <w:highlight w:val="green"/>
          <w:lang w:eastAsia="de-DE"/>
        </w:rPr>
        <w:t>ersten Rückbauetappe.</w:t>
      </w:r>
      <w:r w:rsidR="00CB05D4" w:rsidRPr="00B47352">
        <w:rPr>
          <w:b w:val="0"/>
          <w:highlight w:val="green"/>
          <w:lang w:eastAsia="de-DE"/>
        </w:rPr>
        <w:t xml:space="preserve"> </w:t>
      </w:r>
      <w:r w:rsidR="00DF2051" w:rsidRPr="00B47352">
        <w:rPr>
          <w:b w:val="0"/>
          <w:highlight w:val="green"/>
          <w:lang w:eastAsia="de-DE"/>
        </w:rPr>
        <w:t>Anlass für d</w:t>
      </w:r>
      <w:r w:rsidR="00CB05D4" w:rsidRPr="00B47352">
        <w:rPr>
          <w:b w:val="0"/>
          <w:highlight w:val="green"/>
          <w:lang w:eastAsia="de-DE"/>
        </w:rPr>
        <w:t xml:space="preserve">ie </w:t>
      </w:r>
      <w:r w:rsidR="00DF2051" w:rsidRPr="00B47352">
        <w:rPr>
          <w:b w:val="0"/>
          <w:highlight w:val="green"/>
          <w:lang w:eastAsia="de-DE"/>
        </w:rPr>
        <w:t>heraufgesetzte</w:t>
      </w:r>
      <w:r w:rsidR="00CB05D4" w:rsidRPr="00B47352">
        <w:rPr>
          <w:b w:val="0"/>
          <w:highlight w:val="green"/>
          <w:lang w:eastAsia="de-DE"/>
        </w:rPr>
        <w:t xml:space="preserve"> Kosten</w:t>
      </w:r>
      <w:r w:rsidR="004E12AC" w:rsidRPr="00B47352">
        <w:rPr>
          <w:b w:val="0"/>
          <w:highlight w:val="green"/>
          <w:lang w:eastAsia="de-DE"/>
        </w:rPr>
        <w:t>prognose gaben</w:t>
      </w:r>
      <w:r w:rsidR="00DF2051" w:rsidRPr="00B47352">
        <w:rPr>
          <w:b w:val="0"/>
          <w:highlight w:val="green"/>
          <w:lang w:eastAsia="de-DE"/>
        </w:rPr>
        <w:t xml:space="preserve"> im Wesentlichen</w:t>
      </w:r>
      <w:r w:rsidR="00CB05D4" w:rsidRPr="00B47352">
        <w:rPr>
          <w:b w:val="0"/>
          <w:highlight w:val="green"/>
          <w:lang w:eastAsia="de-DE"/>
        </w:rPr>
        <w:t xml:space="preserve"> folgenden Fakto</w:t>
      </w:r>
      <w:r w:rsidR="00DF2051" w:rsidRPr="00B47352">
        <w:rPr>
          <w:b w:val="0"/>
          <w:highlight w:val="green"/>
          <w:lang w:eastAsia="de-DE"/>
        </w:rPr>
        <w:t>ren</w:t>
      </w:r>
      <w:r w:rsidR="00CB05D4" w:rsidRPr="00B47352">
        <w:rPr>
          <w:b w:val="0"/>
          <w:highlight w:val="green"/>
          <w:lang w:eastAsia="de-DE"/>
        </w:rPr>
        <w:t>:</w:t>
      </w:r>
    </w:p>
    <w:p w14:paraId="1B4CD431" w14:textId="77777777" w:rsidR="00A13A13" w:rsidRPr="00B47352" w:rsidRDefault="009644D2" w:rsidP="00913BC9">
      <w:pPr>
        <w:pStyle w:val="Listenabsatz"/>
        <w:numPr>
          <w:ilvl w:val="0"/>
          <w:numId w:val="12"/>
        </w:numPr>
        <w:spacing w:before="240" w:after="60" w:line="240" w:lineRule="auto"/>
        <w:ind w:left="357" w:hanging="357"/>
        <w:contextualSpacing w:val="0"/>
        <w:rPr>
          <w:highlight w:val="green"/>
          <w:lang w:eastAsia="de-DE"/>
        </w:rPr>
      </w:pPr>
      <w:r w:rsidRPr="00B47352">
        <w:rPr>
          <w:highlight w:val="green"/>
          <w:lang w:eastAsia="de-DE"/>
        </w:rPr>
        <w:t>Querkontaminationen im Deponiekörper führen zu aufwändiger und damit teurerer Entsorgung der Abfälle,</w:t>
      </w:r>
    </w:p>
    <w:p w14:paraId="6D751053" w14:textId="77777777" w:rsidR="009644D2" w:rsidRPr="00B47352" w:rsidRDefault="009644D2" w:rsidP="00913BC9">
      <w:pPr>
        <w:pStyle w:val="Listenabsatz"/>
        <w:numPr>
          <w:ilvl w:val="0"/>
          <w:numId w:val="12"/>
        </w:numPr>
        <w:spacing w:before="120" w:after="60" w:line="240" w:lineRule="auto"/>
        <w:ind w:left="357" w:hanging="357"/>
        <w:contextualSpacing w:val="0"/>
        <w:rPr>
          <w:highlight w:val="green"/>
          <w:lang w:eastAsia="de-DE"/>
        </w:rPr>
      </w:pPr>
      <w:r w:rsidRPr="00B47352">
        <w:rPr>
          <w:highlight w:val="green"/>
          <w:lang w:eastAsia="de-DE"/>
        </w:rPr>
        <w:t>Behandlung der Abfälle im Bodenannahmezentrum Oberglatt (BAZO) führen zu höheren Entsorgungskosten,</w:t>
      </w:r>
    </w:p>
    <w:p w14:paraId="3F0026A8" w14:textId="77777777" w:rsidR="00A13A13" w:rsidRPr="00B47352" w:rsidRDefault="009644D2" w:rsidP="00913BC9">
      <w:pPr>
        <w:pStyle w:val="Listenabsatz"/>
        <w:numPr>
          <w:ilvl w:val="0"/>
          <w:numId w:val="12"/>
        </w:numPr>
        <w:spacing w:before="120" w:after="60" w:line="240" w:lineRule="auto"/>
        <w:ind w:left="357" w:hanging="357"/>
        <w:contextualSpacing w:val="0"/>
        <w:rPr>
          <w:highlight w:val="green"/>
          <w:lang w:eastAsia="de-DE"/>
        </w:rPr>
      </w:pPr>
      <w:r w:rsidRPr="00B47352">
        <w:rPr>
          <w:highlight w:val="green"/>
          <w:lang w:eastAsia="de-DE"/>
        </w:rPr>
        <w:t>Erhöhte Sicherheitsanforderungen aufgrund von Brandereignissen und Explosionsschutz,</w:t>
      </w:r>
    </w:p>
    <w:p w14:paraId="03D7C118" w14:textId="77777777" w:rsidR="009644D2" w:rsidRPr="00B47352" w:rsidRDefault="009644D2" w:rsidP="00913BC9">
      <w:pPr>
        <w:pStyle w:val="Listenabsatz"/>
        <w:numPr>
          <w:ilvl w:val="0"/>
          <w:numId w:val="12"/>
        </w:numPr>
        <w:spacing w:before="120" w:after="60" w:line="240" w:lineRule="auto"/>
        <w:ind w:left="357" w:hanging="357"/>
        <w:contextualSpacing w:val="0"/>
        <w:rPr>
          <w:highlight w:val="green"/>
          <w:lang w:eastAsia="de-DE"/>
        </w:rPr>
      </w:pPr>
      <w:r w:rsidRPr="00B47352">
        <w:rPr>
          <w:highlight w:val="green"/>
          <w:lang w:eastAsia="de-DE"/>
        </w:rPr>
        <w:lastRenderedPageBreak/>
        <w:t>Stärker belastete Hallenluft als vorhergesehen erfordert</w:t>
      </w:r>
      <w:r w:rsidR="005D4840" w:rsidRPr="00B47352">
        <w:rPr>
          <w:highlight w:val="green"/>
          <w:lang w:eastAsia="de-DE"/>
        </w:rPr>
        <w:t xml:space="preserve"> eine Nachrüstung der Abl</w:t>
      </w:r>
      <w:r w:rsidRPr="00B47352">
        <w:rPr>
          <w:highlight w:val="green"/>
          <w:lang w:eastAsia="de-DE"/>
        </w:rPr>
        <w:t>uftbehandlungsanlage,</w:t>
      </w:r>
    </w:p>
    <w:p w14:paraId="071762D4" w14:textId="77777777" w:rsidR="009644D2" w:rsidRPr="00B47352" w:rsidRDefault="009644D2" w:rsidP="00913BC9">
      <w:pPr>
        <w:pStyle w:val="Listenabsatz"/>
        <w:numPr>
          <w:ilvl w:val="0"/>
          <w:numId w:val="12"/>
        </w:numPr>
        <w:spacing w:before="120" w:after="240" w:line="240" w:lineRule="auto"/>
        <w:ind w:left="357" w:hanging="357"/>
        <w:contextualSpacing w:val="0"/>
        <w:rPr>
          <w:highlight w:val="green"/>
          <w:lang w:eastAsia="de-DE"/>
        </w:rPr>
      </w:pPr>
      <w:r w:rsidRPr="00B47352">
        <w:rPr>
          <w:highlight w:val="green"/>
          <w:lang w:eastAsia="de-DE"/>
        </w:rPr>
        <w:t>Mehraufwand bei der Probenahme und Analytik.</w:t>
      </w:r>
    </w:p>
    <w:p w14:paraId="27371FD5" w14:textId="77777777" w:rsidR="00A26A7D" w:rsidRPr="00B47352" w:rsidRDefault="00E458A6" w:rsidP="005D4840">
      <w:pPr>
        <w:pStyle w:val="Formatvorlage4"/>
        <w:spacing w:before="120" w:after="120"/>
        <w:rPr>
          <w:b w:val="0"/>
          <w:highlight w:val="green"/>
          <w:lang w:eastAsia="de-DE"/>
        </w:rPr>
      </w:pPr>
      <w:r w:rsidRPr="00B47352">
        <w:rPr>
          <w:b w:val="0"/>
          <w:highlight w:val="green"/>
          <w:lang w:eastAsia="de-DE"/>
        </w:rPr>
        <w:t>Mit kritischer Haltung begegnet d</w:t>
      </w:r>
      <w:r w:rsidR="00DB3EF0" w:rsidRPr="00B47352">
        <w:rPr>
          <w:b w:val="0"/>
          <w:highlight w:val="green"/>
          <w:lang w:eastAsia="de-DE"/>
        </w:rPr>
        <w:t xml:space="preserve">as BAFU der </w:t>
      </w:r>
      <w:r w:rsidR="003959C5" w:rsidRPr="00B47352">
        <w:rPr>
          <w:b w:val="0"/>
          <w:highlight w:val="green"/>
          <w:lang w:eastAsia="de-DE"/>
        </w:rPr>
        <w:t xml:space="preserve">Frage </w:t>
      </w:r>
      <w:r w:rsidRPr="00B47352">
        <w:rPr>
          <w:b w:val="0"/>
          <w:highlight w:val="green"/>
          <w:lang w:eastAsia="de-DE"/>
        </w:rPr>
        <w:t xml:space="preserve">nach </w:t>
      </w:r>
      <w:r w:rsidR="003959C5" w:rsidRPr="00B47352">
        <w:rPr>
          <w:b w:val="0"/>
          <w:highlight w:val="green"/>
          <w:lang w:eastAsia="de-DE"/>
        </w:rPr>
        <w:t>der Notwendig</w:t>
      </w:r>
      <w:r w:rsidR="004E34CA" w:rsidRPr="00B47352">
        <w:rPr>
          <w:b w:val="0"/>
          <w:highlight w:val="green"/>
          <w:lang w:eastAsia="de-DE"/>
        </w:rPr>
        <w:t>keit der Vorb</w:t>
      </w:r>
      <w:r w:rsidR="003959C5" w:rsidRPr="00B47352">
        <w:rPr>
          <w:b w:val="0"/>
          <w:highlight w:val="green"/>
          <w:lang w:eastAsia="de-DE"/>
        </w:rPr>
        <w:t xml:space="preserve">ehandlung der Abfälle im Bodenannahmezentrum Oberglatt. </w:t>
      </w:r>
      <w:r w:rsidR="00A26A7D" w:rsidRPr="00B47352">
        <w:rPr>
          <w:b w:val="0"/>
          <w:highlight w:val="green"/>
          <w:lang w:eastAsia="de-DE"/>
        </w:rPr>
        <w:t>Es vertritt die Auffassung, dass eine direkte Entsorgung</w:t>
      </w:r>
      <w:r w:rsidR="004E34CA" w:rsidRPr="00B47352">
        <w:rPr>
          <w:b w:val="0"/>
          <w:highlight w:val="green"/>
          <w:lang w:eastAsia="de-DE"/>
        </w:rPr>
        <w:t xml:space="preserve"> </w:t>
      </w:r>
      <w:r w:rsidR="007307A0" w:rsidRPr="00B47352">
        <w:rPr>
          <w:b w:val="0"/>
          <w:highlight w:val="green"/>
          <w:lang w:eastAsia="de-DE"/>
        </w:rPr>
        <w:t xml:space="preserve">in ausländischen thermischen Anlagen grundsätzlich möglich wäre. Dagegen anerkennt das BAFU </w:t>
      </w:r>
      <w:r w:rsidR="00E7609B" w:rsidRPr="00B47352">
        <w:rPr>
          <w:b w:val="0"/>
          <w:highlight w:val="green"/>
          <w:lang w:eastAsia="de-DE"/>
        </w:rPr>
        <w:t>(</w:t>
      </w:r>
      <w:r w:rsidR="007307A0" w:rsidRPr="00B47352">
        <w:rPr>
          <w:b w:val="0"/>
          <w:highlight w:val="green"/>
          <w:lang w:eastAsia="de-DE"/>
        </w:rPr>
        <w:t>a</w:t>
      </w:r>
      <w:r w:rsidR="00E7609B" w:rsidRPr="00B47352">
        <w:rPr>
          <w:b w:val="0"/>
          <w:highlight w:val="green"/>
          <w:lang w:eastAsia="de-DE"/>
        </w:rPr>
        <w:t>uch unter Berücksichtigung des hierzu erstellten</w:t>
      </w:r>
      <w:r w:rsidR="007307A0" w:rsidRPr="00B47352">
        <w:rPr>
          <w:b w:val="0"/>
          <w:highlight w:val="green"/>
          <w:lang w:eastAsia="de-DE"/>
        </w:rPr>
        <w:t xml:space="preserve"> Gutachtens von Professor Dr.-Ing. P. Doetsch</w:t>
      </w:r>
      <w:r w:rsidR="00E7609B" w:rsidRPr="00B47352">
        <w:rPr>
          <w:b w:val="0"/>
          <w:highlight w:val="green"/>
          <w:lang w:eastAsia="de-DE"/>
        </w:rPr>
        <w:t xml:space="preserve"> vom 10.8.2010)</w:t>
      </w:r>
      <w:r w:rsidR="007307A0" w:rsidRPr="00B47352">
        <w:rPr>
          <w:b w:val="0"/>
          <w:highlight w:val="green"/>
          <w:lang w:eastAsia="de-DE"/>
        </w:rPr>
        <w:t>, dass mit der Vorbehandlung die Entsorgungssich</w:t>
      </w:r>
      <w:r w:rsidR="00A26A03" w:rsidRPr="00B47352">
        <w:rPr>
          <w:b w:val="0"/>
          <w:highlight w:val="green"/>
          <w:lang w:eastAsia="de-DE"/>
        </w:rPr>
        <w:t>erheit verbessert und somit ein</w:t>
      </w:r>
      <w:r w:rsidR="007307A0" w:rsidRPr="00B47352">
        <w:rPr>
          <w:b w:val="0"/>
          <w:highlight w:val="green"/>
          <w:lang w:eastAsia="de-DE"/>
        </w:rPr>
        <w:t xml:space="preserve"> ök</w:t>
      </w:r>
      <w:r w:rsidR="009314F0" w:rsidRPr="00B47352">
        <w:rPr>
          <w:b w:val="0"/>
          <w:highlight w:val="green"/>
          <w:lang w:eastAsia="de-DE"/>
        </w:rPr>
        <w:t>ologischer Nutzen erzielt wird.</w:t>
      </w:r>
    </w:p>
    <w:p w14:paraId="08CCE66E" w14:textId="77777777" w:rsidR="004E34CA" w:rsidRPr="00B47352" w:rsidRDefault="004E34CA" w:rsidP="005D4840">
      <w:pPr>
        <w:pStyle w:val="Formatvorlage4"/>
        <w:spacing w:before="120" w:after="120"/>
        <w:rPr>
          <w:b w:val="0"/>
          <w:highlight w:val="green"/>
          <w:lang w:eastAsia="de-DE"/>
        </w:rPr>
      </w:pPr>
      <w:r w:rsidRPr="00B47352">
        <w:rPr>
          <w:b w:val="0"/>
          <w:highlight w:val="green"/>
          <w:lang w:eastAsia="de-DE"/>
        </w:rPr>
        <w:t xml:space="preserve">Es ist ferner zu berücksichtigen, dass </w:t>
      </w:r>
      <w:r w:rsidR="007E0585" w:rsidRPr="00B47352">
        <w:rPr>
          <w:b w:val="0"/>
          <w:highlight w:val="green"/>
          <w:lang w:eastAsia="de-DE"/>
        </w:rPr>
        <w:t xml:space="preserve">sich </w:t>
      </w:r>
      <w:r w:rsidRPr="00B47352">
        <w:rPr>
          <w:b w:val="0"/>
          <w:highlight w:val="green"/>
          <w:lang w:eastAsia="de-DE"/>
        </w:rPr>
        <w:t>die</w:t>
      </w:r>
      <w:r w:rsidR="004E12AC" w:rsidRPr="00B47352">
        <w:rPr>
          <w:b w:val="0"/>
          <w:highlight w:val="green"/>
          <w:lang w:eastAsia="de-DE"/>
        </w:rPr>
        <w:t xml:space="preserve"> effektiven Entsorgungskosten als Folge der Vorbehandlung verringern, da</w:t>
      </w:r>
      <w:r w:rsidRPr="00B47352">
        <w:rPr>
          <w:b w:val="0"/>
          <w:highlight w:val="green"/>
          <w:lang w:eastAsia="de-DE"/>
        </w:rPr>
        <w:t xml:space="preserve"> die aussortierte</w:t>
      </w:r>
      <w:r w:rsidR="007E0585" w:rsidRPr="00B47352">
        <w:rPr>
          <w:b w:val="0"/>
          <w:highlight w:val="green"/>
          <w:lang w:eastAsia="de-DE"/>
        </w:rPr>
        <w:t>n</w:t>
      </w:r>
      <w:r w:rsidRPr="00B47352">
        <w:rPr>
          <w:b w:val="0"/>
          <w:highlight w:val="green"/>
          <w:lang w:eastAsia="de-DE"/>
        </w:rPr>
        <w:t xml:space="preserve"> Grobfraktion</w:t>
      </w:r>
      <w:r w:rsidR="007E0585" w:rsidRPr="00B47352">
        <w:rPr>
          <w:b w:val="0"/>
          <w:highlight w:val="green"/>
          <w:lang w:eastAsia="de-DE"/>
        </w:rPr>
        <w:t>en</w:t>
      </w:r>
      <w:r w:rsidRPr="00B47352">
        <w:rPr>
          <w:b w:val="0"/>
          <w:highlight w:val="green"/>
          <w:lang w:eastAsia="de-DE"/>
        </w:rPr>
        <w:t xml:space="preserve"> auf inländischen Oberflächendeponien</w:t>
      </w:r>
      <w:r w:rsidR="007E0585" w:rsidRPr="00B47352">
        <w:rPr>
          <w:b w:val="0"/>
          <w:highlight w:val="green"/>
          <w:lang w:eastAsia="de-DE"/>
        </w:rPr>
        <w:t xml:space="preserve"> kostengünstiger entsorgt werden können. </w:t>
      </w:r>
      <w:r w:rsidR="00897A49" w:rsidRPr="00B47352">
        <w:rPr>
          <w:b w:val="0"/>
          <w:highlight w:val="green"/>
          <w:lang w:eastAsia="de-DE"/>
        </w:rPr>
        <w:t>Zudem können d</w:t>
      </w:r>
      <w:r w:rsidR="007E0585" w:rsidRPr="00B47352">
        <w:rPr>
          <w:b w:val="0"/>
          <w:highlight w:val="green"/>
          <w:lang w:eastAsia="de-DE"/>
        </w:rPr>
        <w:t>ie nach der Vorbehandlung separierten Feinfraktio</w:t>
      </w:r>
      <w:r w:rsidR="00897A49" w:rsidRPr="00B47352">
        <w:rPr>
          <w:b w:val="0"/>
          <w:highlight w:val="green"/>
          <w:lang w:eastAsia="de-DE"/>
        </w:rPr>
        <w:t>nen</w:t>
      </w:r>
      <w:r w:rsidR="001E0A12" w:rsidRPr="00B47352">
        <w:rPr>
          <w:b w:val="0"/>
          <w:highlight w:val="green"/>
          <w:lang w:eastAsia="de-DE"/>
        </w:rPr>
        <w:t xml:space="preserve"> in den dafür geeigneten</w:t>
      </w:r>
      <w:r w:rsidR="007E0585" w:rsidRPr="00B47352">
        <w:rPr>
          <w:b w:val="0"/>
          <w:highlight w:val="green"/>
          <w:lang w:eastAsia="de-DE"/>
        </w:rPr>
        <w:t xml:space="preserve"> ausländischen thermischen </w:t>
      </w:r>
      <w:r w:rsidR="00897A49" w:rsidRPr="00B47352">
        <w:rPr>
          <w:b w:val="0"/>
          <w:highlight w:val="green"/>
          <w:lang w:eastAsia="de-DE"/>
        </w:rPr>
        <w:t xml:space="preserve">Behandlungsanlagen effizienter </w:t>
      </w:r>
      <w:r w:rsidR="007E0585" w:rsidRPr="00B47352">
        <w:rPr>
          <w:b w:val="0"/>
          <w:highlight w:val="green"/>
          <w:lang w:eastAsia="de-DE"/>
        </w:rPr>
        <w:t>behandelt werden.</w:t>
      </w:r>
    </w:p>
    <w:p w14:paraId="37B0B858" w14:textId="77777777" w:rsidR="00A877AE" w:rsidRPr="00B47352" w:rsidRDefault="00A877AE" w:rsidP="005D4840">
      <w:pPr>
        <w:pStyle w:val="Formatvorlage4"/>
        <w:spacing w:before="120" w:after="120"/>
        <w:rPr>
          <w:b w:val="0"/>
          <w:highlight w:val="green"/>
          <w:lang w:eastAsia="de-DE"/>
        </w:rPr>
      </w:pPr>
      <w:r w:rsidRPr="00B47352">
        <w:rPr>
          <w:b w:val="0"/>
          <w:highlight w:val="green"/>
          <w:lang w:eastAsia="de-DE"/>
        </w:rPr>
        <w:t>Die Vorbehandlu</w:t>
      </w:r>
      <w:r w:rsidR="001E0A12" w:rsidRPr="00B47352">
        <w:rPr>
          <w:b w:val="0"/>
          <w:highlight w:val="green"/>
          <w:lang w:eastAsia="de-DE"/>
        </w:rPr>
        <w:t>ng</w:t>
      </w:r>
      <w:r w:rsidRPr="00B47352">
        <w:rPr>
          <w:b w:val="0"/>
          <w:highlight w:val="green"/>
          <w:lang w:eastAsia="de-DE"/>
        </w:rPr>
        <w:t xml:space="preserve"> von D</w:t>
      </w:r>
      <w:r w:rsidR="001E0A12" w:rsidRPr="00B47352">
        <w:rPr>
          <w:b w:val="0"/>
          <w:highlight w:val="green"/>
          <w:lang w:eastAsia="de-DE"/>
        </w:rPr>
        <w:t>eponiekörpermaterial (</w:t>
      </w:r>
      <w:r w:rsidRPr="00B47352">
        <w:rPr>
          <w:b w:val="0"/>
          <w:highlight w:val="green"/>
          <w:lang w:eastAsia="de-DE"/>
        </w:rPr>
        <w:t xml:space="preserve">Abdeckschicht- und </w:t>
      </w:r>
      <w:proofErr w:type="spellStart"/>
      <w:r w:rsidRPr="00B47352">
        <w:rPr>
          <w:b w:val="0"/>
          <w:highlight w:val="green"/>
          <w:lang w:eastAsia="de-DE"/>
        </w:rPr>
        <w:t>Deponiesohlemate</w:t>
      </w:r>
      <w:r w:rsidR="001525F0" w:rsidRPr="00B47352">
        <w:rPr>
          <w:b w:val="0"/>
          <w:highlight w:val="green"/>
          <w:lang w:eastAsia="de-DE"/>
        </w:rPr>
        <w:t>rial</w:t>
      </w:r>
      <w:proofErr w:type="spellEnd"/>
      <w:r w:rsidR="000D35A4" w:rsidRPr="00B47352">
        <w:rPr>
          <w:b w:val="0"/>
          <w:highlight w:val="green"/>
          <w:lang w:eastAsia="de-DE"/>
        </w:rPr>
        <w:t xml:space="preserve"> </w:t>
      </w:r>
      <w:r w:rsidR="001E0A12" w:rsidRPr="00B47352">
        <w:rPr>
          <w:b w:val="0"/>
          <w:highlight w:val="green"/>
          <w:lang w:eastAsia="de-DE"/>
        </w:rPr>
        <w:t xml:space="preserve">ist </w:t>
      </w:r>
      <w:r w:rsidRPr="00B47352">
        <w:rPr>
          <w:b w:val="0"/>
          <w:highlight w:val="green"/>
          <w:lang w:eastAsia="de-DE"/>
        </w:rPr>
        <w:t xml:space="preserve">ausdrücklich ausgeschlossen) wird </w:t>
      </w:r>
      <w:r w:rsidR="0023632A" w:rsidRPr="00B47352">
        <w:rPr>
          <w:b w:val="0"/>
          <w:highlight w:val="green"/>
          <w:lang w:eastAsia="de-DE"/>
        </w:rPr>
        <w:t xml:space="preserve">vom BAFU </w:t>
      </w:r>
      <w:r w:rsidR="004E12AC" w:rsidRPr="00B47352">
        <w:rPr>
          <w:b w:val="0"/>
          <w:highlight w:val="green"/>
          <w:lang w:eastAsia="de-DE"/>
        </w:rPr>
        <w:t xml:space="preserve">schliesslich </w:t>
      </w:r>
      <w:r w:rsidRPr="00B47352">
        <w:rPr>
          <w:b w:val="0"/>
          <w:highlight w:val="green"/>
          <w:lang w:eastAsia="de-DE"/>
        </w:rPr>
        <w:t>unter folgenden Bedingun</w:t>
      </w:r>
      <w:r w:rsidR="001E0A12" w:rsidRPr="00B47352">
        <w:rPr>
          <w:b w:val="0"/>
          <w:highlight w:val="green"/>
          <w:lang w:eastAsia="de-DE"/>
        </w:rPr>
        <w:t xml:space="preserve">gen als </w:t>
      </w:r>
      <w:r w:rsidRPr="00B47352">
        <w:rPr>
          <w:b w:val="0"/>
          <w:highlight w:val="green"/>
          <w:lang w:eastAsia="de-DE"/>
        </w:rPr>
        <w:t>wirtschaftlich ve</w:t>
      </w:r>
      <w:r w:rsidR="001E0A12" w:rsidRPr="00B47352">
        <w:rPr>
          <w:b w:val="0"/>
          <w:highlight w:val="green"/>
          <w:lang w:eastAsia="de-DE"/>
        </w:rPr>
        <w:t>rtretbar</w:t>
      </w:r>
      <w:r w:rsidR="0023632A" w:rsidRPr="00B47352">
        <w:rPr>
          <w:b w:val="0"/>
          <w:highlight w:val="green"/>
          <w:lang w:eastAsia="de-DE"/>
        </w:rPr>
        <w:t xml:space="preserve"> </w:t>
      </w:r>
      <w:r w:rsidR="00424458" w:rsidRPr="00B47352">
        <w:rPr>
          <w:b w:val="0"/>
          <w:highlight w:val="green"/>
          <w:lang w:eastAsia="de-DE"/>
        </w:rPr>
        <w:t xml:space="preserve">und angemessen </w:t>
      </w:r>
      <w:r w:rsidR="0023632A" w:rsidRPr="00B47352">
        <w:rPr>
          <w:b w:val="0"/>
          <w:highlight w:val="green"/>
          <w:lang w:eastAsia="de-DE"/>
        </w:rPr>
        <w:t>akzeptiert</w:t>
      </w:r>
      <w:r w:rsidRPr="00B47352">
        <w:rPr>
          <w:b w:val="0"/>
          <w:highlight w:val="green"/>
          <w:lang w:eastAsia="de-DE"/>
        </w:rPr>
        <w:t>:</w:t>
      </w:r>
    </w:p>
    <w:p w14:paraId="119CCC28" w14:textId="77777777" w:rsidR="0023632A" w:rsidRPr="00B47352" w:rsidRDefault="0023632A" w:rsidP="00E51EB9">
      <w:pPr>
        <w:pStyle w:val="Listenabsatz"/>
        <w:numPr>
          <w:ilvl w:val="0"/>
          <w:numId w:val="12"/>
        </w:numPr>
        <w:spacing w:before="240" w:after="60" w:line="240" w:lineRule="auto"/>
        <w:ind w:left="357" w:hanging="357"/>
        <w:contextualSpacing w:val="0"/>
        <w:rPr>
          <w:highlight w:val="green"/>
          <w:lang w:eastAsia="de-DE"/>
        </w:rPr>
      </w:pPr>
      <w:r w:rsidRPr="00B47352">
        <w:rPr>
          <w:highlight w:val="green"/>
          <w:lang w:eastAsia="de-DE"/>
        </w:rPr>
        <w:t>Die anrechenbaren Kosten werden aufgrund der effektiv im BAZO aufbereiteten Abfallmengen bestimmt,</w:t>
      </w:r>
    </w:p>
    <w:p w14:paraId="4750D93F" w14:textId="77777777" w:rsidR="0023632A" w:rsidRPr="00B47352" w:rsidRDefault="00C576D5" w:rsidP="00913BC9">
      <w:pPr>
        <w:pStyle w:val="Listenabsatz"/>
        <w:numPr>
          <w:ilvl w:val="0"/>
          <w:numId w:val="12"/>
        </w:numPr>
        <w:spacing w:before="120" w:after="60" w:line="240" w:lineRule="auto"/>
        <w:ind w:left="357" w:hanging="357"/>
        <w:contextualSpacing w:val="0"/>
        <w:rPr>
          <w:highlight w:val="green"/>
          <w:lang w:eastAsia="de-DE"/>
        </w:rPr>
      </w:pPr>
      <w:r w:rsidRPr="00B47352">
        <w:rPr>
          <w:highlight w:val="green"/>
          <w:lang w:eastAsia="de-DE"/>
        </w:rPr>
        <w:t>d</w:t>
      </w:r>
      <w:r w:rsidR="0023632A" w:rsidRPr="00B47352">
        <w:rPr>
          <w:highlight w:val="green"/>
          <w:lang w:eastAsia="de-DE"/>
        </w:rPr>
        <w:t xml:space="preserve">ie Aufbereitungskosten des BAZO werden zu </w:t>
      </w:r>
      <w:r w:rsidR="001E0A12" w:rsidRPr="00B47352">
        <w:rPr>
          <w:highlight w:val="green"/>
          <w:lang w:eastAsia="de-DE"/>
        </w:rPr>
        <w:t>höchstens Fr. 65.-/t abgegolten,</w:t>
      </w:r>
    </w:p>
    <w:p w14:paraId="03AB2101" w14:textId="77777777" w:rsidR="0023632A" w:rsidRPr="00B47352" w:rsidRDefault="00C576D5" w:rsidP="00913BC9">
      <w:pPr>
        <w:pStyle w:val="Listenabsatz"/>
        <w:numPr>
          <w:ilvl w:val="0"/>
          <w:numId w:val="12"/>
        </w:numPr>
        <w:spacing w:before="120" w:after="60" w:line="240" w:lineRule="auto"/>
        <w:ind w:left="357" w:hanging="357"/>
        <w:contextualSpacing w:val="0"/>
        <w:rPr>
          <w:highlight w:val="green"/>
          <w:lang w:eastAsia="de-DE"/>
        </w:rPr>
      </w:pPr>
      <w:r w:rsidRPr="00B47352">
        <w:rPr>
          <w:highlight w:val="green"/>
          <w:lang w:eastAsia="de-DE"/>
        </w:rPr>
        <w:t>e</w:t>
      </w:r>
      <w:r w:rsidR="0023632A" w:rsidRPr="00B47352">
        <w:rPr>
          <w:highlight w:val="green"/>
          <w:lang w:eastAsia="de-DE"/>
        </w:rPr>
        <w:t>ine wiederholte Behandlung der Abfälle im BAZO oder in sonstigen nachgeschalteten Anlagen berechtigt nicht zu erneuten anrechenbaren Kosten; eine Vermischung von bereits aufbereiteten Abfallfraktionen mit noch nicht aufbereitetem Abfall ist bei der Zusammenstellung von Behandlungshaufen auszuschliessen,</w:t>
      </w:r>
    </w:p>
    <w:p w14:paraId="571DD20B" w14:textId="77777777" w:rsidR="0023632A" w:rsidRPr="00B47352" w:rsidRDefault="00C576D5" w:rsidP="00913BC9">
      <w:pPr>
        <w:pStyle w:val="Listenabsatz"/>
        <w:numPr>
          <w:ilvl w:val="0"/>
          <w:numId w:val="12"/>
        </w:numPr>
        <w:spacing w:before="120" w:after="240" w:line="240" w:lineRule="auto"/>
        <w:ind w:left="357" w:hanging="357"/>
        <w:contextualSpacing w:val="0"/>
        <w:rPr>
          <w:highlight w:val="green"/>
          <w:lang w:eastAsia="de-DE"/>
        </w:rPr>
      </w:pPr>
      <w:r w:rsidRPr="00B47352">
        <w:rPr>
          <w:highlight w:val="green"/>
          <w:lang w:eastAsia="de-DE"/>
        </w:rPr>
        <w:t>a</w:t>
      </w:r>
      <w:r w:rsidR="0023632A" w:rsidRPr="00B47352">
        <w:rPr>
          <w:highlight w:val="green"/>
          <w:lang w:eastAsia="de-DE"/>
        </w:rPr>
        <w:t>b</w:t>
      </w:r>
      <w:r w:rsidR="00F33A3E" w:rsidRPr="00B47352">
        <w:rPr>
          <w:highlight w:val="green"/>
          <w:lang w:eastAsia="de-DE"/>
        </w:rPr>
        <w:t xml:space="preserve"> dem</w:t>
      </w:r>
      <w:r w:rsidR="0023632A" w:rsidRPr="00B47352">
        <w:rPr>
          <w:highlight w:val="green"/>
          <w:lang w:eastAsia="de-DE"/>
        </w:rPr>
        <w:t xml:space="preserve"> BAZO</w:t>
      </w:r>
      <w:r w:rsidR="00F33A3E" w:rsidRPr="00B47352">
        <w:rPr>
          <w:highlight w:val="green"/>
          <w:lang w:eastAsia="de-DE"/>
        </w:rPr>
        <w:t xml:space="preserve"> werden nur Kosten für die direkt anschliessende Entsorgung zu den entsprechenden Schienenpreisen (effektive Deponie- und Entsorgungspreise) abgegolten.</w:t>
      </w:r>
    </w:p>
    <w:p w14:paraId="2E0FD00E" w14:textId="77777777" w:rsidR="005D4840" w:rsidRPr="00B47352" w:rsidRDefault="006851B5" w:rsidP="005D4840">
      <w:pPr>
        <w:pStyle w:val="Formatvorlage4"/>
        <w:spacing w:before="120" w:after="120"/>
        <w:rPr>
          <w:b w:val="0"/>
          <w:highlight w:val="green"/>
          <w:lang w:eastAsia="de-DE"/>
        </w:rPr>
      </w:pPr>
      <w:r w:rsidRPr="00B47352">
        <w:rPr>
          <w:b w:val="0"/>
          <w:highlight w:val="green"/>
          <w:lang w:eastAsia="de-DE"/>
        </w:rPr>
        <w:t xml:space="preserve">Die hochgerechneten Kosten von 219 Millionen Franken für die Rückbauetappe 2 stützen sich weitgehend auf die realen Erfahrungswerte der seit April 2011 laufenden Vor-, Versuchs- und Prüfphase. </w:t>
      </w:r>
    </w:p>
    <w:p w14:paraId="2FAD7DAE" w14:textId="77777777" w:rsidR="008B020A" w:rsidRPr="00B47352" w:rsidRDefault="00BC4A85" w:rsidP="005D4840">
      <w:pPr>
        <w:pStyle w:val="Formatvorlage4"/>
        <w:spacing w:before="120" w:after="120"/>
        <w:rPr>
          <w:b w:val="0"/>
          <w:highlight w:val="green"/>
          <w:lang w:eastAsia="de-DE"/>
        </w:rPr>
      </w:pPr>
      <w:r w:rsidRPr="00B47352">
        <w:rPr>
          <w:b w:val="0"/>
          <w:highlight w:val="green"/>
          <w:lang w:eastAsia="de-DE"/>
        </w:rPr>
        <w:t>Bezüglich der Anrechenbarkeit der Kosten hat das BAFU den Abgeltungsmodus für die Entsorgungskosten auf die subventionsrechtlichen No</w:t>
      </w:r>
      <w:r w:rsidR="006A0EE3" w:rsidRPr="00B47352">
        <w:rPr>
          <w:b w:val="0"/>
          <w:highlight w:val="green"/>
          <w:lang w:eastAsia="de-DE"/>
        </w:rPr>
        <w:t>rmen abgestimmt. Demnach werden</w:t>
      </w:r>
      <w:r w:rsidR="002D43E9" w:rsidRPr="00B47352">
        <w:rPr>
          <w:b w:val="0"/>
          <w:highlight w:val="green"/>
          <w:lang w:eastAsia="de-DE"/>
        </w:rPr>
        <w:t xml:space="preserve"> </w:t>
      </w:r>
      <w:r w:rsidR="000F1284" w:rsidRPr="00B47352">
        <w:rPr>
          <w:b w:val="0"/>
          <w:highlight w:val="green"/>
          <w:lang w:eastAsia="de-DE"/>
        </w:rPr>
        <w:t>die Leistunge</w:t>
      </w:r>
      <w:r w:rsidR="006A0EE3" w:rsidRPr="00B47352">
        <w:rPr>
          <w:b w:val="0"/>
          <w:highlight w:val="green"/>
          <w:lang w:eastAsia="de-DE"/>
        </w:rPr>
        <w:t>n der Vorbehandlung im BAZO und</w:t>
      </w:r>
      <w:r w:rsidR="002D43E9" w:rsidRPr="00B47352">
        <w:rPr>
          <w:b w:val="0"/>
          <w:highlight w:val="green"/>
          <w:lang w:eastAsia="de-DE"/>
        </w:rPr>
        <w:t xml:space="preserve"> </w:t>
      </w:r>
      <w:r w:rsidR="00C02B79" w:rsidRPr="00B47352">
        <w:rPr>
          <w:b w:val="0"/>
          <w:highlight w:val="green"/>
          <w:lang w:eastAsia="de-DE"/>
        </w:rPr>
        <w:t>nach der Vorbehandlung</w:t>
      </w:r>
      <w:r w:rsidR="000F1284" w:rsidRPr="00B47352">
        <w:rPr>
          <w:b w:val="0"/>
          <w:highlight w:val="green"/>
          <w:lang w:eastAsia="de-DE"/>
        </w:rPr>
        <w:t xml:space="preserve"> </w:t>
      </w:r>
      <w:r w:rsidR="00144A37" w:rsidRPr="00B47352">
        <w:rPr>
          <w:b w:val="0"/>
          <w:highlight w:val="green"/>
          <w:lang w:eastAsia="de-DE"/>
        </w:rPr>
        <w:t xml:space="preserve">nur </w:t>
      </w:r>
      <w:r w:rsidR="000F1284" w:rsidRPr="00B47352">
        <w:rPr>
          <w:b w:val="0"/>
          <w:highlight w:val="green"/>
          <w:lang w:eastAsia="de-DE"/>
        </w:rPr>
        <w:t xml:space="preserve">die effektiven Deponie- und Entsorgungspreise </w:t>
      </w:r>
      <w:r w:rsidR="006A0EE3" w:rsidRPr="00B47352">
        <w:rPr>
          <w:b w:val="0"/>
          <w:highlight w:val="green"/>
          <w:lang w:eastAsia="de-DE"/>
        </w:rPr>
        <w:t>gemäss</w:t>
      </w:r>
      <w:r w:rsidR="002D43E9" w:rsidRPr="00B47352">
        <w:rPr>
          <w:b w:val="0"/>
          <w:highlight w:val="green"/>
          <w:lang w:eastAsia="de-DE"/>
        </w:rPr>
        <w:t xml:space="preserve"> ent</w:t>
      </w:r>
      <w:r w:rsidR="00C02B79" w:rsidRPr="00B47352">
        <w:rPr>
          <w:b w:val="0"/>
          <w:highlight w:val="green"/>
          <w:lang w:eastAsia="de-DE"/>
        </w:rPr>
        <w:t>sprechender</w:t>
      </w:r>
      <w:r w:rsidR="002D43E9" w:rsidRPr="00B47352">
        <w:rPr>
          <w:b w:val="0"/>
          <w:highlight w:val="green"/>
          <w:lang w:eastAsia="de-DE"/>
        </w:rPr>
        <w:t xml:space="preserve"> </w:t>
      </w:r>
      <w:proofErr w:type="spellStart"/>
      <w:r w:rsidR="00517578" w:rsidRPr="00B47352">
        <w:rPr>
          <w:b w:val="0"/>
          <w:highlight w:val="green"/>
          <w:lang w:eastAsia="de-DE"/>
        </w:rPr>
        <w:t>Controllingberichte</w:t>
      </w:r>
      <w:proofErr w:type="spellEnd"/>
      <w:r w:rsidR="00517578" w:rsidRPr="00B47352">
        <w:rPr>
          <w:b w:val="0"/>
          <w:highlight w:val="green"/>
          <w:lang w:eastAsia="de-DE"/>
        </w:rPr>
        <w:t xml:space="preserve"> </w:t>
      </w:r>
      <w:r w:rsidR="000F1284" w:rsidRPr="00B47352">
        <w:rPr>
          <w:b w:val="0"/>
          <w:highlight w:val="green"/>
          <w:lang w:eastAsia="de-DE"/>
        </w:rPr>
        <w:t xml:space="preserve">abgegolten. Die nach diesem Modus berechneten Abgeltungen weichen von den werkvertraglich zwischen dem Konsortium SMDK und den Entsorgungsunternehmen </w:t>
      </w:r>
      <w:r w:rsidR="00841F09" w:rsidRPr="00B47352">
        <w:rPr>
          <w:b w:val="0"/>
          <w:highlight w:val="green"/>
          <w:lang w:eastAsia="de-DE"/>
        </w:rPr>
        <w:t xml:space="preserve">fixierten Leistungsverrechnungen </w:t>
      </w:r>
      <w:r w:rsidR="000F1284" w:rsidRPr="00B47352">
        <w:rPr>
          <w:b w:val="0"/>
          <w:highlight w:val="green"/>
          <w:lang w:eastAsia="de-DE"/>
        </w:rPr>
        <w:t>ab</w:t>
      </w:r>
      <w:r w:rsidR="00841F09" w:rsidRPr="00B47352">
        <w:rPr>
          <w:b w:val="0"/>
          <w:highlight w:val="green"/>
          <w:lang w:eastAsia="de-DE"/>
        </w:rPr>
        <w:t>, was sich in den nicht anrechenbaren Kosten niederschlägt</w:t>
      </w:r>
      <w:r w:rsidR="000F1284" w:rsidRPr="00B47352">
        <w:rPr>
          <w:b w:val="0"/>
          <w:highlight w:val="green"/>
          <w:lang w:eastAsia="de-DE"/>
        </w:rPr>
        <w:t>.</w:t>
      </w:r>
      <w:r w:rsidR="00841F09" w:rsidRPr="00B47352">
        <w:rPr>
          <w:b w:val="0"/>
          <w:highlight w:val="green"/>
          <w:lang w:eastAsia="de-DE"/>
        </w:rPr>
        <w:t xml:space="preserve"> Die Anwendung des besagten Abgeltungsmodus</w:t>
      </w:r>
      <w:r w:rsidR="008B020A" w:rsidRPr="00B47352">
        <w:rPr>
          <w:b w:val="0"/>
          <w:highlight w:val="green"/>
          <w:lang w:eastAsia="de-DE"/>
        </w:rPr>
        <w:t xml:space="preserve"> führt in der Rückbaueta</w:t>
      </w:r>
      <w:r w:rsidR="00A703CA" w:rsidRPr="00B47352">
        <w:rPr>
          <w:b w:val="0"/>
          <w:highlight w:val="green"/>
          <w:lang w:eastAsia="de-DE"/>
        </w:rPr>
        <w:t>ppe 2 zu hochgerechneten und von der</w:t>
      </w:r>
      <w:r w:rsidR="008B020A" w:rsidRPr="00B47352">
        <w:rPr>
          <w:b w:val="0"/>
          <w:highlight w:val="green"/>
          <w:lang w:eastAsia="de-DE"/>
        </w:rPr>
        <w:t xml:space="preserve"> </w:t>
      </w:r>
      <w:proofErr w:type="spellStart"/>
      <w:r w:rsidR="008B020A" w:rsidRPr="00B47352">
        <w:rPr>
          <w:b w:val="0"/>
          <w:highlight w:val="green"/>
          <w:lang w:eastAsia="de-DE"/>
        </w:rPr>
        <w:t>AfU</w:t>
      </w:r>
      <w:proofErr w:type="spellEnd"/>
      <w:r w:rsidR="008B020A" w:rsidRPr="00B47352">
        <w:rPr>
          <w:b w:val="0"/>
          <w:highlight w:val="green"/>
          <w:lang w:eastAsia="de-DE"/>
        </w:rPr>
        <w:t xml:space="preserve"> des Kantons Aargau bestätigten nicht anrechenbaren Entsorgungskosten von 79 Millionen Franken.</w:t>
      </w:r>
    </w:p>
    <w:p w14:paraId="2DBB58D3" w14:textId="77777777" w:rsidR="00165CCB" w:rsidRPr="00B47352" w:rsidRDefault="00165CCB" w:rsidP="005D4840">
      <w:pPr>
        <w:pStyle w:val="Formatvorlage4"/>
        <w:spacing w:before="120" w:after="120"/>
        <w:rPr>
          <w:b w:val="0"/>
          <w:highlight w:val="green"/>
          <w:lang w:eastAsia="de-DE"/>
        </w:rPr>
      </w:pPr>
    </w:p>
    <w:p w14:paraId="074B5D9D" w14:textId="77777777" w:rsidR="002B4895" w:rsidRPr="00B47352" w:rsidRDefault="002B4895" w:rsidP="005D4840">
      <w:pPr>
        <w:pStyle w:val="Formatvorlage4"/>
        <w:spacing w:before="120" w:after="120"/>
        <w:rPr>
          <w:b w:val="0"/>
          <w:highlight w:val="green"/>
          <w:lang w:eastAsia="de-DE"/>
        </w:rPr>
      </w:pPr>
    </w:p>
    <w:p w14:paraId="71530408" w14:textId="77777777" w:rsidR="00343F8D" w:rsidRPr="00B47352" w:rsidRDefault="00E02E70" w:rsidP="00E02E70">
      <w:pPr>
        <w:pStyle w:val="Formatvorlage2"/>
        <w:rPr>
          <w:highlight w:val="green"/>
        </w:rPr>
      </w:pPr>
      <w:bookmarkStart w:id="253" w:name="_Toc356294712"/>
      <w:r w:rsidRPr="00B47352">
        <w:rPr>
          <w:highlight w:val="green"/>
        </w:rPr>
        <w:lastRenderedPageBreak/>
        <w:t>Nachsorgephase 2018-2020 (Abschluss, Überwachung und Erfolgskontrolle)</w:t>
      </w:r>
      <w:bookmarkEnd w:id="253"/>
    </w:p>
    <w:p w14:paraId="18CEA95C" w14:textId="77777777" w:rsidR="00E02E70" w:rsidRPr="00B47352" w:rsidRDefault="00E02E70" w:rsidP="00547D6A">
      <w:pPr>
        <w:pStyle w:val="Formatvorlage4"/>
        <w:spacing w:after="240"/>
        <w:rPr>
          <w:b w:val="0"/>
          <w:highlight w:val="green"/>
          <w:lang w:eastAsia="de-DE"/>
        </w:rPr>
      </w:pPr>
      <w:r w:rsidRPr="00B47352">
        <w:rPr>
          <w:b w:val="0"/>
          <w:highlight w:val="green"/>
          <w:lang w:eastAsia="de-DE"/>
        </w:rPr>
        <w:t>Die Kosten der Nachsorgephase werden mit 18 Millionen Franken prognostiziert und aus heutiger Sicht als voll abgeltungsberechtigt betrachtet. Allfällige Mehrkosten oder Projektanpassungen müssten dem BAFU mit Nacht</w:t>
      </w:r>
      <w:r w:rsidR="00547D6A" w:rsidRPr="00B47352">
        <w:rPr>
          <w:b w:val="0"/>
          <w:highlight w:val="green"/>
          <w:lang w:eastAsia="de-DE"/>
        </w:rPr>
        <w:t>ragsgesuch unterbreitet werden.</w:t>
      </w:r>
    </w:p>
    <w:p w14:paraId="4B43EB0A" w14:textId="77777777" w:rsidR="00343F8D" w:rsidRPr="00B47352" w:rsidRDefault="003100F0" w:rsidP="00547D6A">
      <w:pPr>
        <w:pStyle w:val="Formatvorlage2"/>
        <w:spacing w:before="360"/>
        <w:ind w:left="862" w:hanging="862"/>
        <w:rPr>
          <w:highlight w:val="green"/>
        </w:rPr>
      </w:pPr>
      <w:bookmarkStart w:id="254" w:name="_Toc356294713"/>
      <w:r w:rsidRPr="00B47352">
        <w:rPr>
          <w:highlight w:val="green"/>
        </w:rPr>
        <w:t>Unvorhergesehenes, Teuerung und Mehrwertsteuer</w:t>
      </w:r>
      <w:bookmarkEnd w:id="254"/>
    </w:p>
    <w:p w14:paraId="079CB674" w14:textId="77777777" w:rsidR="003100F0" w:rsidRPr="00B47352" w:rsidRDefault="00547D6A" w:rsidP="003100F0">
      <w:pPr>
        <w:pStyle w:val="Formatvorlage4"/>
        <w:rPr>
          <w:b w:val="0"/>
          <w:highlight w:val="green"/>
          <w:lang w:eastAsia="de-DE"/>
        </w:rPr>
      </w:pPr>
      <w:r w:rsidRPr="00B47352">
        <w:rPr>
          <w:b w:val="0"/>
          <w:highlight w:val="green"/>
          <w:lang w:eastAsia="de-DE"/>
        </w:rPr>
        <w:t>Die diesbezüglichen Schätzungen der</w:t>
      </w:r>
      <w:r w:rsidR="003100F0" w:rsidRPr="00B47352">
        <w:rPr>
          <w:b w:val="0"/>
          <w:highlight w:val="green"/>
          <w:lang w:eastAsia="de-DE"/>
        </w:rPr>
        <w:t xml:space="preserve"> </w:t>
      </w:r>
      <w:proofErr w:type="spellStart"/>
      <w:r w:rsidR="003100F0" w:rsidRPr="00B47352">
        <w:rPr>
          <w:b w:val="0"/>
          <w:highlight w:val="green"/>
          <w:lang w:eastAsia="de-DE"/>
        </w:rPr>
        <w:t>AfU</w:t>
      </w:r>
      <w:proofErr w:type="spellEnd"/>
      <w:r w:rsidR="003100F0" w:rsidRPr="00B47352">
        <w:rPr>
          <w:b w:val="0"/>
          <w:highlight w:val="green"/>
          <w:lang w:eastAsia="de-DE"/>
        </w:rPr>
        <w:t xml:space="preserve"> des Kantons Aargau </w:t>
      </w:r>
      <w:r w:rsidRPr="00B47352">
        <w:rPr>
          <w:b w:val="0"/>
          <w:highlight w:val="green"/>
          <w:lang w:eastAsia="de-DE"/>
        </w:rPr>
        <w:t>beziffern die Kosten für Unvorhergesehenes in Höhe von 51,1 Millionen Franken, für die Teuerung im Umfang von 20 Millionen Franken und für die Mehrwertsteuer rund 8 Millionen Franken. Die Positionen gelten als voll anrechenbar und sind im Rahmen der Auszahlungsgesuche separat und nachvollziehbar auszuweisen.</w:t>
      </w:r>
    </w:p>
    <w:p w14:paraId="22102F1F" w14:textId="77777777" w:rsidR="00547D6A" w:rsidRPr="00B47352" w:rsidRDefault="007B45B8" w:rsidP="00CF05D8">
      <w:pPr>
        <w:pStyle w:val="Formatvorlage2"/>
        <w:spacing w:before="360"/>
        <w:ind w:left="862" w:hanging="862"/>
        <w:rPr>
          <w:highlight w:val="green"/>
        </w:rPr>
      </w:pPr>
      <w:bookmarkStart w:id="255" w:name="_Toc356294714"/>
      <w:r w:rsidRPr="00B47352">
        <w:rPr>
          <w:highlight w:val="green"/>
        </w:rPr>
        <w:t>Kostenübersicht als Basis der Zusicherungsverfügung</w:t>
      </w:r>
      <w:bookmarkEnd w:id="255"/>
    </w:p>
    <w:p w14:paraId="61EC8DD4" w14:textId="77777777" w:rsidR="00547D6A" w:rsidRPr="00B47352" w:rsidRDefault="00CF5167" w:rsidP="00CF05D8">
      <w:pPr>
        <w:pStyle w:val="Formatvorlage4"/>
        <w:rPr>
          <w:b w:val="0"/>
          <w:highlight w:val="green"/>
          <w:lang w:eastAsia="de-DE"/>
        </w:rPr>
      </w:pPr>
      <w:r w:rsidRPr="00B47352">
        <w:rPr>
          <w:b w:val="0"/>
          <w:highlight w:val="green"/>
          <w:lang w:eastAsia="de-DE"/>
        </w:rPr>
        <w:t xml:space="preserve">Aus heutiger Sicht </w:t>
      </w:r>
      <w:r w:rsidR="00CF05D8" w:rsidRPr="00B47352">
        <w:rPr>
          <w:b w:val="0"/>
          <w:highlight w:val="green"/>
          <w:lang w:eastAsia="de-DE"/>
        </w:rPr>
        <w:t>verursacht</w:t>
      </w:r>
      <w:r w:rsidR="007B45B8" w:rsidRPr="00B47352">
        <w:rPr>
          <w:b w:val="0"/>
          <w:highlight w:val="green"/>
          <w:lang w:eastAsia="de-DE"/>
        </w:rPr>
        <w:t xml:space="preserve"> die Sanierung der Sondermülldeponie Kölliken voraussichtlich Gesamtkosten </w:t>
      </w:r>
      <w:r w:rsidR="00CF05D8" w:rsidRPr="00B47352">
        <w:rPr>
          <w:b w:val="0"/>
          <w:highlight w:val="green"/>
          <w:lang w:eastAsia="de-DE"/>
        </w:rPr>
        <w:t>von 993,1 Millionen Franken:</w:t>
      </w:r>
    </w:p>
    <w:p w14:paraId="4B09E87D" w14:textId="77777777" w:rsidR="00CF05D8" w:rsidRPr="00B47352" w:rsidRDefault="00CF05D8" w:rsidP="003551E1">
      <w:pPr>
        <w:pStyle w:val="Formatvorlage4"/>
        <w:spacing w:before="120"/>
        <w:rPr>
          <w:b w:val="0"/>
          <w:highlight w:val="green"/>
          <w:lang w:eastAsia="de-DE"/>
        </w:rPr>
      </w:pPr>
    </w:p>
    <w:tbl>
      <w:tblPr>
        <w:tblStyle w:val="Tabellenraster"/>
        <w:tblW w:w="0" w:type="auto"/>
        <w:jc w:val="center"/>
        <w:tblLook w:val="04A0" w:firstRow="1" w:lastRow="0" w:firstColumn="1" w:lastColumn="0" w:noHBand="0" w:noVBand="1"/>
      </w:tblPr>
      <w:tblGrid>
        <w:gridCol w:w="4361"/>
        <w:gridCol w:w="1606"/>
      </w:tblGrid>
      <w:tr w:rsidR="007B45B8" w:rsidRPr="00B47352" w14:paraId="07B017E5" w14:textId="77777777" w:rsidTr="00735684">
        <w:trPr>
          <w:trHeight w:val="155"/>
          <w:jc w:val="center"/>
        </w:trPr>
        <w:tc>
          <w:tcPr>
            <w:tcW w:w="4361" w:type="dxa"/>
            <w:shd w:val="clear" w:color="auto" w:fill="D9D9D9" w:themeFill="background1" w:themeFillShade="D9"/>
          </w:tcPr>
          <w:p w14:paraId="5628E185" w14:textId="77777777" w:rsidR="00CF5167" w:rsidRPr="00B47352" w:rsidRDefault="0086544F" w:rsidP="00B75506">
            <w:pPr>
              <w:pStyle w:val="Formatvorlage4"/>
              <w:spacing w:before="60" w:after="60" w:line="260" w:lineRule="atLeast"/>
              <w:ind w:firstLine="14"/>
              <w:rPr>
                <w:sz w:val="18"/>
                <w:szCs w:val="18"/>
                <w:highlight w:val="green"/>
                <w:lang w:eastAsia="de-DE"/>
              </w:rPr>
            </w:pPr>
            <w:r w:rsidRPr="00B47352">
              <w:rPr>
                <w:sz w:val="18"/>
                <w:szCs w:val="18"/>
                <w:highlight w:val="green"/>
                <w:lang w:eastAsia="de-DE"/>
              </w:rPr>
              <w:t>Ant</w:t>
            </w:r>
            <w:r w:rsidR="00204D05" w:rsidRPr="00B47352">
              <w:rPr>
                <w:sz w:val="18"/>
                <w:szCs w:val="18"/>
                <w:highlight w:val="green"/>
                <w:lang w:eastAsia="de-DE"/>
              </w:rPr>
              <w:t xml:space="preserve">eile </w:t>
            </w:r>
            <w:r w:rsidRPr="00B47352">
              <w:rPr>
                <w:sz w:val="18"/>
                <w:szCs w:val="18"/>
                <w:highlight w:val="green"/>
                <w:lang w:eastAsia="de-DE"/>
              </w:rPr>
              <w:t>an den</w:t>
            </w:r>
            <w:r w:rsidR="00204D05" w:rsidRPr="00B47352">
              <w:rPr>
                <w:sz w:val="18"/>
                <w:szCs w:val="18"/>
                <w:highlight w:val="green"/>
                <w:lang w:eastAsia="de-DE"/>
              </w:rPr>
              <w:t xml:space="preserve"> Gesamtkosten</w:t>
            </w:r>
          </w:p>
        </w:tc>
        <w:tc>
          <w:tcPr>
            <w:tcW w:w="1606" w:type="dxa"/>
            <w:shd w:val="clear" w:color="auto" w:fill="D9D9D9" w:themeFill="background1" w:themeFillShade="D9"/>
          </w:tcPr>
          <w:p w14:paraId="79608A8C" w14:textId="77777777" w:rsidR="007B45B8" w:rsidRPr="00B47352" w:rsidRDefault="00204D05" w:rsidP="00B75506">
            <w:pPr>
              <w:pStyle w:val="Formatvorlage4"/>
              <w:tabs>
                <w:tab w:val="right" w:pos="1026"/>
              </w:tabs>
              <w:spacing w:before="60" w:after="60" w:line="260" w:lineRule="atLeast"/>
              <w:jc w:val="center"/>
              <w:rPr>
                <w:sz w:val="18"/>
                <w:szCs w:val="18"/>
                <w:highlight w:val="green"/>
                <w:lang w:eastAsia="de-DE"/>
              </w:rPr>
            </w:pPr>
            <w:r w:rsidRPr="00B47352">
              <w:rPr>
                <w:sz w:val="18"/>
                <w:szCs w:val="18"/>
                <w:highlight w:val="green"/>
                <w:lang w:eastAsia="de-DE"/>
              </w:rPr>
              <w:t xml:space="preserve">in </w:t>
            </w:r>
            <w:r w:rsidR="00CF5167" w:rsidRPr="00B47352">
              <w:rPr>
                <w:sz w:val="18"/>
                <w:szCs w:val="18"/>
                <w:highlight w:val="green"/>
                <w:lang w:eastAsia="de-DE"/>
              </w:rPr>
              <w:t>Mi</w:t>
            </w:r>
            <w:r w:rsidR="003551E1" w:rsidRPr="00B47352">
              <w:rPr>
                <w:sz w:val="18"/>
                <w:szCs w:val="18"/>
                <w:highlight w:val="green"/>
                <w:lang w:eastAsia="de-DE"/>
              </w:rPr>
              <w:t>o.</w:t>
            </w:r>
            <w:r w:rsidRPr="00B47352">
              <w:rPr>
                <w:sz w:val="18"/>
                <w:szCs w:val="18"/>
                <w:highlight w:val="green"/>
                <w:lang w:eastAsia="de-DE"/>
              </w:rPr>
              <w:t xml:space="preserve"> Franken</w:t>
            </w:r>
          </w:p>
        </w:tc>
      </w:tr>
      <w:tr w:rsidR="007B45B8" w:rsidRPr="00B47352" w14:paraId="407D82B4" w14:textId="77777777" w:rsidTr="00735684">
        <w:trPr>
          <w:trHeight w:val="155"/>
          <w:jc w:val="center"/>
        </w:trPr>
        <w:tc>
          <w:tcPr>
            <w:tcW w:w="4361" w:type="dxa"/>
            <w:shd w:val="clear" w:color="auto" w:fill="F2F2F2" w:themeFill="background1" w:themeFillShade="F2"/>
          </w:tcPr>
          <w:p w14:paraId="09916990" w14:textId="77777777" w:rsidR="007B45B8" w:rsidRPr="00B47352" w:rsidRDefault="00204D05" w:rsidP="00B75506">
            <w:pPr>
              <w:pStyle w:val="Formatvorlage4"/>
              <w:spacing w:before="60" w:after="60" w:line="260" w:lineRule="atLeast"/>
              <w:ind w:firstLine="14"/>
              <w:rPr>
                <w:b w:val="0"/>
                <w:sz w:val="18"/>
                <w:szCs w:val="18"/>
                <w:highlight w:val="green"/>
                <w:lang w:eastAsia="de-DE"/>
              </w:rPr>
            </w:pPr>
            <w:r w:rsidRPr="00B47352">
              <w:rPr>
                <w:b w:val="0"/>
                <w:sz w:val="18"/>
                <w:szCs w:val="18"/>
                <w:highlight w:val="green"/>
                <w:lang w:eastAsia="de-DE"/>
              </w:rPr>
              <w:t>Sofort- und Schutzmassnahmen</w:t>
            </w:r>
          </w:p>
        </w:tc>
        <w:tc>
          <w:tcPr>
            <w:tcW w:w="1606" w:type="dxa"/>
            <w:shd w:val="clear" w:color="auto" w:fill="F2F2F2" w:themeFill="background1" w:themeFillShade="F2"/>
          </w:tcPr>
          <w:p w14:paraId="2A8B63B9" w14:textId="77777777" w:rsidR="007B45B8" w:rsidRPr="00B47352" w:rsidRDefault="00204D05" w:rsidP="00B75506">
            <w:pPr>
              <w:pStyle w:val="Formatvorlage4"/>
              <w:tabs>
                <w:tab w:val="right" w:pos="1026"/>
              </w:tabs>
              <w:spacing w:before="60" w:after="60" w:line="260" w:lineRule="atLeast"/>
              <w:rPr>
                <w:b w:val="0"/>
                <w:sz w:val="18"/>
                <w:szCs w:val="18"/>
                <w:highlight w:val="green"/>
                <w:lang w:eastAsia="de-DE"/>
              </w:rPr>
            </w:pPr>
            <w:r w:rsidRPr="00B47352">
              <w:rPr>
                <w:b w:val="0"/>
                <w:sz w:val="18"/>
                <w:szCs w:val="18"/>
                <w:highlight w:val="green"/>
                <w:lang w:eastAsia="de-DE"/>
              </w:rPr>
              <w:tab/>
              <w:t>168.1</w:t>
            </w:r>
          </w:p>
        </w:tc>
      </w:tr>
      <w:tr w:rsidR="007B45B8" w:rsidRPr="00B47352" w14:paraId="412799F7" w14:textId="77777777" w:rsidTr="00735684">
        <w:trPr>
          <w:trHeight w:val="155"/>
          <w:jc w:val="center"/>
        </w:trPr>
        <w:tc>
          <w:tcPr>
            <w:tcW w:w="4361" w:type="dxa"/>
            <w:shd w:val="clear" w:color="auto" w:fill="F2F2F2" w:themeFill="background1" w:themeFillShade="F2"/>
          </w:tcPr>
          <w:p w14:paraId="2A0C0CB5" w14:textId="77777777" w:rsidR="007B45B8" w:rsidRPr="00B47352" w:rsidRDefault="00204D05" w:rsidP="00B75506">
            <w:pPr>
              <w:pStyle w:val="Formatvorlage4"/>
              <w:spacing w:before="60" w:after="60" w:line="260" w:lineRule="atLeast"/>
              <w:ind w:firstLine="14"/>
              <w:rPr>
                <w:b w:val="0"/>
                <w:sz w:val="18"/>
                <w:szCs w:val="18"/>
                <w:highlight w:val="green"/>
                <w:lang w:eastAsia="de-DE"/>
              </w:rPr>
            </w:pPr>
            <w:r w:rsidRPr="00B47352">
              <w:rPr>
                <w:b w:val="0"/>
                <w:sz w:val="18"/>
                <w:szCs w:val="18"/>
                <w:highlight w:val="green"/>
                <w:lang w:eastAsia="de-DE"/>
              </w:rPr>
              <w:t>Betriebskosten und Bauten für die Jahre 2005-2017</w:t>
            </w:r>
          </w:p>
        </w:tc>
        <w:tc>
          <w:tcPr>
            <w:tcW w:w="1606" w:type="dxa"/>
            <w:shd w:val="clear" w:color="auto" w:fill="F2F2F2" w:themeFill="background1" w:themeFillShade="F2"/>
          </w:tcPr>
          <w:p w14:paraId="2B504303" w14:textId="77777777" w:rsidR="007B45B8" w:rsidRPr="00B47352" w:rsidRDefault="00204D05" w:rsidP="00B75506">
            <w:pPr>
              <w:pStyle w:val="Formatvorlage4"/>
              <w:tabs>
                <w:tab w:val="right" w:pos="1026"/>
              </w:tabs>
              <w:spacing w:before="60" w:after="60" w:line="260" w:lineRule="atLeast"/>
              <w:rPr>
                <w:b w:val="0"/>
                <w:sz w:val="18"/>
                <w:szCs w:val="18"/>
                <w:highlight w:val="green"/>
                <w:lang w:eastAsia="de-DE"/>
              </w:rPr>
            </w:pPr>
            <w:r w:rsidRPr="00B47352">
              <w:rPr>
                <w:b w:val="0"/>
                <w:sz w:val="18"/>
                <w:szCs w:val="18"/>
                <w:highlight w:val="green"/>
                <w:lang w:eastAsia="de-DE"/>
              </w:rPr>
              <w:tab/>
              <w:t>61.5</w:t>
            </w:r>
          </w:p>
        </w:tc>
      </w:tr>
      <w:tr w:rsidR="007B45B8" w:rsidRPr="00B47352" w14:paraId="2289B448" w14:textId="77777777" w:rsidTr="00735684">
        <w:trPr>
          <w:trHeight w:val="155"/>
          <w:jc w:val="center"/>
        </w:trPr>
        <w:tc>
          <w:tcPr>
            <w:tcW w:w="4361" w:type="dxa"/>
            <w:shd w:val="clear" w:color="auto" w:fill="F2F2F2" w:themeFill="background1" w:themeFillShade="F2"/>
          </w:tcPr>
          <w:p w14:paraId="274A6456" w14:textId="77777777" w:rsidR="007B45B8" w:rsidRPr="00B47352" w:rsidRDefault="00204D05" w:rsidP="00B75506">
            <w:pPr>
              <w:pStyle w:val="Formatvorlage4"/>
              <w:spacing w:before="60" w:after="60" w:line="260" w:lineRule="atLeast"/>
              <w:ind w:firstLine="14"/>
              <w:rPr>
                <w:b w:val="0"/>
                <w:sz w:val="18"/>
                <w:szCs w:val="18"/>
                <w:highlight w:val="green"/>
                <w:lang w:eastAsia="de-DE"/>
              </w:rPr>
            </w:pPr>
            <w:r w:rsidRPr="00B47352">
              <w:rPr>
                <w:b w:val="0"/>
                <w:sz w:val="18"/>
                <w:szCs w:val="18"/>
                <w:highlight w:val="green"/>
                <w:lang w:eastAsia="de-DE"/>
              </w:rPr>
              <w:t>Gesamtsanierung</w:t>
            </w:r>
          </w:p>
        </w:tc>
        <w:tc>
          <w:tcPr>
            <w:tcW w:w="1606" w:type="dxa"/>
            <w:shd w:val="clear" w:color="auto" w:fill="F2F2F2" w:themeFill="background1" w:themeFillShade="F2"/>
          </w:tcPr>
          <w:p w14:paraId="6BF7F548" w14:textId="77777777" w:rsidR="007B45B8" w:rsidRPr="00B47352" w:rsidRDefault="00204D05" w:rsidP="00B75506">
            <w:pPr>
              <w:pStyle w:val="Formatvorlage4"/>
              <w:tabs>
                <w:tab w:val="right" w:pos="1026"/>
              </w:tabs>
              <w:spacing w:before="60" w:after="60" w:line="260" w:lineRule="atLeast"/>
              <w:rPr>
                <w:b w:val="0"/>
                <w:sz w:val="18"/>
                <w:szCs w:val="18"/>
                <w:highlight w:val="green"/>
                <w:lang w:eastAsia="de-DE"/>
              </w:rPr>
            </w:pPr>
            <w:r w:rsidRPr="00B47352">
              <w:rPr>
                <w:b w:val="0"/>
                <w:sz w:val="18"/>
                <w:szCs w:val="18"/>
                <w:highlight w:val="green"/>
                <w:lang w:eastAsia="de-DE"/>
              </w:rPr>
              <w:tab/>
              <w:t>666.4</w:t>
            </w:r>
          </w:p>
        </w:tc>
      </w:tr>
      <w:tr w:rsidR="007B45B8" w:rsidRPr="00B47352" w14:paraId="0D07FFD7" w14:textId="77777777" w:rsidTr="00735684">
        <w:trPr>
          <w:trHeight w:val="155"/>
          <w:jc w:val="center"/>
        </w:trPr>
        <w:tc>
          <w:tcPr>
            <w:tcW w:w="4361" w:type="dxa"/>
            <w:shd w:val="clear" w:color="auto" w:fill="F2F2F2" w:themeFill="background1" w:themeFillShade="F2"/>
          </w:tcPr>
          <w:p w14:paraId="17D60201" w14:textId="77777777" w:rsidR="007B45B8" w:rsidRPr="00B47352" w:rsidRDefault="00204D05" w:rsidP="00B75506">
            <w:pPr>
              <w:pStyle w:val="Formatvorlage4"/>
              <w:spacing w:before="60" w:after="60" w:line="260" w:lineRule="atLeast"/>
              <w:ind w:firstLine="14"/>
              <w:rPr>
                <w:b w:val="0"/>
                <w:sz w:val="18"/>
                <w:szCs w:val="18"/>
                <w:highlight w:val="green"/>
                <w:lang w:eastAsia="de-DE"/>
              </w:rPr>
            </w:pPr>
            <w:r w:rsidRPr="00B47352">
              <w:rPr>
                <w:b w:val="0"/>
                <w:sz w:val="18"/>
                <w:szCs w:val="18"/>
                <w:highlight w:val="green"/>
                <w:lang w:eastAsia="de-DE"/>
              </w:rPr>
              <w:t>Unvorhergesehenes</w:t>
            </w:r>
          </w:p>
        </w:tc>
        <w:tc>
          <w:tcPr>
            <w:tcW w:w="1606" w:type="dxa"/>
            <w:shd w:val="clear" w:color="auto" w:fill="F2F2F2" w:themeFill="background1" w:themeFillShade="F2"/>
          </w:tcPr>
          <w:p w14:paraId="08179DA9" w14:textId="77777777" w:rsidR="007B45B8" w:rsidRPr="00B47352" w:rsidRDefault="00204D05" w:rsidP="00B75506">
            <w:pPr>
              <w:pStyle w:val="Formatvorlage4"/>
              <w:tabs>
                <w:tab w:val="right" w:pos="1026"/>
              </w:tabs>
              <w:spacing w:before="60" w:after="60" w:line="260" w:lineRule="atLeast"/>
              <w:rPr>
                <w:b w:val="0"/>
                <w:sz w:val="18"/>
                <w:szCs w:val="18"/>
                <w:highlight w:val="green"/>
                <w:lang w:eastAsia="de-DE"/>
              </w:rPr>
            </w:pPr>
            <w:r w:rsidRPr="00B47352">
              <w:rPr>
                <w:b w:val="0"/>
                <w:sz w:val="18"/>
                <w:szCs w:val="18"/>
                <w:highlight w:val="green"/>
                <w:lang w:eastAsia="de-DE"/>
              </w:rPr>
              <w:tab/>
              <w:t>51.1</w:t>
            </w:r>
          </w:p>
        </w:tc>
      </w:tr>
      <w:tr w:rsidR="007B45B8" w:rsidRPr="00B47352" w14:paraId="2ABDB791" w14:textId="77777777" w:rsidTr="00735684">
        <w:trPr>
          <w:trHeight w:val="155"/>
          <w:jc w:val="center"/>
        </w:trPr>
        <w:tc>
          <w:tcPr>
            <w:tcW w:w="4361" w:type="dxa"/>
            <w:shd w:val="clear" w:color="auto" w:fill="F2F2F2" w:themeFill="background1" w:themeFillShade="F2"/>
          </w:tcPr>
          <w:p w14:paraId="06EE8B5D" w14:textId="77777777" w:rsidR="007B45B8" w:rsidRPr="00B47352" w:rsidRDefault="00204D05" w:rsidP="00B75506">
            <w:pPr>
              <w:pStyle w:val="Formatvorlage4"/>
              <w:spacing w:before="60" w:after="60" w:line="260" w:lineRule="atLeast"/>
              <w:ind w:firstLine="14"/>
              <w:rPr>
                <w:b w:val="0"/>
                <w:sz w:val="18"/>
                <w:szCs w:val="18"/>
                <w:highlight w:val="green"/>
                <w:lang w:eastAsia="de-DE"/>
              </w:rPr>
            </w:pPr>
            <w:r w:rsidRPr="00B47352">
              <w:rPr>
                <w:b w:val="0"/>
                <w:sz w:val="18"/>
                <w:szCs w:val="18"/>
                <w:highlight w:val="green"/>
                <w:lang w:eastAsia="de-DE"/>
              </w:rPr>
              <w:t>Nachsorgephase der Jahre 2018-2020</w:t>
            </w:r>
          </w:p>
        </w:tc>
        <w:tc>
          <w:tcPr>
            <w:tcW w:w="1606" w:type="dxa"/>
            <w:shd w:val="clear" w:color="auto" w:fill="F2F2F2" w:themeFill="background1" w:themeFillShade="F2"/>
          </w:tcPr>
          <w:p w14:paraId="0865215E" w14:textId="77777777" w:rsidR="007B45B8" w:rsidRPr="00B47352" w:rsidRDefault="00204D05" w:rsidP="00B75506">
            <w:pPr>
              <w:pStyle w:val="Formatvorlage4"/>
              <w:tabs>
                <w:tab w:val="right" w:pos="1026"/>
              </w:tabs>
              <w:spacing w:before="60" w:after="60" w:line="260" w:lineRule="atLeast"/>
              <w:rPr>
                <w:b w:val="0"/>
                <w:sz w:val="18"/>
                <w:szCs w:val="18"/>
                <w:highlight w:val="green"/>
                <w:lang w:eastAsia="de-DE"/>
              </w:rPr>
            </w:pPr>
            <w:r w:rsidRPr="00B47352">
              <w:rPr>
                <w:b w:val="0"/>
                <w:sz w:val="18"/>
                <w:szCs w:val="18"/>
                <w:highlight w:val="green"/>
                <w:lang w:eastAsia="de-DE"/>
              </w:rPr>
              <w:tab/>
              <w:t>18.0</w:t>
            </w:r>
          </w:p>
        </w:tc>
      </w:tr>
      <w:tr w:rsidR="007B45B8" w:rsidRPr="00B47352" w14:paraId="0E0423F9" w14:textId="77777777" w:rsidTr="00735684">
        <w:trPr>
          <w:trHeight w:val="155"/>
          <w:jc w:val="center"/>
        </w:trPr>
        <w:tc>
          <w:tcPr>
            <w:tcW w:w="4361" w:type="dxa"/>
            <w:shd w:val="clear" w:color="auto" w:fill="F2F2F2" w:themeFill="background1" w:themeFillShade="F2"/>
          </w:tcPr>
          <w:p w14:paraId="4B37F3CA" w14:textId="77777777" w:rsidR="007B45B8" w:rsidRPr="00B47352" w:rsidRDefault="00204D05" w:rsidP="00B75506">
            <w:pPr>
              <w:pStyle w:val="Formatvorlage4"/>
              <w:spacing w:before="60" w:after="60" w:line="260" w:lineRule="atLeast"/>
              <w:ind w:firstLine="14"/>
              <w:rPr>
                <w:b w:val="0"/>
                <w:sz w:val="18"/>
                <w:szCs w:val="18"/>
                <w:highlight w:val="green"/>
                <w:lang w:eastAsia="de-DE"/>
              </w:rPr>
            </w:pPr>
            <w:r w:rsidRPr="00B47352">
              <w:rPr>
                <w:b w:val="0"/>
                <w:sz w:val="18"/>
                <w:szCs w:val="18"/>
                <w:highlight w:val="green"/>
                <w:lang w:eastAsia="de-DE"/>
              </w:rPr>
              <w:t>Voraussichtliche Teuerung</w:t>
            </w:r>
          </w:p>
        </w:tc>
        <w:tc>
          <w:tcPr>
            <w:tcW w:w="1606" w:type="dxa"/>
            <w:shd w:val="clear" w:color="auto" w:fill="F2F2F2" w:themeFill="background1" w:themeFillShade="F2"/>
          </w:tcPr>
          <w:p w14:paraId="3C907C7A" w14:textId="77777777" w:rsidR="007B45B8" w:rsidRPr="00B47352" w:rsidRDefault="00204D05" w:rsidP="00B75506">
            <w:pPr>
              <w:pStyle w:val="Formatvorlage4"/>
              <w:tabs>
                <w:tab w:val="right" w:pos="1026"/>
              </w:tabs>
              <w:spacing w:before="60" w:after="60" w:line="260" w:lineRule="atLeast"/>
              <w:rPr>
                <w:b w:val="0"/>
                <w:sz w:val="18"/>
                <w:szCs w:val="18"/>
                <w:highlight w:val="green"/>
                <w:lang w:eastAsia="de-DE"/>
              </w:rPr>
            </w:pPr>
            <w:r w:rsidRPr="00B47352">
              <w:rPr>
                <w:b w:val="0"/>
                <w:sz w:val="18"/>
                <w:szCs w:val="18"/>
                <w:highlight w:val="green"/>
                <w:lang w:eastAsia="de-DE"/>
              </w:rPr>
              <w:tab/>
              <w:t>20.0</w:t>
            </w:r>
          </w:p>
        </w:tc>
      </w:tr>
      <w:tr w:rsidR="007B45B8" w:rsidRPr="00B47352" w14:paraId="17928ED4" w14:textId="77777777" w:rsidTr="00735684">
        <w:trPr>
          <w:trHeight w:val="155"/>
          <w:jc w:val="center"/>
        </w:trPr>
        <w:tc>
          <w:tcPr>
            <w:tcW w:w="4361" w:type="dxa"/>
            <w:shd w:val="clear" w:color="auto" w:fill="F2F2F2" w:themeFill="background1" w:themeFillShade="F2"/>
          </w:tcPr>
          <w:p w14:paraId="4FE4BE27" w14:textId="77777777" w:rsidR="007B45B8" w:rsidRPr="00B47352" w:rsidRDefault="00CF5167" w:rsidP="00B75506">
            <w:pPr>
              <w:pStyle w:val="Formatvorlage4"/>
              <w:spacing w:before="60" w:after="60" w:line="260" w:lineRule="atLeast"/>
              <w:ind w:firstLine="14"/>
              <w:rPr>
                <w:b w:val="0"/>
                <w:sz w:val="18"/>
                <w:szCs w:val="18"/>
                <w:highlight w:val="green"/>
                <w:lang w:eastAsia="de-DE"/>
              </w:rPr>
            </w:pPr>
            <w:r w:rsidRPr="00B47352">
              <w:rPr>
                <w:b w:val="0"/>
                <w:sz w:val="18"/>
                <w:szCs w:val="18"/>
                <w:highlight w:val="green"/>
                <w:lang w:eastAsia="de-DE"/>
              </w:rPr>
              <w:t>Mehrwertsteuer geschuldet ab 2010</w:t>
            </w:r>
          </w:p>
        </w:tc>
        <w:tc>
          <w:tcPr>
            <w:tcW w:w="1606" w:type="dxa"/>
            <w:shd w:val="clear" w:color="auto" w:fill="F2F2F2" w:themeFill="background1" w:themeFillShade="F2"/>
          </w:tcPr>
          <w:p w14:paraId="155FCEF0" w14:textId="77777777" w:rsidR="007B45B8" w:rsidRPr="00B47352" w:rsidRDefault="00204D05" w:rsidP="00B75506">
            <w:pPr>
              <w:pStyle w:val="Formatvorlage4"/>
              <w:tabs>
                <w:tab w:val="right" w:pos="1026"/>
              </w:tabs>
              <w:spacing w:before="60" w:after="60" w:line="260" w:lineRule="atLeast"/>
              <w:rPr>
                <w:b w:val="0"/>
                <w:sz w:val="18"/>
                <w:szCs w:val="18"/>
                <w:highlight w:val="green"/>
                <w:lang w:eastAsia="de-DE"/>
              </w:rPr>
            </w:pPr>
            <w:r w:rsidRPr="00B47352">
              <w:rPr>
                <w:b w:val="0"/>
                <w:sz w:val="18"/>
                <w:szCs w:val="18"/>
                <w:highlight w:val="green"/>
                <w:lang w:eastAsia="de-DE"/>
              </w:rPr>
              <w:tab/>
            </w:r>
            <w:r w:rsidR="00CF5167" w:rsidRPr="00B47352">
              <w:rPr>
                <w:b w:val="0"/>
                <w:sz w:val="18"/>
                <w:szCs w:val="18"/>
                <w:highlight w:val="green"/>
                <w:lang w:eastAsia="de-DE"/>
              </w:rPr>
              <w:t>8.0</w:t>
            </w:r>
          </w:p>
        </w:tc>
      </w:tr>
      <w:tr w:rsidR="00204D05" w:rsidRPr="00B47352" w14:paraId="3403C565" w14:textId="77777777" w:rsidTr="00735684">
        <w:trPr>
          <w:trHeight w:val="155"/>
          <w:jc w:val="center"/>
        </w:trPr>
        <w:tc>
          <w:tcPr>
            <w:tcW w:w="4361" w:type="dxa"/>
            <w:shd w:val="clear" w:color="auto" w:fill="D9D9D9" w:themeFill="background1" w:themeFillShade="D9"/>
          </w:tcPr>
          <w:p w14:paraId="6C7E12FC" w14:textId="77777777" w:rsidR="00204D05" w:rsidRPr="00B47352" w:rsidRDefault="0086544F" w:rsidP="00B75506">
            <w:pPr>
              <w:pStyle w:val="Formatvorlage4"/>
              <w:spacing w:before="60" w:after="60" w:line="260" w:lineRule="atLeast"/>
              <w:ind w:firstLine="14"/>
              <w:rPr>
                <w:sz w:val="18"/>
                <w:szCs w:val="18"/>
                <w:highlight w:val="green"/>
                <w:lang w:eastAsia="de-DE"/>
              </w:rPr>
            </w:pPr>
            <w:r w:rsidRPr="00B47352">
              <w:rPr>
                <w:sz w:val="18"/>
                <w:szCs w:val="18"/>
                <w:highlight w:val="green"/>
                <w:lang w:eastAsia="de-DE"/>
              </w:rPr>
              <w:t>v</w:t>
            </w:r>
            <w:r w:rsidR="00CF5167" w:rsidRPr="00B47352">
              <w:rPr>
                <w:sz w:val="18"/>
                <w:szCs w:val="18"/>
                <w:highlight w:val="green"/>
                <w:lang w:eastAsia="de-DE"/>
              </w:rPr>
              <w:t>oraussichtliche Gesamtkosten</w:t>
            </w:r>
          </w:p>
        </w:tc>
        <w:tc>
          <w:tcPr>
            <w:tcW w:w="1606" w:type="dxa"/>
            <w:shd w:val="clear" w:color="auto" w:fill="D9D9D9" w:themeFill="background1" w:themeFillShade="D9"/>
          </w:tcPr>
          <w:p w14:paraId="3BAB41B0" w14:textId="77777777" w:rsidR="00204D05" w:rsidRPr="00B47352" w:rsidRDefault="00CF5167" w:rsidP="00B75506">
            <w:pPr>
              <w:pStyle w:val="Formatvorlage4"/>
              <w:tabs>
                <w:tab w:val="right" w:pos="1026"/>
              </w:tabs>
              <w:spacing w:before="60" w:after="60" w:line="260" w:lineRule="atLeast"/>
              <w:rPr>
                <w:sz w:val="18"/>
                <w:szCs w:val="18"/>
                <w:highlight w:val="green"/>
                <w:lang w:eastAsia="de-DE"/>
              </w:rPr>
            </w:pPr>
            <w:r w:rsidRPr="00B47352">
              <w:rPr>
                <w:sz w:val="18"/>
                <w:szCs w:val="18"/>
                <w:highlight w:val="green"/>
                <w:lang w:eastAsia="de-DE"/>
              </w:rPr>
              <w:tab/>
              <w:t>993.1</w:t>
            </w:r>
          </w:p>
        </w:tc>
      </w:tr>
    </w:tbl>
    <w:p w14:paraId="0FB87FF9" w14:textId="77777777" w:rsidR="00CF05D8" w:rsidRPr="00B47352" w:rsidRDefault="00CF05D8" w:rsidP="003551E1">
      <w:pPr>
        <w:pStyle w:val="Formatvorlage4"/>
        <w:spacing w:before="0" w:after="120"/>
        <w:rPr>
          <w:b w:val="0"/>
          <w:highlight w:val="green"/>
          <w:lang w:eastAsia="de-DE"/>
        </w:rPr>
      </w:pPr>
    </w:p>
    <w:p w14:paraId="3412237D" w14:textId="77777777" w:rsidR="00343F8D" w:rsidRPr="00B47352" w:rsidRDefault="00290739" w:rsidP="005D4840">
      <w:pPr>
        <w:pStyle w:val="Formatvorlage4"/>
        <w:spacing w:before="120" w:after="120"/>
        <w:rPr>
          <w:b w:val="0"/>
          <w:highlight w:val="green"/>
          <w:lang w:eastAsia="de-DE"/>
        </w:rPr>
      </w:pPr>
      <w:r w:rsidRPr="00B47352">
        <w:rPr>
          <w:b w:val="0"/>
          <w:highlight w:val="green"/>
          <w:lang w:eastAsia="de-DE"/>
        </w:rPr>
        <w:t>Nach Berücksichtigung der</w:t>
      </w:r>
      <w:r w:rsidR="00CF05D8" w:rsidRPr="00B47352">
        <w:rPr>
          <w:b w:val="0"/>
          <w:highlight w:val="green"/>
          <w:lang w:eastAsia="de-DE"/>
        </w:rPr>
        <w:t xml:space="preserve"> voraussichtlich</w:t>
      </w:r>
      <w:r w:rsidRPr="00B47352">
        <w:rPr>
          <w:b w:val="0"/>
          <w:highlight w:val="green"/>
          <w:lang w:eastAsia="de-DE"/>
        </w:rPr>
        <w:t xml:space="preserve"> nicht anrechenbaren Kosten von insgesamt rund 110 Millionen Franken verbleiben abgeltungsberechtigte Kosten von rund 883 Millionen Franken. Mit dem Abgeltungssatz von 24,31 Prozent gerechnet, ergibt sich ein Subventionsbeitrag aus dem VASA-Fonds in der Grössenordnung von 215 Millionen Franken. </w:t>
      </w:r>
    </w:p>
    <w:p w14:paraId="36E83672" w14:textId="77777777" w:rsidR="00F00826" w:rsidRPr="005D4840" w:rsidRDefault="00F00826" w:rsidP="00D52282">
      <w:pPr>
        <w:pStyle w:val="Formatvorlage4"/>
        <w:spacing w:before="120" w:after="120"/>
        <w:ind w:right="-142"/>
        <w:rPr>
          <w:b w:val="0"/>
          <w:lang w:eastAsia="de-DE"/>
        </w:rPr>
      </w:pPr>
      <w:r w:rsidRPr="00B47352">
        <w:rPr>
          <w:b w:val="0"/>
          <w:highlight w:val="green"/>
          <w:lang w:eastAsia="de-DE"/>
        </w:rPr>
        <w:t>Es ist darau</w:t>
      </w:r>
      <w:r w:rsidR="00497580" w:rsidRPr="00B47352">
        <w:rPr>
          <w:b w:val="0"/>
          <w:highlight w:val="green"/>
          <w:lang w:eastAsia="de-DE"/>
        </w:rPr>
        <w:t>f hinzuweisen, dass</w:t>
      </w:r>
      <w:r w:rsidRPr="00B47352">
        <w:rPr>
          <w:b w:val="0"/>
          <w:highlight w:val="green"/>
          <w:lang w:eastAsia="de-DE"/>
        </w:rPr>
        <w:t xml:space="preserve"> diese Summe zu wesentlichen Teilen auf hochgerechneten Kostenprognosen beruht. </w:t>
      </w:r>
      <w:r w:rsidR="00724F2C" w:rsidRPr="00B47352">
        <w:rPr>
          <w:b w:val="0"/>
          <w:highlight w:val="green"/>
          <w:lang w:eastAsia="de-DE"/>
        </w:rPr>
        <w:t xml:space="preserve">Es bestehen immer noch erhebliche Unsicherheiten was die Menge und Qualität der Abfälle betrifft. Wesentlichen Einfluss auf die Kostengenauigkeit hat die beim Abbau tatsächlich angetroffene Dichte des Deponiekörpers. </w:t>
      </w:r>
      <w:r w:rsidR="00497580" w:rsidRPr="00B47352">
        <w:rPr>
          <w:b w:val="0"/>
          <w:highlight w:val="green"/>
          <w:lang w:eastAsia="de-DE"/>
        </w:rPr>
        <w:t xml:space="preserve">Bei der Deponiesohle wird sich erst gegen Ende der Rückbauarbeiten zeigen, in welchem Ausmass diese kontaminiert ist bzw. </w:t>
      </w:r>
      <w:r w:rsidR="00264A3A" w:rsidRPr="00B47352">
        <w:rPr>
          <w:b w:val="0"/>
          <w:highlight w:val="green"/>
          <w:lang w:eastAsia="de-DE"/>
        </w:rPr>
        <w:t xml:space="preserve">wie </w:t>
      </w:r>
      <w:r w:rsidR="00497580" w:rsidRPr="00B47352">
        <w:rPr>
          <w:b w:val="0"/>
          <w:highlight w:val="green"/>
          <w:lang w:eastAsia="de-DE"/>
        </w:rPr>
        <w:t xml:space="preserve">hoch der zurückzubauende Felsanteil sein wird. Gemäss </w:t>
      </w:r>
      <w:proofErr w:type="spellStart"/>
      <w:r w:rsidR="00497580" w:rsidRPr="00B47352">
        <w:rPr>
          <w:b w:val="0"/>
          <w:highlight w:val="green"/>
          <w:lang w:eastAsia="de-DE"/>
        </w:rPr>
        <w:t>AfU</w:t>
      </w:r>
      <w:proofErr w:type="spellEnd"/>
      <w:r w:rsidR="00497580" w:rsidRPr="00B47352">
        <w:rPr>
          <w:b w:val="0"/>
          <w:highlight w:val="green"/>
          <w:lang w:eastAsia="de-DE"/>
        </w:rPr>
        <w:t xml:space="preserve"> des Kantons Aargau ist bei den prognostizierten Entsorgungsmengen und –kosten mit einer Unsicherheit von +/-15%</w:t>
      </w:r>
      <w:r w:rsidR="00303B6D" w:rsidRPr="00B47352">
        <w:rPr>
          <w:b w:val="0"/>
          <w:highlight w:val="green"/>
          <w:lang w:eastAsia="de-DE"/>
        </w:rPr>
        <w:t xml:space="preserve"> zu rechnen.</w:t>
      </w:r>
    </w:p>
    <w:p w14:paraId="057D8A8F" w14:textId="77777777" w:rsidR="009C29E9" w:rsidRPr="00B47352" w:rsidRDefault="00987A8A" w:rsidP="00987A8A">
      <w:pPr>
        <w:pStyle w:val="berschrift3"/>
        <w:rPr>
          <w:highlight w:val="blue"/>
        </w:rPr>
      </w:pPr>
      <w:bookmarkStart w:id="256" w:name="_Toc356294715"/>
      <w:r w:rsidRPr="00B47352">
        <w:rPr>
          <w:highlight w:val="blue"/>
        </w:rPr>
        <w:lastRenderedPageBreak/>
        <w:t>Faz</w:t>
      </w:r>
      <w:r w:rsidR="00A35CEA" w:rsidRPr="00B47352">
        <w:rPr>
          <w:highlight w:val="blue"/>
        </w:rPr>
        <w:t>it</w:t>
      </w:r>
      <w:r w:rsidRPr="00B47352">
        <w:rPr>
          <w:highlight w:val="blue"/>
        </w:rPr>
        <w:t xml:space="preserve"> der Plausibilitätsprüfung</w:t>
      </w:r>
      <w:r w:rsidR="00246874" w:rsidRPr="00B47352">
        <w:rPr>
          <w:highlight w:val="blue"/>
        </w:rPr>
        <w:t xml:space="preserve"> </w:t>
      </w:r>
      <w:proofErr w:type="gramStart"/>
      <w:r w:rsidR="00246874" w:rsidRPr="00B47352">
        <w:rPr>
          <w:highlight w:val="blue"/>
        </w:rPr>
        <w:t>betreffend</w:t>
      </w:r>
      <w:r w:rsidRPr="00B47352">
        <w:rPr>
          <w:highlight w:val="blue"/>
        </w:rPr>
        <w:t xml:space="preserve"> der </w:t>
      </w:r>
      <w:r w:rsidR="00A35CEA" w:rsidRPr="00B47352">
        <w:rPr>
          <w:highlight w:val="blue"/>
        </w:rPr>
        <w:t>Verfügung</w:t>
      </w:r>
      <w:proofErr w:type="gramEnd"/>
      <w:r w:rsidR="00A35CEA" w:rsidRPr="00B47352">
        <w:rPr>
          <w:highlight w:val="blue"/>
        </w:rPr>
        <w:t xml:space="preserve"> um Zusicherung und Auszahlung von Abgeltungen an die Sanierung der Sondermülldeponie Kölliken</w:t>
      </w:r>
      <w:bookmarkEnd w:id="256"/>
    </w:p>
    <w:p w14:paraId="3C394CF1" w14:textId="77777777" w:rsidR="0046433E" w:rsidRPr="00B47352" w:rsidRDefault="0046433E" w:rsidP="003D2131">
      <w:pPr>
        <w:pBdr>
          <w:top w:val="single" w:sz="4" w:space="1" w:color="auto"/>
          <w:left w:val="single" w:sz="4" w:space="4" w:color="auto"/>
          <w:bottom w:val="single" w:sz="4" w:space="1" w:color="auto"/>
          <w:right w:val="single" w:sz="4" w:space="4" w:color="auto"/>
        </w:pBdr>
        <w:spacing w:before="840"/>
        <w:ind w:left="284" w:hanging="284"/>
        <w:rPr>
          <w:b/>
          <w:sz w:val="18"/>
          <w:szCs w:val="18"/>
          <w:highlight w:val="blue"/>
          <w:u w:val="single"/>
          <w:lang w:eastAsia="de-DE"/>
        </w:rPr>
      </w:pPr>
      <w:r w:rsidRPr="00B47352">
        <w:rPr>
          <w:sz w:val="18"/>
          <w:szCs w:val="18"/>
          <w:highlight w:val="blue"/>
          <w:u w:val="single"/>
        </w:rPr>
        <w:t>Vorbemerkung</w:t>
      </w:r>
      <w:r w:rsidRPr="00B47352">
        <w:rPr>
          <w:b/>
          <w:sz w:val="18"/>
          <w:szCs w:val="18"/>
          <w:highlight w:val="blue"/>
          <w:u w:val="single"/>
          <w:lang w:eastAsia="de-DE"/>
        </w:rPr>
        <w:t>:</w:t>
      </w:r>
    </w:p>
    <w:p w14:paraId="7D498DD7" w14:textId="77777777" w:rsidR="009C29E9" w:rsidRPr="00DB2B45" w:rsidRDefault="00FD3A59" w:rsidP="00DB2B45">
      <w:pPr>
        <w:pStyle w:val="Formatvorlage4"/>
        <w:pBdr>
          <w:top w:val="single" w:sz="4" w:space="1" w:color="auto"/>
          <w:left w:val="single" w:sz="4" w:space="4" w:color="auto"/>
          <w:bottom w:val="single" w:sz="4" w:space="1" w:color="auto"/>
          <w:right w:val="single" w:sz="4" w:space="4" w:color="auto"/>
        </w:pBdr>
        <w:spacing w:before="0" w:after="120"/>
        <w:rPr>
          <w:b w:val="0"/>
          <w:sz w:val="18"/>
          <w:szCs w:val="18"/>
          <w:lang w:eastAsia="de-DE"/>
        </w:rPr>
      </w:pPr>
      <w:r w:rsidRPr="00B47352">
        <w:rPr>
          <w:b w:val="0"/>
          <w:sz w:val="18"/>
          <w:szCs w:val="18"/>
          <w:highlight w:val="blue"/>
          <w:lang w:eastAsia="de-DE"/>
        </w:rPr>
        <w:t xml:space="preserve">Zum Zeitpunkt der Revision lag die Zusicherungs- und Auszahlungsverfügung in Form eines Anhörungsentwurfs vor. </w:t>
      </w:r>
      <w:r w:rsidR="003D2131" w:rsidRPr="00B47352">
        <w:rPr>
          <w:b w:val="0"/>
          <w:sz w:val="18"/>
          <w:szCs w:val="18"/>
          <w:highlight w:val="blue"/>
          <w:lang w:eastAsia="de-DE"/>
        </w:rPr>
        <w:t xml:space="preserve">Inzwischen stimmte die </w:t>
      </w:r>
      <w:proofErr w:type="spellStart"/>
      <w:r w:rsidR="003D2131" w:rsidRPr="00B47352">
        <w:rPr>
          <w:b w:val="0"/>
          <w:sz w:val="18"/>
          <w:szCs w:val="18"/>
          <w:highlight w:val="blue"/>
          <w:lang w:eastAsia="de-DE"/>
        </w:rPr>
        <w:t>AfU</w:t>
      </w:r>
      <w:proofErr w:type="spellEnd"/>
      <w:r w:rsidR="003D2131" w:rsidRPr="00B47352">
        <w:rPr>
          <w:b w:val="0"/>
          <w:sz w:val="18"/>
          <w:szCs w:val="18"/>
          <w:highlight w:val="blue"/>
          <w:lang w:eastAsia="de-DE"/>
        </w:rPr>
        <w:t xml:space="preserve"> des Kantons Aargau diesem Entwurf zu. Das BAFU hat die definitive Zusicherung am 26. April 2013 rechtsgültig verfügt.</w:t>
      </w:r>
    </w:p>
    <w:p w14:paraId="09D37E93" w14:textId="77777777" w:rsidR="009C29E9" w:rsidRDefault="009C29E9" w:rsidP="003D2131">
      <w:pPr>
        <w:pStyle w:val="Formatvorlage4"/>
        <w:spacing w:before="240" w:after="360"/>
        <w:rPr>
          <w:b w:val="0"/>
          <w:lang w:eastAsia="de-DE"/>
        </w:rPr>
      </w:pPr>
    </w:p>
    <w:p w14:paraId="11AB7E7C" w14:textId="77777777" w:rsidR="009C29E9" w:rsidRPr="00B47352" w:rsidRDefault="00FB6EFF" w:rsidP="005D4840">
      <w:pPr>
        <w:pStyle w:val="Formatvorlage4"/>
        <w:spacing w:before="120" w:after="120"/>
        <w:rPr>
          <w:b w:val="0"/>
          <w:highlight w:val="blue"/>
          <w:lang w:eastAsia="de-DE"/>
        </w:rPr>
      </w:pPr>
      <w:r w:rsidRPr="00B47352">
        <w:rPr>
          <w:b w:val="0"/>
          <w:highlight w:val="blue"/>
          <w:lang w:eastAsia="de-DE"/>
        </w:rPr>
        <w:t>Aus der Plausibilisierung lässt sich schliessen, dass</w:t>
      </w:r>
    </w:p>
    <w:p w14:paraId="7B200D8C" w14:textId="77777777" w:rsidR="00FB6EFF" w:rsidRPr="00B47352" w:rsidRDefault="00246874" w:rsidP="00913BC9">
      <w:pPr>
        <w:pStyle w:val="Listenabsatz"/>
        <w:numPr>
          <w:ilvl w:val="0"/>
          <w:numId w:val="9"/>
        </w:numPr>
        <w:spacing w:before="0"/>
        <w:rPr>
          <w:highlight w:val="blue"/>
        </w:rPr>
      </w:pPr>
      <w:r w:rsidRPr="00B47352">
        <w:rPr>
          <w:highlight w:val="blue"/>
        </w:rPr>
        <w:t>d</w:t>
      </w:r>
      <w:r w:rsidR="00FB6EFF" w:rsidRPr="00B47352">
        <w:rPr>
          <w:highlight w:val="blue"/>
        </w:rPr>
        <w:t>er Ersatz der ursprünglichen Verfügung vom 24. August 2006 aufgrund der subventionsrechtlichen Normen zurecht erfolgt ist,</w:t>
      </w:r>
    </w:p>
    <w:p w14:paraId="17B49E09" w14:textId="77777777" w:rsidR="00FB6EFF" w:rsidRPr="00B47352" w:rsidRDefault="00246874" w:rsidP="00913BC9">
      <w:pPr>
        <w:pStyle w:val="Listenabsatz"/>
        <w:numPr>
          <w:ilvl w:val="0"/>
          <w:numId w:val="9"/>
        </w:numPr>
        <w:spacing w:before="0"/>
        <w:rPr>
          <w:highlight w:val="blue"/>
        </w:rPr>
      </w:pPr>
      <w:r w:rsidRPr="00B47352">
        <w:rPr>
          <w:highlight w:val="blue"/>
        </w:rPr>
        <w:t>e</w:t>
      </w:r>
      <w:r w:rsidR="00FB6EFF" w:rsidRPr="00B47352">
        <w:rPr>
          <w:highlight w:val="blue"/>
        </w:rPr>
        <w:t>ine neue</w:t>
      </w:r>
      <w:r w:rsidR="00021E83" w:rsidRPr="00B47352">
        <w:rPr>
          <w:highlight w:val="blue"/>
        </w:rPr>
        <w:t xml:space="preserve"> Verfügung allerdings bereits in der frühen Phase der Rückbauetappe 1, nach Bekanntwe</w:t>
      </w:r>
      <w:r w:rsidR="00DB2B45" w:rsidRPr="00B47352">
        <w:rPr>
          <w:highlight w:val="blue"/>
        </w:rPr>
        <w:t xml:space="preserve">rden der erheblichen Mehrmengen </w:t>
      </w:r>
      <w:r w:rsidR="00021E83" w:rsidRPr="00B47352">
        <w:rPr>
          <w:highlight w:val="blue"/>
        </w:rPr>
        <w:t xml:space="preserve">bei den Siedlungsabfällen, hätte erfolgen müssen, </w:t>
      </w:r>
    </w:p>
    <w:p w14:paraId="071F8196" w14:textId="77777777" w:rsidR="00021E83" w:rsidRPr="00B47352" w:rsidRDefault="00246874" w:rsidP="00913BC9">
      <w:pPr>
        <w:pStyle w:val="Listenabsatz"/>
        <w:numPr>
          <w:ilvl w:val="0"/>
          <w:numId w:val="9"/>
        </w:numPr>
        <w:spacing w:before="0"/>
        <w:rPr>
          <w:highlight w:val="blue"/>
        </w:rPr>
      </w:pPr>
      <w:r w:rsidRPr="00B47352">
        <w:rPr>
          <w:highlight w:val="blue"/>
        </w:rPr>
        <w:t>d</w:t>
      </w:r>
      <w:r w:rsidR="00021E83" w:rsidRPr="00B47352">
        <w:rPr>
          <w:highlight w:val="blue"/>
        </w:rPr>
        <w:t xml:space="preserve">ie rückwirkende Erhöhung des Abgeltungssatzes </w:t>
      </w:r>
      <w:r w:rsidRPr="00B47352">
        <w:rPr>
          <w:highlight w:val="blue"/>
        </w:rPr>
        <w:t xml:space="preserve">von 17,64 auf </w:t>
      </w:r>
      <w:r w:rsidR="00021E83" w:rsidRPr="00B47352">
        <w:rPr>
          <w:highlight w:val="blue"/>
        </w:rPr>
        <w:t>24,31 Prozent gemäss gutachterlichen Berechnungen</w:t>
      </w:r>
      <w:r w:rsidR="002E4AB0" w:rsidRPr="00B47352">
        <w:rPr>
          <w:highlight w:val="blue"/>
        </w:rPr>
        <w:t xml:space="preserve"> plausibel und</w:t>
      </w:r>
      <w:r w:rsidR="00021E83" w:rsidRPr="00B47352">
        <w:rPr>
          <w:highlight w:val="blue"/>
        </w:rPr>
        <w:t xml:space="preserve"> belegt ist,</w:t>
      </w:r>
    </w:p>
    <w:p w14:paraId="5EBB0173" w14:textId="77777777" w:rsidR="00021E83" w:rsidRPr="00B47352" w:rsidRDefault="00246874" w:rsidP="00913BC9">
      <w:pPr>
        <w:pStyle w:val="Listenabsatz"/>
        <w:numPr>
          <w:ilvl w:val="0"/>
          <w:numId w:val="9"/>
        </w:numPr>
        <w:spacing w:before="0"/>
        <w:rPr>
          <w:highlight w:val="blue"/>
        </w:rPr>
      </w:pPr>
      <w:r w:rsidRPr="00B47352">
        <w:rPr>
          <w:highlight w:val="blue"/>
        </w:rPr>
        <w:t>d</w:t>
      </w:r>
      <w:r w:rsidR="002E4AB0" w:rsidRPr="00B47352">
        <w:rPr>
          <w:highlight w:val="blue"/>
        </w:rPr>
        <w:t>ie ve</w:t>
      </w:r>
      <w:r w:rsidRPr="00B47352">
        <w:rPr>
          <w:highlight w:val="blue"/>
        </w:rPr>
        <w:t>rschiedenen mit der Verfügung a</w:t>
      </w:r>
      <w:r w:rsidR="002E4AB0" w:rsidRPr="00B47352">
        <w:rPr>
          <w:highlight w:val="blue"/>
        </w:rPr>
        <w:t>visierten Nachzahlungen als Folge der Erhöhung des Ab</w:t>
      </w:r>
      <w:r w:rsidRPr="00B47352">
        <w:rPr>
          <w:highlight w:val="blue"/>
        </w:rPr>
        <w:t xml:space="preserve">geltungssatzes </w:t>
      </w:r>
      <w:r w:rsidR="00DB2B45" w:rsidRPr="00B47352">
        <w:rPr>
          <w:highlight w:val="blue"/>
        </w:rPr>
        <w:t>auf 24,</w:t>
      </w:r>
      <w:r w:rsidR="002E4AB0" w:rsidRPr="00B47352">
        <w:rPr>
          <w:highlight w:val="blue"/>
        </w:rPr>
        <w:t xml:space="preserve">31 Prozent im Umfang von insgesamt 34‘722‘005 Franken </w:t>
      </w:r>
      <w:r w:rsidR="00366F93" w:rsidRPr="00B47352">
        <w:rPr>
          <w:highlight w:val="blue"/>
        </w:rPr>
        <w:t>nachvollziehbar</w:t>
      </w:r>
      <w:r w:rsidR="00DB2B45" w:rsidRPr="00B47352">
        <w:rPr>
          <w:highlight w:val="blue"/>
        </w:rPr>
        <w:t xml:space="preserve"> sind,</w:t>
      </w:r>
    </w:p>
    <w:p w14:paraId="47338E31" w14:textId="77777777" w:rsidR="00FC337A" w:rsidRPr="00B47352" w:rsidRDefault="00246874" w:rsidP="00913BC9">
      <w:pPr>
        <w:pStyle w:val="Listenabsatz"/>
        <w:numPr>
          <w:ilvl w:val="0"/>
          <w:numId w:val="9"/>
        </w:numPr>
        <w:spacing w:before="0"/>
        <w:rPr>
          <w:highlight w:val="blue"/>
        </w:rPr>
      </w:pPr>
      <w:r w:rsidRPr="00B47352">
        <w:rPr>
          <w:highlight w:val="blue"/>
        </w:rPr>
        <w:t>d</w:t>
      </w:r>
      <w:r w:rsidR="00FC337A" w:rsidRPr="00B47352">
        <w:rPr>
          <w:highlight w:val="blue"/>
        </w:rPr>
        <w:t xml:space="preserve">ie </w:t>
      </w:r>
      <w:r w:rsidR="00366F93" w:rsidRPr="00B47352">
        <w:rPr>
          <w:highlight w:val="blue"/>
        </w:rPr>
        <w:t>Leistungen für die</w:t>
      </w:r>
      <w:r w:rsidR="00FC337A" w:rsidRPr="00B47352">
        <w:rPr>
          <w:highlight w:val="blue"/>
        </w:rPr>
        <w:t xml:space="preserve"> Vorbehandlung von Deponiekörperabfälle</w:t>
      </w:r>
      <w:r w:rsidR="00366F93" w:rsidRPr="00B47352">
        <w:rPr>
          <w:highlight w:val="blue"/>
        </w:rPr>
        <w:t>n</w:t>
      </w:r>
      <w:r w:rsidR="00FC337A" w:rsidRPr="00B47352">
        <w:rPr>
          <w:highlight w:val="blue"/>
        </w:rPr>
        <w:t xml:space="preserve"> unter strenger Einhaltung der in der Zusicherung dargelegten Bedingungen </w:t>
      </w:r>
      <w:r w:rsidR="00366F93" w:rsidRPr="00B47352">
        <w:rPr>
          <w:highlight w:val="blue"/>
        </w:rPr>
        <w:t>vertretbar sind,</w:t>
      </w:r>
    </w:p>
    <w:p w14:paraId="1FE2B97B" w14:textId="77777777" w:rsidR="00366F93" w:rsidRPr="00B47352" w:rsidRDefault="00246874" w:rsidP="00913BC9">
      <w:pPr>
        <w:pStyle w:val="Listenabsatz"/>
        <w:numPr>
          <w:ilvl w:val="0"/>
          <w:numId w:val="9"/>
        </w:numPr>
        <w:spacing w:before="0"/>
        <w:rPr>
          <w:highlight w:val="blue"/>
        </w:rPr>
      </w:pPr>
      <w:r w:rsidRPr="00B47352">
        <w:rPr>
          <w:highlight w:val="blue"/>
        </w:rPr>
        <w:t>n</w:t>
      </w:r>
      <w:r w:rsidR="00690355" w:rsidRPr="00B47352">
        <w:rPr>
          <w:highlight w:val="blue"/>
        </w:rPr>
        <w:t>ach der Vorbehandlung strikt die effektiven Deponie- und Entsorgungspreise gemäss ent</w:t>
      </w:r>
      <w:r w:rsidR="001019E7" w:rsidRPr="00B47352">
        <w:rPr>
          <w:highlight w:val="blue"/>
        </w:rPr>
        <w:t xml:space="preserve">sprechender </w:t>
      </w:r>
      <w:proofErr w:type="spellStart"/>
      <w:r w:rsidR="001019E7" w:rsidRPr="00B47352">
        <w:rPr>
          <w:highlight w:val="blue"/>
        </w:rPr>
        <w:t>Controllingb</w:t>
      </w:r>
      <w:r w:rsidR="00690355" w:rsidRPr="00B47352">
        <w:rPr>
          <w:highlight w:val="blue"/>
        </w:rPr>
        <w:t>erichte</w:t>
      </w:r>
      <w:proofErr w:type="spellEnd"/>
      <w:r w:rsidR="00486BCF" w:rsidRPr="00B47352">
        <w:rPr>
          <w:highlight w:val="blue"/>
        </w:rPr>
        <w:t xml:space="preserve"> abgegolten werden, </w:t>
      </w:r>
    </w:p>
    <w:p w14:paraId="57F268B1" w14:textId="77777777" w:rsidR="00486BCF" w:rsidRPr="00B47352" w:rsidRDefault="00075159" w:rsidP="00913BC9">
      <w:pPr>
        <w:pStyle w:val="Listenabsatz"/>
        <w:numPr>
          <w:ilvl w:val="0"/>
          <w:numId w:val="9"/>
        </w:numPr>
        <w:spacing w:before="0"/>
        <w:rPr>
          <w:highlight w:val="blue"/>
        </w:rPr>
      </w:pPr>
      <w:r w:rsidRPr="00B47352">
        <w:rPr>
          <w:highlight w:val="blue"/>
        </w:rPr>
        <w:t>d</w:t>
      </w:r>
      <w:r w:rsidR="00486BCF" w:rsidRPr="00B47352">
        <w:rPr>
          <w:highlight w:val="blue"/>
        </w:rPr>
        <w:t>ie nicht anrechenbaren Kosten von insgesamt rund 110 Millionen Franken aufgrund der vorgelegenen Daten und Hochrechnungen nachvollziehbar sind</w:t>
      </w:r>
      <w:r w:rsidR="00E61F73" w:rsidRPr="00B47352">
        <w:rPr>
          <w:highlight w:val="blue"/>
        </w:rPr>
        <w:t xml:space="preserve"> und somit</w:t>
      </w:r>
    </w:p>
    <w:p w14:paraId="09A7334F" w14:textId="77777777" w:rsidR="00E61F73" w:rsidRPr="00B47352" w:rsidRDefault="00075159" w:rsidP="00913BC9">
      <w:pPr>
        <w:pStyle w:val="Listenabsatz"/>
        <w:numPr>
          <w:ilvl w:val="0"/>
          <w:numId w:val="9"/>
        </w:numPr>
        <w:spacing w:before="0" w:after="240"/>
        <w:ind w:left="357" w:hanging="357"/>
        <w:rPr>
          <w:highlight w:val="blue"/>
        </w:rPr>
      </w:pPr>
      <w:r w:rsidRPr="00B47352">
        <w:rPr>
          <w:highlight w:val="blue"/>
        </w:rPr>
        <w:t>der aufgrund</w:t>
      </w:r>
      <w:r w:rsidR="00E61F73" w:rsidRPr="00B47352">
        <w:rPr>
          <w:highlight w:val="blue"/>
        </w:rPr>
        <w:t xml:space="preserve"> </w:t>
      </w:r>
      <w:r w:rsidRPr="00B47352">
        <w:rPr>
          <w:highlight w:val="blue"/>
        </w:rPr>
        <w:t>der voraussichtlichen G</w:t>
      </w:r>
      <w:r w:rsidR="00E61F73" w:rsidRPr="00B47352">
        <w:rPr>
          <w:highlight w:val="blue"/>
        </w:rPr>
        <w:t xml:space="preserve">esamtkosten von 993 Millionen Franken bzw. </w:t>
      </w:r>
      <w:r w:rsidRPr="00B47352">
        <w:rPr>
          <w:highlight w:val="blue"/>
        </w:rPr>
        <w:t xml:space="preserve">auf der Basis </w:t>
      </w:r>
      <w:proofErr w:type="gramStart"/>
      <w:r w:rsidRPr="00B47352">
        <w:rPr>
          <w:highlight w:val="blue"/>
        </w:rPr>
        <w:t xml:space="preserve">der </w:t>
      </w:r>
      <w:r w:rsidR="00E61F73" w:rsidRPr="00B47352">
        <w:rPr>
          <w:highlight w:val="blue"/>
        </w:rPr>
        <w:t>anrechenbaren Kosen</w:t>
      </w:r>
      <w:proofErr w:type="gramEnd"/>
      <w:r w:rsidR="00E61F73" w:rsidRPr="00B47352">
        <w:rPr>
          <w:highlight w:val="blue"/>
        </w:rPr>
        <w:t xml:space="preserve"> von 883 Millionen Franken zugesicherte Subventionsbeitrag in der Grössenordnung von 215 Millionen Franken </w:t>
      </w:r>
      <w:r w:rsidRPr="00B47352">
        <w:rPr>
          <w:highlight w:val="blue"/>
        </w:rPr>
        <w:t xml:space="preserve">als </w:t>
      </w:r>
      <w:r w:rsidR="00E61F73" w:rsidRPr="00B47352">
        <w:rPr>
          <w:highlight w:val="blue"/>
        </w:rPr>
        <w:t xml:space="preserve">realistisch </w:t>
      </w:r>
      <w:r w:rsidRPr="00B47352">
        <w:rPr>
          <w:highlight w:val="blue"/>
        </w:rPr>
        <w:t>taxiert werden kann.</w:t>
      </w:r>
    </w:p>
    <w:p w14:paraId="6E680B7A" w14:textId="77777777" w:rsidR="0046433E" w:rsidRPr="00B47352" w:rsidRDefault="00CD3AC7" w:rsidP="00697A82">
      <w:pPr>
        <w:tabs>
          <w:tab w:val="right" w:pos="284"/>
          <w:tab w:val="center" w:pos="8505"/>
        </w:tabs>
        <w:spacing w:before="480"/>
        <w:rPr>
          <w:highlight w:val="blue"/>
        </w:rPr>
      </w:pPr>
      <w:r w:rsidRPr="00B47352">
        <w:rPr>
          <w:highlight w:val="blue"/>
        </w:rPr>
        <w:t>Dem ist zuzufügen, dass ungeachtet der</w:t>
      </w:r>
      <w:r w:rsidR="0043550E" w:rsidRPr="00B47352">
        <w:rPr>
          <w:highlight w:val="blue"/>
        </w:rPr>
        <w:t xml:space="preserve"> </w:t>
      </w:r>
      <w:r w:rsidRPr="00B47352">
        <w:rPr>
          <w:highlight w:val="blue"/>
        </w:rPr>
        <w:t xml:space="preserve">richtungsweisenden </w:t>
      </w:r>
      <w:r w:rsidR="0043550E" w:rsidRPr="00B47352">
        <w:rPr>
          <w:highlight w:val="blue"/>
        </w:rPr>
        <w:t>Zusicherungsverfügung letztlich die geprüften und effektiv als abgeltungsberechtigt anerkannten Kosten, wie sie in den jeweiligen Auszahlungsverfügungen dar</w:t>
      </w:r>
      <w:r w:rsidRPr="00B47352">
        <w:rPr>
          <w:highlight w:val="blue"/>
        </w:rPr>
        <w:t>zulegen sind</w:t>
      </w:r>
      <w:r w:rsidR="0043550E" w:rsidRPr="00B47352">
        <w:rPr>
          <w:highlight w:val="blue"/>
        </w:rPr>
        <w:t>, die tatsächlichen Subventionsbeiträge bestim</w:t>
      </w:r>
      <w:r w:rsidRPr="00B47352">
        <w:rPr>
          <w:highlight w:val="blue"/>
        </w:rPr>
        <w:t>men.</w:t>
      </w:r>
    </w:p>
    <w:p w14:paraId="288D46DA" w14:textId="77777777" w:rsidR="0043550E" w:rsidRPr="00B47352" w:rsidRDefault="0043550E" w:rsidP="00697A82">
      <w:pPr>
        <w:tabs>
          <w:tab w:val="right" w:pos="284"/>
          <w:tab w:val="center" w:pos="8505"/>
        </w:tabs>
        <w:rPr>
          <w:highlight w:val="blue"/>
        </w:rPr>
      </w:pPr>
      <w:r w:rsidRPr="00B47352">
        <w:rPr>
          <w:highlight w:val="blue"/>
        </w:rPr>
        <w:t xml:space="preserve">Die Komplexität des Sanierungsprojekts SMDK zeigt auf, dass </w:t>
      </w:r>
      <w:r w:rsidR="00AD4E2D" w:rsidRPr="00B47352">
        <w:rPr>
          <w:highlight w:val="blue"/>
        </w:rPr>
        <w:t>Projekte dieser Grössenordnung ohne ein griffiges Controllingkonzept nur schwer überwachbar sind. Die Ausarbeitung eines Controllingkonz</w:t>
      </w:r>
      <w:r w:rsidR="00426FCD" w:rsidRPr="00B47352">
        <w:rPr>
          <w:highlight w:val="blue"/>
        </w:rPr>
        <w:t>epts würde sich für bedeutende</w:t>
      </w:r>
      <w:r w:rsidR="00B15703" w:rsidRPr="00B47352">
        <w:rPr>
          <w:highlight w:val="blue"/>
        </w:rPr>
        <w:t>, noch anstehende</w:t>
      </w:r>
      <w:r w:rsidR="00AD4E2D" w:rsidRPr="00B47352">
        <w:rPr>
          <w:highlight w:val="blue"/>
        </w:rPr>
        <w:t xml:space="preserve"> Sanierungsvorhaben wie beispielsweise</w:t>
      </w:r>
      <w:r w:rsidR="00055664" w:rsidRPr="00B47352">
        <w:rPr>
          <w:highlight w:val="blue"/>
        </w:rPr>
        <w:t xml:space="preserve"> für die Deponie La </w:t>
      </w:r>
      <w:proofErr w:type="spellStart"/>
      <w:r w:rsidR="00055664" w:rsidRPr="00B47352">
        <w:rPr>
          <w:highlight w:val="blue"/>
        </w:rPr>
        <w:t>Pila</w:t>
      </w:r>
      <w:proofErr w:type="spellEnd"/>
      <w:r w:rsidR="00055664" w:rsidRPr="00B47352">
        <w:rPr>
          <w:highlight w:val="blue"/>
        </w:rPr>
        <w:t xml:space="preserve"> in </w:t>
      </w:r>
      <w:proofErr w:type="spellStart"/>
      <w:r w:rsidR="00055664" w:rsidRPr="00B47352">
        <w:rPr>
          <w:highlight w:val="blue"/>
        </w:rPr>
        <w:t>Hauterive</w:t>
      </w:r>
      <w:proofErr w:type="spellEnd"/>
      <w:r w:rsidR="00055664" w:rsidRPr="00B47352">
        <w:rPr>
          <w:highlight w:val="blue"/>
        </w:rPr>
        <w:t>,</w:t>
      </w:r>
      <w:r w:rsidR="00426FCD" w:rsidRPr="00B47352">
        <w:rPr>
          <w:highlight w:val="blue"/>
        </w:rPr>
        <w:t xml:space="preserve"> die</w:t>
      </w:r>
      <w:r w:rsidR="00055664" w:rsidRPr="00B47352">
        <w:rPr>
          <w:highlight w:val="blue"/>
        </w:rPr>
        <w:t xml:space="preserve"> Deponien Feldreben, </w:t>
      </w:r>
      <w:proofErr w:type="spellStart"/>
      <w:r w:rsidR="00055664" w:rsidRPr="00B47352">
        <w:rPr>
          <w:highlight w:val="blue"/>
        </w:rPr>
        <w:t>Margelacker</w:t>
      </w:r>
      <w:proofErr w:type="spellEnd"/>
      <w:r w:rsidR="00055664" w:rsidRPr="00B47352">
        <w:rPr>
          <w:highlight w:val="blue"/>
        </w:rPr>
        <w:t xml:space="preserve"> und Rothausstrasse in Muttenz</w:t>
      </w:r>
      <w:r w:rsidR="00426FCD" w:rsidRPr="00B47352">
        <w:rPr>
          <w:highlight w:val="blue"/>
        </w:rPr>
        <w:t xml:space="preserve"> oder die Kehrichtdeponie Solothurn West („Stadtmist S</w:t>
      </w:r>
      <w:r w:rsidR="00B15703" w:rsidRPr="00B47352">
        <w:rPr>
          <w:highlight w:val="blue"/>
        </w:rPr>
        <w:t>olothurn“) lohnen. Die</w:t>
      </w:r>
      <w:r w:rsidR="00426FCD" w:rsidRPr="00B47352">
        <w:rPr>
          <w:highlight w:val="blue"/>
        </w:rPr>
        <w:t xml:space="preserve"> Controllingkonzepte müssten mit den jeweilig zuständigen kantonalen Amtsstel</w:t>
      </w:r>
      <w:r w:rsidR="00B15703" w:rsidRPr="00B47352">
        <w:rPr>
          <w:highlight w:val="blue"/>
        </w:rPr>
        <w:t xml:space="preserve">len </w:t>
      </w:r>
      <w:r w:rsidR="00B15703" w:rsidRPr="00B47352">
        <w:rPr>
          <w:highlight w:val="blue"/>
        </w:rPr>
        <w:lastRenderedPageBreak/>
        <w:t>einvernehmlich diskutiert</w:t>
      </w:r>
      <w:r w:rsidR="00426FCD" w:rsidRPr="00B47352">
        <w:rPr>
          <w:highlight w:val="blue"/>
        </w:rPr>
        <w:t xml:space="preserve"> und koordiniert werden. Nach Auffassung de</w:t>
      </w:r>
      <w:r w:rsidR="008643CD" w:rsidRPr="00B47352">
        <w:rPr>
          <w:highlight w:val="blue"/>
        </w:rPr>
        <w:t>r</w:t>
      </w:r>
      <w:r w:rsidR="00426FCD" w:rsidRPr="00B47352">
        <w:rPr>
          <w:highlight w:val="blue"/>
        </w:rPr>
        <w:t xml:space="preserve"> EFK sollte das BAFU </w:t>
      </w:r>
      <w:r w:rsidR="008643CD" w:rsidRPr="00B47352">
        <w:rPr>
          <w:highlight w:val="blue"/>
        </w:rPr>
        <w:t xml:space="preserve">die diesbezüglich eingeleiteten, </w:t>
      </w:r>
      <w:r w:rsidR="00DE27BA" w:rsidRPr="00B47352">
        <w:rPr>
          <w:highlight w:val="blue"/>
        </w:rPr>
        <w:t>derzeit</w:t>
      </w:r>
      <w:r w:rsidR="008643CD" w:rsidRPr="00B47352">
        <w:rPr>
          <w:highlight w:val="blue"/>
        </w:rPr>
        <w:t xml:space="preserve"> jedoch stillgelegten Arbeiten, </w:t>
      </w:r>
      <w:r w:rsidR="00DE27BA" w:rsidRPr="00B47352">
        <w:rPr>
          <w:highlight w:val="blue"/>
        </w:rPr>
        <w:t xml:space="preserve">möglichst rasch </w:t>
      </w:r>
      <w:r w:rsidR="008643CD" w:rsidRPr="00B47352">
        <w:rPr>
          <w:highlight w:val="blue"/>
        </w:rPr>
        <w:t>wieder aufnehmen.</w:t>
      </w:r>
    </w:p>
    <w:p w14:paraId="4EE3D2AA" w14:textId="77777777" w:rsidR="00501F14" w:rsidRPr="00B47352" w:rsidRDefault="00890E54" w:rsidP="00A84300">
      <w:pPr>
        <w:pStyle w:val="Empfehlung-n"/>
        <w:numPr>
          <w:ilvl w:val="0"/>
          <w:numId w:val="0"/>
        </w:numPr>
        <w:tabs>
          <w:tab w:val="left" w:pos="284"/>
        </w:tabs>
        <w:spacing w:before="240" w:line="300" w:lineRule="atLeast"/>
        <w:rPr>
          <w:color w:val="000000" w:themeColor="text1"/>
          <w:highlight w:val="darkYellow"/>
        </w:rPr>
      </w:pPr>
      <w:r w:rsidRPr="00B47352">
        <w:rPr>
          <w:color w:val="000000" w:themeColor="text1"/>
          <w:highlight w:val="darkYellow"/>
        </w:rPr>
        <w:t>Empfehlung 2 (Priorität 1</w:t>
      </w:r>
      <w:r w:rsidR="00501F14" w:rsidRPr="00B47352">
        <w:rPr>
          <w:color w:val="000000" w:themeColor="text1"/>
          <w:highlight w:val="darkYellow"/>
        </w:rPr>
        <w:t>):</w:t>
      </w:r>
    </w:p>
    <w:p w14:paraId="1515A9D0" w14:textId="77777777" w:rsidR="00501F14" w:rsidRPr="00B47352" w:rsidRDefault="004A38C1" w:rsidP="00A84300">
      <w:pPr>
        <w:pStyle w:val="Empfehlung-n"/>
        <w:numPr>
          <w:ilvl w:val="0"/>
          <w:numId w:val="0"/>
        </w:numPr>
        <w:tabs>
          <w:tab w:val="left" w:pos="284"/>
        </w:tabs>
        <w:spacing w:before="60" w:line="300" w:lineRule="atLeast"/>
        <w:rPr>
          <w:i w:val="0"/>
          <w:highlight w:val="darkYellow"/>
        </w:rPr>
      </w:pPr>
      <w:r w:rsidRPr="00B47352">
        <w:rPr>
          <w:highlight w:val="darkYellow"/>
        </w:rPr>
        <w:t>Die EFK empfiehlt dem BAFU</w:t>
      </w:r>
      <w:r w:rsidR="00501F14" w:rsidRPr="00B47352">
        <w:rPr>
          <w:highlight w:val="darkYellow"/>
        </w:rPr>
        <w:t>, für bedeutende Sanierungsprojekte ein griffiges Controllingkon</w:t>
      </w:r>
      <w:r w:rsidR="003820E8" w:rsidRPr="00B47352">
        <w:rPr>
          <w:highlight w:val="darkYellow"/>
        </w:rPr>
        <w:t>zept auszuarbeiten, indem die diesbezügli</w:t>
      </w:r>
      <w:r w:rsidR="00DE27BA" w:rsidRPr="00B47352">
        <w:rPr>
          <w:highlight w:val="darkYellow"/>
        </w:rPr>
        <w:t>ch stillgelegten Arbeiten möglichst rasch</w:t>
      </w:r>
      <w:r w:rsidR="003820E8" w:rsidRPr="00B47352">
        <w:rPr>
          <w:highlight w:val="darkYellow"/>
        </w:rPr>
        <w:t xml:space="preserve"> reaktiviert werden.</w:t>
      </w:r>
    </w:p>
    <w:p w14:paraId="7B20532C" w14:textId="77777777" w:rsidR="0043550E" w:rsidRDefault="0043550E" w:rsidP="005D4840">
      <w:pPr>
        <w:pStyle w:val="Formatvorlage4"/>
        <w:spacing w:before="120" w:after="120"/>
        <w:rPr>
          <w:b w:val="0"/>
          <w:lang w:eastAsia="de-DE"/>
        </w:rPr>
      </w:pPr>
    </w:p>
    <w:p w14:paraId="2223AB2F" w14:textId="77777777" w:rsidR="009C29E9" w:rsidRPr="00B47352" w:rsidRDefault="0011535D" w:rsidP="00BC2EBB">
      <w:pPr>
        <w:pStyle w:val="berschrift1"/>
        <w:rPr>
          <w:highlight w:val="green"/>
        </w:rPr>
      </w:pPr>
      <w:bookmarkStart w:id="257" w:name="_Toc356294716"/>
      <w:r w:rsidRPr="00B47352">
        <w:rPr>
          <w:highlight w:val="green"/>
        </w:rPr>
        <w:t>VASA-</w:t>
      </w:r>
      <w:r w:rsidR="00501BFE" w:rsidRPr="00B47352">
        <w:rPr>
          <w:highlight w:val="green"/>
        </w:rPr>
        <w:t>Abgabeerhebung</w:t>
      </w:r>
      <w:bookmarkEnd w:id="257"/>
    </w:p>
    <w:p w14:paraId="4D6AE8A4" w14:textId="77777777" w:rsidR="004E39C2" w:rsidRPr="00B47352" w:rsidRDefault="00372503" w:rsidP="00FD03DC">
      <w:pPr>
        <w:pStyle w:val="Formatvorlage4"/>
        <w:spacing w:before="120" w:after="120"/>
        <w:rPr>
          <w:b w:val="0"/>
          <w:highlight w:val="green"/>
          <w:lang w:eastAsia="de-DE"/>
        </w:rPr>
      </w:pPr>
      <w:r w:rsidRPr="00B47352">
        <w:rPr>
          <w:b w:val="0"/>
          <w:highlight w:val="green"/>
          <w:lang w:eastAsia="de-DE"/>
        </w:rPr>
        <w:t>Das Umweltschutzgesetz regelt in Artikel 32d die Tragung der Altlaste</w:t>
      </w:r>
      <w:r w:rsidR="004C18B6" w:rsidRPr="00B47352">
        <w:rPr>
          <w:b w:val="0"/>
          <w:highlight w:val="green"/>
          <w:lang w:eastAsia="de-DE"/>
        </w:rPr>
        <w:t>nbearbeitungskosten. Artikel 32e</w:t>
      </w:r>
      <w:r w:rsidRPr="00B47352">
        <w:rPr>
          <w:b w:val="0"/>
          <w:highlight w:val="green"/>
          <w:lang w:eastAsia="de-DE"/>
        </w:rPr>
        <w:t xml:space="preserve"> gibt dem Bundesrat die Kompetenz</w:t>
      </w:r>
      <w:r w:rsidR="004C18B6" w:rsidRPr="00B47352">
        <w:rPr>
          <w:b w:val="0"/>
          <w:highlight w:val="green"/>
          <w:lang w:eastAsia="de-DE"/>
        </w:rPr>
        <w:t>,</w:t>
      </w:r>
      <w:r w:rsidRPr="00B47352">
        <w:rPr>
          <w:b w:val="0"/>
          <w:highlight w:val="green"/>
          <w:lang w:eastAsia="de-DE"/>
        </w:rPr>
        <w:t xml:space="preserve"> eine Abgabe auf deponierte</w:t>
      </w:r>
      <w:r w:rsidR="004C18B6" w:rsidRPr="00B47352">
        <w:rPr>
          <w:b w:val="0"/>
          <w:highlight w:val="green"/>
          <w:lang w:eastAsia="de-DE"/>
        </w:rPr>
        <w:t>n</w:t>
      </w:r>
      <w:r w:rsidRPr="00B47352">
        <w:rPr>
          <w:b w:val="0"/>
          <w:highlight w:val="green"/>
          <w:lang w:eastAsia="de-DE"/>
        </w:rPr>
        <w:t xml:space="preserve"> oder zur Ablagerung exportierte</w:t>
      </w:r>
      <w:r w:rsidR="004C18B6" w:rsidRPr="00B47352">
        <w:rPr>
          <w:b w:val="0"/>
          <w:highlight w:val="green"/>
          <w:lang w:eastAsia="de-DE"/>
        </w:rPr>
        <w:t>n</w:t>
      </w:r>
      <w:r w:rsidRPr="00B47352">
        <w:rPr>
          <w:b w:val="0"/>
          <w:highlight w:val="green"/>
          <w:lang w:eastAsia="de-DE"/>
        </w:rPr>
        <w:t xml:space="preserve"> Abfälle</w:t>
      </w:r>
      <w:r w:rsidR="004C18B6" w:rsidRPr="00B47352">
        <w:rPr>
          <w:b w:val="0"/>
          <w:highlight w:val="green"/>
          <w:lang w:eastAsia="de-DE"/>
        </w:rPr>
        <w:t>n</w:t>
      </w:r>
      <w:r w:rsidRPr="00B47352">
        <w:rPr>
          <w:b w:val="0"/>
          <w:highlight w:val="green"/>
          <w:lang w:eastAsia="de-DE"/>
        </w:rPr>
        <w:t xml:space="preserve"> zu erheben. Dieses Finanzierungssystem</w:t>
      </w:r>
      <w:r w:rsidR="002E2A3E" w:rsidRPr="00B47352">
        <w:rPr>
          <w:b w:val="0"/>
          <w:highlight w:val="green"/>
          <w:lang w:eastAsia="de-DE"/>
        </w:rPr>
        <w:t xml:space="preserve"> ist in der Verordnung über die Abgabe zur Sanierung von Altlasten (VASA) konkretisiert.</w:t>
      </w:r>
      <w:r w:rsidR="008653EC" w:rsidRPr="00B47352">
        <w:rPr>
          <w:b w:val="0"/>
          <w:highlight w:val="green"/>
          <w:lang w:eastAsia="de-DE"/>
        </w:rPr>
        <w:t xml:space="preserve"> Die Abgaben basieren auf den im Artikel 3 VASA festgelegten Abgabesätzen und auf den Abfallmengen, die auf schweizerischen Deponien abgelagert oder zur Ablagerung ins Ausland exportiert werden. </w:t>
      </w:r>
      <w:r w:rsidR="00C870BC" w:rsidRPr="00B47352">
        <w:rPr>
          <w:b w:val="0"/>
          <w:highlight w:val="green"/>
          <w:lang w:eastAsia="de-DE"/>
        </w:rPr>
        <w:t xml:space="preserve">Die Abgabeforderung entsteht im Zeitpunkt der Ablagerung im Inland oder im Zeitpunkt der Ausfuhr. </w:t>
      </w:r>
      <w:r w:rsidR="00F52C9E" w:rsidRPr="00B47352">
        <w:rPr>
          <w:b w:val="0"/>
          <w:highlight w:val="green"/>
          <w:lang w:eastAsia="de-DE"/>
        </w:rPr>
        <w:t>Die Abgabesätze variieren je nach Deponietyp (</w:t>
      </w:r>
      <w:proofErr w:type="spellStart"/>
      <w:r w:rsidR="00F52C9E" w:rsidRPr="00B47352">
        <w:rPr>
          <w:b w:val="0"/>
          <w:highlight w:val="green"/>
          <w:lang w:eastAsia="de-DE"/>
        </w:rPr>
        <w:t>Inertstoff</w:t>
      </w:r>
      <w:proofErr w:type="spellEnd"/>
      <w:r w:rsidR="00F52C9E" w:rsidRPr="00B47352">
        <w:rPr>
          <w:b w:val="0"/>
          <w:highlight w:val="green"/>
          <w:lang w:eastAsia="de-DE"/>
        </w:rPr>
        <w:t>-, Reststoff-, Reaktor-, Untertage</w:t>
      </w:r>
      <w:r w:rsidR="004E39C2" w:rsidRPr="00B47352">
        <w:rPr>
          <w:b w:val="0"/>
          <w:highlight w:val="green"/>
          <w:lang w:eastAsia="de-DE"/>
        </w:rPr>
        <w:t xml:space="preserve">deponie). </w:t>
      </w:r>
      <w:r w:rsidR="0057453C" w:rsidRPr="00B47352">
        <w:rPr>
          <w:b w:val="0"/>
          <w:highlight w:val="green"/>
          <w:lang w:eastAsia="de-DE"/>
        </w:rPr>
        <w:t>Bestimmt werden die Abgabesätze</w:t>
      </w:r>
      <w:r w:rsidR="004E39C2" w:rsidRPr="00B47352">
        <w:rPr>
          <w:b w:val="0"/>
          <w:highlight w:val="green"/>
          <w:lang w:eastAsia="de-DE"/>
        </w:rPr>
        <w:t xml:space="preserve"> aufgrund von statistisch erfassten Abfallmengen und dem geschätz</w:t>
      </w:r>
      <w:r w:rsidR="0057453C" w:rsidRPr="00B47352">
        <w:rPr>
          <w:b w:val="0"/>
          <w:highlight w:val="green"/>
          <w:lang w:eastAsia="de-DE"/>
        </w:rPr>
        <w:t xml:space="preserve">ten jährlichen Finanzbedarf </w:t>
      </w:r>
      <w:r w:rsidR="004E7B5A" w:rsidRPr="00B47352">
        <w:rPr>
          <w:b w:val="0"/>
          <w:highlight w:val="green"/>
          <w:lang w:eastAsia="de-DE"/>
        </w:rPr>
        <w:t xml:space="preserve">von </w:t>
      </w:r>
      <w:r w:rsidR="00FD5DB1" w:rsidRPr="00B47352">
        <w:rPr>
          <w:b w:val="0"/>
          <w:highlight w:val="green"/>
          <w:lang w:eastAsia="de-DE"/>
        </w:rPr>
        <w:t xml:space="preserve">rund </w:t>
      </w:r>
      <w:r w:rsidR="00B9116F" w:rsidRPr="00B47352">
        <w:rPr>
          <w:b w:val="0"/>
          <w:highlight w:val="green"/>
          <w:lang w:eastAsia="de-DE"/>
        </w:rPr>
        <w:t>35</w:t>
      </w:r>
      <w:r w:rsidR="004E7B5A" w:rsidRPr="00B47352">
        <w:rPr>
          <w:b w:val="0"/>
          <w:highlight w:val="green"/>
          <w:lang w:eastAsia="de-DE"/>
        </w:rPr>
        <w:t xml:space="preserve"> Millionen Franken bei einer angenommenen Altlastenbearbeitungsdauer </w:t>
      </w:r>
      <w:r w:rsidR="00631B65" w:rsidRPr="00B47352">
        <w:rPr>
          <w:b w:val="0"/>
          <w:highlight w:val="green"/>
          <w:lang w:eastAsia="de-DE"/>
        </w:rPr>
        <w:t>von gegen 30</w:t>
      </w:r>
      <w:r w:rsidR="004E7B5A" w:rsidRPr="00B47352">
        <w:rPr>
          <w:b w:val="0"/>
          <w:highlight w:val="green"/>
          <w:lang w:eastAsia="de-DE"/>
        </w:rPr>
        <w:t xml:space="preserve"> Jahren und </w:t>
      </w:r>
      <w:r w:rsidR="008A3647" w:rsidRPr="00B47352">
        <w:rPr>
          <w:b w:val="0"/>
          <w:highlight w:val="green"/>
          <w:lang w:eastAsia="de-DE"/>
        </w:rPr>
        <w:t>einer 40</w:t>
      </w:r>
      <w:r w:rsidR="00890E54" w:rsidRPr="00B47352">
        <w:rPr>
          <w:b w:val="0"/>
          <w:highlight w:val="green"/>
          <w:lang w:eastAsia="de-DE"/>
        </w:rPr>
        <w:t>-prozentigen</w:t>
      </w:r>
      <w:r w:rsidR="004E7B5A" w:rsidRPr="00B47352">
        <w:rPr>
          <w:b w:val="0"/>
          <w:highlight w:val="green"/>
          <w:lang w:eastAsia="de-DE"/>
        </w:rPr>
        <w:t xml:space="preserve"> Kostenbeteiligung des Bundes.</w:t>
      </w:r>
      <w:r w:rsidR="00797379" w:rsidRPr="00B47352">
        <w:rPr>
          <w:b w:val="0"/>
          <w:highlight w:val="green"/>
          <w:lang w:eastAsia="de-DE"/>
        </w:rPr>
        <w:t xml:space="preserve"> Mindestens alle fünf Jahre sind</w:t>
      </w:r>
      <w:r w:rsidR="00B9116F" w:rsidRPr="00B47352">
        <w:rPr>
          <w:b w:val="0"/>
          <w:highlight w:val="green"/>
          <w:lang w:eastAsia="de-DE"/>
        </w:rPr>
        <w:t xml:space="preserve"> die Abgabesätze zu überprüfen.</w:t>
      </w:r>
    </w:p>
    <w:p w14:paraId="196BA8C2" w14:textId="77777777" w:rsidR="00E63365" w:rsidRPr="00B47352" w:rsidRDefault="00E63365" w:rsidP="00FD03DC">
      <w:pPr>
        <w:pStyle w:val="berschrift2"/>
        <w:spacing w:before="480"/>
        <w:ind w:left="578" w:hanging="578"/>
        <w:rPr>
          <w:highlight w:val="green"/>
        </w:rPr>
      </w:pPr>
      <w:bookmarkStart w:id="258" w:name="_Toc356294717"/>
      <w:r w:rsidRPr="00B47352">
        <w:rPr>
          <w:highlight w:val="green"/>
        </w:rPr>
        <w:t>Korrekte Deklarationen sind f</w:t>
      </w:r>
      <w:r w:rsidR="00FE7685" w:rsidRPr="00B47352">
        <w:rPr>
          <w:highlight w:val="green"/>
        </w:rPr>
        <w:t>ür die VASA-Abgabeerhebung</w:t>
      </w:r>
      <w:r w:rsidR="00FD03DC" w:rsidRPr="00B47352">
        <w:rPr>
          <w:highlight w:val="green"/>
        </w:rPr>
        <w:t xml:space="preserve"> </w:t>
      </w:r>
      <w:r w:rsidRPr="00B47352">
        <w:rPr>
          <w:highlight w:val="green"/>
        </w:rPr>
        <w:t>entscheidend</w:t>
      </w:r>
      <w:bookmarkEnd w:id="258"/>
    </w:p>
    <w:p w14:paraId="5235D166" w14:textId="77777777" w:rsidR="008A3647" w:rsidRPr="00B47352" w:rsidRDefault="004C18B6" w:rsidP="00697A82">
      <w:pPr>
        <w:tabs>
          <w:tab w:val="right" w:pos="284"/>
          <w:tab w:val="center" w:pos="8505"/>
        </w:tabs>
        <w:rPr>
          <w:highlight w:val="green"/>
        </w:rPr>
      </w:pPr>
      <w:r w:rsidRPr="00B47352">
        <w:rPr>
          <w:highlight w:val="green"/>
        </w:rPr>
        <w:t>Jeweils n</w:t>
      </w:r>
      <w:r w:rsidR="00524B13" w:rsidRPr="00B47352">
        <w:rPr>
          <w:highlight w:val="green"/>
        </w:rPr>
        <w:t xml:space="preserve">ach Abschluss eines Kalenderjahres werden </w:t>
      </w:r>
      <w:r w:rsidRPr="00B47352">
        <w:rPr>
          <w:highlight w:val="green"/>
        </w:rPr>
        <w:t xml:space="preserve">die </w:t>
      </w:r>
      <w:r w:rsidR="00F324F1" w:rsidRPr="00B47352">
        <w:rPr>
          <w:highlight w:val="green"/>
        </w:rPr>
        <w:t>rund</w:t>
      </w:r>
      <w:r w:rsidR="00644AED" w:rsidRPr="00B47352">
        <w:rPr>
          <w:highlight w:val="green"/>
        </w:rPr>
        <w:t xml:space="preserve"> 200</w:t>
      </w:r>
      <w:r w:rsidR="00524B13" w:rsidRPr="00B47352">
        <w:rPr>
          <w:highlight w:val="green"/>
        </w:rPr>
        <w:t xml:space="preserve"> abga</w:t>
      </w:r>
      <w:r w:rsidR="00644AED" w:rsidRPr="00B47352">
        <w:rPr>
          <w:highlight w:val="green"/>
        </w:rPr>
        <w:t>bepflichtige</w:t>
      </w:r>
      <w:r w:rsidRPr="00B47352">
        <w:rPr>
          <w:highlight w:val="green"/>
        </w:rPr>
        <w:t>n</w:t>
      </w:r>
      <w:r w:rsidR="00644AED" w:rsidRPr="00B47352">
        <w:rPr>
          <w:highlight w:val="green"/>
        </w:rPr>
        <w:t xml:space="preserve"> Deponiebetreiber</w:t>
      </w:r>
      <w:r w:rsidR="00524B13" w:rsidRPr="00B47352">
        <w:rPr>
          <w:highlight w:val="green"/>
        </w:rPr>
        <w:t xml:space="preserve"> </w:t>
      </w:r>
      <w:r w:rsidR="00ED455C" w:rsidRPr="00B47352">
        <w:rPr>
          <w:highlight w:val="green"/>
        </w:rPr>
        <w:t xml:space="preserve">schriftlich aufgefordert, die VASA-Abgabedeklaration einzureichen. </w:t>
      </w:r>
      <w:r w:rsidR="00291EC7" w:rsidRPr="00B47352">
        <w:rPr>
          <w:highlight w:val="green"/>
        </w:rPr>
        <w:t xml:space="preserve">Pro Deponietyp sind Gewichtsangaben zu den angelieferten bzw. abgelagerten </w:t>
      </w:r>
      <w:r w:rsidR="004C38B0" w:rsidRPr="00B47352">
        <w:rPr>
          <w:highlight w:val="green"/>
        </w:rPr>
        <w:t xml:space="preserve">Abfällen zu machen. Für die Berechnung der Abgabe </w:t>
      </w:r>
      <w:r w:rsidR="001E2312" w:rsidRPr="00B47352">
        <w:rPr>
          <w:highlight w:val="green"/>
        </w:rPr>
        <w:t>werden</w:t>
      </w:r>
      <w:r w:rsidR="004C38B0" w:rsidRPr="00B47352">
        <w:rPr>
          <w:highlight w:val="green"/>
        </w:rPr>
        <w:t xml:space="preserve"> unverschmutztes Aushub-, Abraum- und Ausbruchmateri</w:t>
      </w:r>
      <w:r w:rsidR="001E2312" w:rsidRPr="00B47352">
        <w:rPr>
          <w:highlight w:val="green"/>
        </w:rPr>
        <w:t>al, aber auch Abfälle</w:t>
      </w:r>
      <w:r w:rsidR="004C38B0" w:rsidRPr="00B47352">
        <w:rPr>
          <w:highlight w:val="green"/>
        </w:rPr>
        <w:t xml:space="preserve">, </w:t>
      </w:r>
      <w:r w:rsidR="001E2312" w:rsidRPr="00B47352">
        <w:rPr>
          <w:highlight w:val="green"/>
        </w:rPr>
        <w:t xml:space="preserve">die in der Deponie zur Verwertung </w:t>
      </w:r>
      <w:r w:rsidR="004C38B0" w:rsidRPr="00B47352">
        <w:rPr>
          <w:highlight w:val="green"/>
        </w:rPr>
        <w:t>verwendet wurde</w:t>
      </w:r>
      <w:r w:rsidR="001E2312" w:rsidRPr="00B47352">
        <w:rPr>
          <w:highlight w:val="green"/>
        </w:rPr>
        <w:t>n</w:t>
      </w:r>
      <w:r w:rsidR="004C38B0" w:rsidRPr="00B47352">
        <w:rPr>
          <w:highlight w:val="green"/>
        </w:rPr>
        <w:t xml:space="preserve">, </w:t>
      </w:r>
      <w:r w:rsidR="001E2312" w:rsidRPr="00B47352">
        <w:rPr>
          <w:highlight w:val="green"/>
        </w:rPr>
        <w:t>berücksichtigt</w:t>
      </w:r>
      <w:r w:rsidR="004C38B0" w:rsidRPr="00B47352">
        <w:rPr>
          <w:highlight w:val="green"/>
        </w:rPr>
        <w:t xml:space="preserve">. </w:t>
      </w:r>
      <w:r w:rsidR="00217A48" w:rsidRPr="00B47352">
        <w:rPr>
          <w:highlight w:val="green"/>
        </w:rPr>
        <w:t>Der zu entrichtende Rechnungsbetrag wird dem Deponiebetreiber in Form einer Verfügung unterbreitet.</w:t>
      </w:r>
    </w:p>
    <w:p w14:paraId="75AF155C" w14:textId="77777777" w:rsidR="008A3647" w:rsidRPr="00B47352" w:rsidRDefault="00030E64" w:rsidP="00697A82">
      <w:pPr>
        <w:tabs>
          <w:tab w:val="right" w:pos="284"/>
          <w:tab w:val="center" w:pos="8505"/>
        </w:tabs>
        <w:rPr>
          <w:highlight w:val="green"/>
        </w:rPr>
      </w:pPr>
      <w:r w:rsidRPr="00B47352">
        <w:rPr>
          <w:highlight w:val="green"/>
        </w:rPr>
        <w:t>Beim BAFU sind zudem</w:t>
      </w:r>
      <w:r w:rsidR="00644AED" w:rsidRPr="00B47352">
        <w:rPr>
          <w:highlight w:val="green"/>
        </w:rPr>
        <w:t xml:space="preserve"> 74 Exporteure gelistet. </w:t>
      </w:r>
      <w:r w:rsidR="00BE0B89" w:rsidRPr="00B47352">
        <w:rPr>
          <w:highlight w:val="green"/>
        </w:rPr>
        <w:t>G</w:t>
      </w:r>
      <w:r w:rsidR="00FE7685" w:rsidRPr="00B47352">
        <w:rPr>
          <w:highlight w:val="green"/>
        </w:rPr>
        <w:t>emäss</w:t>
      </w:r>
      <w:r w:rsidR="00BE0B89" w:rsidRPr="00B47352">
        <w:rPr>
          <w:highlight w:val="green"/>
        </w:rPr>
        <w:t xml:space="preserve"> EU-Bestimmungen </w:t>
      </w:r>
      <w:r w:rsidR="00FE7685" w:rsidRPr="00B47352">
        <w:rPr>
          <w:highlight w:val="green"/>
        </w:rPr>
        <w:t>dürfen Abfälle</w:t>
      </w:r>
      <w:r w:rsidR="00BE0B89" w:rsidRPr="00B47352">
        <w:rPr>
          <w:highlight w:val="green"/>
        </w:rPr>
        <w:t xml:space="preserve"> zur </w:t>
      </w:r>
      <w:r w:rsidR="00E23F1B" w:rsidRPr="00B47352">
        <w:rPr>
          <w:highlight w:val="green"/>
        </w:rPr>
        <w:t xml:space="preserve">direkten </w:t>
      </w:r>
      <w:r w:rsidR="00BE0B89" w:rsidRPr="00B47352">
        <w:rPr>
          <w:highlight w:val="green"/>
        </w:rPr>
        <w:t xml:space="preserve">Ablagerung </w:t>
      </w:r>
      <w:r w:rsidR="00E23F1B" w:rsidRPr="00B47352">
        <w:rPr>
          <w:highlight w:val="green"/>
        </w:rPr>
        <w:t xml:space="preserve">nur in Untertagedeponien </w:t>
      </w:r>
      <w:r w:rsidR="00BE0B89" w:rsidRPr="00B47352">
        <w:rPr>
          <w:highlight w:val="green"/>
        </w:rPr>
        <w:t xml:space="preserve">exportiert werden, wenn vom Importstaat die entsprechende Zustimmung vorliegt. </w:t>
      </w:r>
      <w:r w:rsidR="00E23F1B" w:rsidRPr="00B47352">
        <w:rPr>
          <w:highlight w:val="green"/>
        </w:rPr>
        <w:t>Ein Export zur direkten Ablagerung auf andere Deponie</w:t>
      </w:r>
      <w:r w:rsidR="00E90E62" w:rsidRPr="00B47352">
        <w:rPr>
          <w:highlight w:val="green"/>
        </w:rPr>
        <w:t>-</w:t>
      </w:r>
      <w:proofErr w:type="spellStart"/>
      <w:r w:rsidR="00E23F1B" w:rsidRPr="00B47352">
        <w:rPr>
          <w:highlight w:val="green"/>
        </w:rPr>
        <w:t>typen</w:t>
      </w:r>
      <w:proofErr w:type="spellEnd"/>
      <w:r w:rsidR="00E23F1B" w:rsidRPr="00B47352">
        <w:rPr>
          <w:highlight w:val="green"/>
        </w:rPr>
        <w:t xml:space="preserve"> ist untersagt. Dagegen können Rückstände aus der Behandlung von Abfällen im Ausland auf Deponien abgelagert werden, sofern diese Deponien den Anforderungen an Schweizer Deponien vergleichsweise genügen. </w:t>
      </w:r>
      <w:r w:rsidR="00BE0B89" w:rsidRPr="00B47352">
        <w:rPr>
          <w:highlight w:val="green"/>
        </w:rPr>
        <w:t xml:space="preserve">Das BAFU erhält eine Kopie der Zustimmung und hat damit Kenntnis über den Exporteur, den Importeur, die Abfallart und die bewilligte Exportmenge. </w:t>
      </w:r>
      <w:r w:rsidR="006A63D5" w:rsidRPr="00B47352">
        <w:rPr>
          <w:highlight w:val="green"/>
        </w:rPr>
        <w:t xml:space="preserve">Für die Festlegung des Abgabebetrages hat der Exporteur eine Abgabedeklaration einzureichen. Das BAFU legt den Abgabebetrag </w:t>
      </w:r>
      <w:r w:rsidR="00FE7685" w:rsidRPr="00B47352">
        <w:rPr>
          <w:highlight w:val="green"/>
        </w:rPr>
        <w:t xml:space="preserve">ebenfalls </w:t>
      </w:r>
      <w:r w:rsidR="006A63D5" w:rsidRPr="00B47352">
        <w:rPr>
          <w:highlight w:val="green"/>
        </w:rPr>
        <w:t>mit einer Verfü</w:t>
      </w:r>
      <w:r w:rsidR="00C53574" w:rsidRPr="00B47352">
        <w:rPr>
          <w:highlight w:val="green"/>
        </w:rPr>
        <w:t>gung fest.</w:t>
      </w:r>
    </w:p>
    <w:p w14:paraId="58D36C6C" w14:textId="77777777" w:rsidR="00985EEC" w:rsidRPr="00B47352" w:rsidRDefault="00960082" w:rsidP="002F3792">
      <w:pPr>
        <w:tabs>
          <w:tab w:val="right" w:pos="284"/>
          <w:tab w:val="center" w:pos="8505"/>
        </w:tabs>
        <w:rPr>
          <w:highlight w:val="green"/>
        </w:rPr>
      </w:pPr>
      <w:r w:rsidRPr="00B47352">
        <w:rPr>
          <w:highlight w:val="green"/>
        </w:rPr>
        <w:lastRenderedPageBreak/>
        <w:t>Ein</w:t>
      </w:r>
      <w:r w:rsidR="00E2629F" w:rsidRPr="00B47352">
        <w:rPr>
          <w:highlight w:val="green"/>
        </w:rPr>
        <w:t>e</w:t>
      </w:r>
      <w:r w:rsidRPr="00B47352">
        <w:rPr>
          <w:highlight w:val="green"/>
        </w:rPr>
        <w:t xml:space="preserve"> korrekte </w:t>
      </w:r>
      <w:r w:rsidR="00892E2C" w:rsidRPr="00B47352">
        <w:rPr>
          <w:highlight w:val="green"/>
        </w:rPr>
        <w:t xml:space="preserve">Deklaration der Abfallqualitäten und Mengen ist bei der </w:t>
      </w:r>
      <w:r w:rsidR="00E2629F" w:rsidRPr="00B47352">
        <w:rPr>
          <w:highlight w:val="green"/>
        </w:rPr>
        <w:t>Abgabe</w:t>
      </w:r>
      <w:r w:rsidR="00892E2C" w:rsidRPr="00B47352">
        <w:rPr>
          <w:highlight w:val="green"/>
        </w:rPr>
        <w:t>erhebung</w:t>
      </w:r>
      <w:r w:rsidR="00E2629F" w:rsidRPr="00B47352">
        <w:rPr>
          <w:highlight w:val="green"/>
        </w:rPr>
        <w:t xml:space="preserve"> von zentraler Bedeutung. </w:t>
      </w:r>
      <w:r w:rsidR="000C79CA" w:rsidRPr="00B47352">
        <w:rPr>
          <w:highlight w:val="green"/>
        </w:rPr>
        <w:t xml:space="preserve">Besonderen Kontrollaufwand verursachen jeweils die </w:t>
      </w:r>
      <w:r w:rsidR="00415051" w:rsidRPr="00B47352">
        <w:rPr>
          <w:highlight w:val="green"/>
        </w:rPr>
        <w:t>zur Verwertung auf der Deponie</w:t>
      </w:r>
      <w:r w:rsidR="000C79CA" w:rsidRPr="00B47352">
        <w:rPr>
          <w:highlight w:val="green"/>
        </w:rPr>
        <w:t xml:space="preserve"> </w:t>
      </w:r>
      <w:r w:rsidR="008059FC" w:rsidRPr="00B47352">
        <w:rPr>
          <w:highlight w:val="green"/>
        </w:rPr>
        <w:t xml:space="preserve">oder als unverschmutztes Aushub-, Abraum- und Ausbruchmaterial deklarierten Abfallmengen. </w:t>
      </w:r>
      <w:r w:rsidR="00892E2C" w:rsidRPr="00B47352">
        <w:rPr>
          <w:highlight w:val="green"/>
        </w:rPr>
        <w:t>Für die Nachkontrollen der Abgabedeklarationen ist dem BAFU auf Stufe Verordnung eine maximale Frist v</w:t>
      </w:r>
      <w:r w:rsidR="00030E64" w:rsidRPr="00B47352">
        <w:rPr>
          <w:highlight w:val="green"/>
        </w:rPr>
        <w:t>on zwei Jahren eingeräumt</w:t>
      </w:r>
      <w:r w:rsidR="00892E2C" w:rsidRPr="00B47352">
        <w:rPr>
          <w:highlight w:val="green"/>
        </w:rPr>
        <w:t xml:space="preserve">. </w:t>
      </w:r>
      <w:r w:rsidR="000C79CA" w:rsidRPr="00B47352">
        <w:rPr>
          <w:highlight w:val="green"/>
        </w:rPr>
        <w:t xml:space="preserve">Innerhalb dieser Frist können nötigenfalls Nachforderungen gestellt werden. </w:t>
      </w:r>
      <w:r w:rsidR="00C2236F" w:rsidRPr="00B47352">
        <w:rPr>
          <w:highlight w:val="green"/>
        </w:rPr>
        <w:t>Mit der Verordnungs</w:t>
      </w:r>
      <w:r w:rsidR="00030E64" w:rsidRPr="00B47352">
        <w:rPr>
          <w:highlight w:val="green"/>
        </w:rPr>
        <w:t>revision per 1. Januar 2009</w:t>
      </w:r>
      <w:r w:rsidR="00C2236F" w:rsidRPr="00B47352">
        <w:rPr>
          <w:highlight w:val="green"/>
        </w:rPr>
        <w:t xml:space="preserve"> wurde dem BAFU die Möglichkeit gegeben, Kontrollen an externe Kontrollinstanzen </w:t>
      </w:r>
      <w:r w:rsidR="001C47B5" w:rsidRPr="00B47352">
        <w:rPr>
          <w:highlight w:val="green"/>
        </w:rPr>
        <w:t xml:space="preserve">auszulagern, um eine angemessene Überwachung der Abgabedeklarationen sicherzustellen. </w:t>
      </w:r>
      <w:r w:rsidR="00135A64" w:rsidRPr="00B47352">
        <w:rPr>
          <w:highlight w:val="green"/>
        </w:rPr>
        <w:t xml:space="preserve">In diesem Zusammenhang werden auch Inspektionen vor Ort vorgenommen. </w:t>
      </w:r>
      <w:r w:rsidR="001C47B5" w:rsidRPr="00B47352">
        <w:rPr>
          <w:highlight w:val="green"/>
        </w:rPr>
        <w:t xml:space="preserve">Von den Deponiebetreibern werden die Kontrollen grundsätzlich begrüsst, da damit die rechtsgleiche Handhabung der Abgabedeklarationen (Selbstdeklaration der Deponiebetreiber) gewährleistet wird. </w:t>
      </w:r>
      <w:r w:rsidR="0077718D" w:rsidRPr="00B47352">
        <w:rPr>
          <w:highlight w:val="green"/>
        </w:rPr>
        <w:t xml:space="preserve">Über die diesbezüglichen Kontrollaktivitäten erstellt der </w:t>
      </w:r>
      <w:r w:rsidR="00661716" w:rsidRPr="00B47352">
        <w:rPr>
          <w:highlight w:val="green"/>
        </w:rPr>
        <w:t xml:space="preserve">für das VASA-Controlling </w:t>
      </w:r>
      <w:r w:rsidR="0077718D" w:rsidRPr="00B47352">
        <w:rPr>
          <w:highlight w:val="green"/>
        </w:rPr>
        <w:t xml:space="preserve">Beauftragte </w:t>
      </w:r>
      <w:r w:rsidR="00030E64" w:rsidRPr="00B47352">
        <w:rPr>
          <w:highlight w:val="green"/>
        </w:rPr>
        <w:t xml:space="preserve">jeweils </w:t>
      </w:r>
      <w:r w:rsidR="0077718D" w:rsidRPr="00B47352">
        <w:rPr>
          <w:highlight w:val="green"/>
        </w:rPr>
        <w:t>einen Jahresbericht</w:t>
      </w:r>
      <w:r w:rsidR="00211CE0" w:rsidRPr="00B47352">
        <w:rPr>
          <w:highlight w:val="green"/>
        </w:rPr>
        <w:t>.</w:t>
      </w:r>
    </w:p>
    <w:p w14:paraId="41F34AC5" w14:textId="77777777" w:rsidR="002F3792" w:rsidRDefault="00415051" w:rsidP="002F3792">
      <w:pPr>
        <w:tabs>
          <w:tab w:val="right" w:pos="284"/>
          <w:tab w:val="center" w:pos="8505"/>
        </w:tabs>
      </w:pPr>
      <w:r w:rsidRPr="00B47352">
        <w:rPr>
          <w:highlight w:val="green"/>
        </w:rPr>
        <w:t>D</w:t>
      </w:r>
      <w:r w:rsidR="00354C77" w:rsidRPr="00B47352">
        <w:rPr>
          <w:highlight w:val="green"/>
        </w:rPr>
        <w:t xml:space="preserve">ie vertieften Kontrollen der Abgabedeklarationen </w:t>
      </w:r>
      <w:r w:rsidRPr="00B47352">
        <w:rPr>
          <w:highlight w:val="green"/>
        </w:rPr>
        <w:t xml:space="preserve">sind im Zeitraum 2011/2012 </w:t>
      </w:r>
      <w:r w:rsidR="009658FB" w:rsidRPr="00B47352">
        <w:rPr>
          <w:highlight w:val="green"/>
        </w:rPr>
        <w:t>etwas in Rückstand geraten</w:t>
      </w:r>
      <w:r w:rsidR="00354C77" w:rsidRPr="00B47352">
        <w:rPr>
          <w:highlight w:val="green"/>
        </w:rPr>
        <w:t>.</w:t>
      </w:r>
      <w:r w:rsidR="002F3792" w:rsidRPr="00B47352">
        <w:rPr>
          <w:highlight w:val="green"/>
        </w:rPr>
        <w:t xml:space="preserve"> </w:t>
      </w:r>
      <w:r w:rsidR="00354C77" w:rsidRPr="00B47352">
        <w:rPr>
          <w:highlight w:val="green"/>
        </w:rPr>
        <w:t xml:space="preserve">Insbesondere die </w:t>
      </w:r>
      <w:r w:rsidR="00597C4B" w:rsidRPr="00B47352">
        <w:rPr>
          <w:highlight w:val="green"/>
        </w:rPr>
        <w:t>Überprüfung der</w:t>
      </w:r>
      <w:r w:rsidR="002F3792" w:rsidRPr="00B47352">
        <w:rPr>
          <w:highlight w:val="green"/>
        </w:rPr>
        <w:t xml:space="preserve"> Nachwei</w:t>
      </w:r>
      <w:r w:rsidR="00354C77" w:rsidRPr="00B47352">
        <w:rPr>
          <w:highlight w:val="green"/>
        </w:rPr>
        <w:t xml:space="preserve">se für die als </w:t>
      </w:r>
      <w:r w:rsidRPr="00B47352">
        <w:rPr>
          <w:highlight w:val="green"/>
        </w:rPr>
        <w:t>verwertet und damit abgabebefreiten</w:t>
      </w:r>
      <w:r w:rsidR="00354C77" w:rsidRPr="00B47352">
        <w:rPr>
          <w:highlight w:val="green"/>
        </w:rPr>
        <w:t xml:space="preserve"> Abfälle</w:t>
      </w:r>
      <w:r w:rsidR="000B39DE" w:rsidRPr="00B47352">
        <w:rPr>
          <w:highlight w:val="green"/>
        </w:rPr>
        <w:t xml:space="preserve"> wird</w:t>
      </w:r>
      <w:r w:rsidR="00FB7012" w:rsidRPr="00B47352">
        <w:rPr>
          <w:highlight w:val="green"/>
        </w:rPr>
        <w:t xml:space="preserve"> derzeit prioritär </w:t>
      </w:r>
      <w:r w:rsidR="000B39DE" w:rsidRPr="00B47352">
        <w:rPr>
          <w:highlight w:val="green"/>
        </w:rPr>
        <w:t>vorgenommen</w:t>
      </w:r>
      <w:r w:rsidR="002F3792" w:rsidRPr="00B47352">
        <w:rPr>
          <w:highlight w:val="green"/>
        </w:rPr>
        <w:t xml:space="preserve">. Das Recht Nachforderungen </w:t>
      </w:r>
      <w:r w:rsidR="00FD4BB5" w:rsidRPr="00B47352">
        <w:rPr>
          <w:highlight w:val="green"/>
        </w:rPr>
        <w:t>innert d</w:t>
      </w:r>
      <w:r w:rsidR="002F3792" w:rsidRPr="00B47352">
        <w:rPr>
          <w:highlight w:val="green"/>
        </w:rPr>
        <w:t xml:space="preserve">er Frist von zwei Jahren </w:t>
      </w:r>
      <w:r w:rsidR="00FD4BB5" w:rsidRPr="00B47352">
        <w:rPr>
          <w:highlight w:val="green"/>
        </w:rPr>
        <w:t xml:space="preserve">nach der Abgabeverfügung </w:t>
      </w:r>
      <w:r w:rsidR="002F3792" w:rsidRPr="00B47352">
        <w:rPr>
          <w:highlight w:val="green"/>
        </w:rPr>
        <w:t>zu stellen, soll möglichst nicht verwirkt wer</w:t>
      </w:r>
      <w:r w:rsidR="00FB7012" w:rsidRPr="00B47352">
        <w:rPr>
          <w:highlight w:val="green"/>
        </w:rPr>
        <w:t>den (siehe dazu auch Kapitel 2).</w:t>
      </w:r>
    </w:p>
    <w:p w14:paraId="2D8831BF" w14:textId="77777777" w:rsidR="00D93E24" w:rsidRPr="00B47352" w:rsidRDefault="00026295" w:rsidP="002F3792">
      <w:pPr>
        <w:tabs>
          <w:tab w:val="right" w:pos="284"/>
          <w:tab w:val="center" w:pos="8505"/>
        </w:tabs>
        <w:rPr>
          <w:highlight w:val="blue"/>
        </w:rPr>
      </w:pPr>
      <w:r w:rsidRPr="00B47352">
        <w:rPr>
          <w:highlight w:val="blue"/>
        </w:rPr>
        <w:t xml:space="preserve">Mit der Rechnungsstellung aufgrund der Abgabeveranlagung verfügt das BAFU den </w:t>
      </w:r>
      <w:r w:rsidR="008137CF" w:rsidRPr="00B47352">
        <w:rPr>
          <w:highlight w:val="blue"/>
        </w:rPr>
        <w:t>nach</w:t>
      </w:r>
      <w:r w:rsidRPr="00B47352">
        <w:rPr>
          <w:highlight w:val="blue"/>
        </w:rPr>
        <w:t xml:space="preserve"> den deklarierten Mengen geschuldeten Abgabebetrag. Mit dem Verfügungsdatum beginnt die zweijährige Frist für die</w:t>
      </w:r>
      <w:r w:rsidR="00514C0E" w:rsidRPr="00B47352">
        <w:rPr>
          <w:highlight w:val="blue"/>
        </w:rPr>
        <w:t xml:space="preserve"> Deklarationsprüfung und</w:t>
      </w:r>
      <w:r w:rsidRPr="00B47352">
        <w:rPr>
          <w:highlight w:val="blue"/>
        </w:rPr>
        <w:t xml:space="preserve"> eine allfällige Nachbelastung zu laufen. </w:t>
      </w:r>
      <w:r w:rsidR="00514C0E" w:rsidRPr="00B47352">
        <w:rPr>
          <w:highlight w:val="blue"/>
        </w:rPr>
        <w:t xml:space="preserve">Die Verfügung wird mit entsprechendem Vorbehalt erlassen. Zitat: </w:t>
      </w:r>
      <w:r w:rsidR="00514C0E" w:rsidRPr="00B47352">
        <w:rPr>
          <w:i/>
          <w:highlight w:val="blue"/>
        </w:rPr>
        <w:t>„Eine amtliche Prüfung Ihrer deklarierten Abfallmengen und eine allfällige Änderung des geschuldeten Abgabebetrags bleiben vorbeh</w:t>
      </w:r>
      <w:r w:rsidR="00F63287" w:rsidRPr="00B47352">
        <w:rPr>
          <w:i/>
          <w:highlight w:val="blue"/>
        </w:rPr>
        <w:t>alten“</w:t>
      </w:r>
      <w:r w:rsidR="00F63287" w:rsidRPr="00B47352">
        <w:rPr>
          <w:highlight w:val="blue"/>
        </w:rPr>
        <w:t>.</w:t>
      </w:r>
      <w:r w:rsidR="008137CF" w:rsidRPr="00B47352">
        <w:rPr>
          <w:highlight w:val="blue"/>
        </w:rPr>
        <w:t xml:space="preserve"> D</w:t>
      </w:r>
      <w:r w:rsidR="00597C4B" w:rsidRPr="00B47352">
        <w:rPr>
          <w:highlight w:val="blue"/>
        </w:rPr>
        <w:t>er Adressat ist</w:t>
      </w:r>
      <w:r w:rsidR="00BE43BF" w:rsidRPr="00B47352">
        <w:rPr>
          <w:highlight w:val="blue"/>
        </w:rPr>
        <w:t xml:space="preserve"> im äussersten Fall zwei Jahre im Ungewissen, ob eine Nachprüfung stattfinden wird und wenn ja, wann. </w:t>
      </w:r>
      <w:r w:rsidR="000600C7" w:rsidRPr="00B47352">
        <w:rPr>
          <w:highlight w:val="blue"/>
        </w:rPr>
        <w:t>Im Prinzip fehlt e</w:t>
      </w:r>
      <w:r w:rsidR="00BE43BF" w:rsidRPr="00B47352">
        <w:rPr>
          <w:highlight w:val="blue"/>
        </w:rPr>
        <w:t xml:space="preserve">ine gegen </w:t>
      </w:r>
      <w:proofErr w:type="spellStart"/>
      <w:r w:rsidR="00BE43BF" w:rsidRPr="00B47352">
        <w:rPr>
          <w:highlight w:val="blue"/>
        </w:rPr>
        <w:t>Aussen</w:t>
      </w:r>
      <w:proofErr w:type="spellEnd"/>
      <w:r w:rsidR="00BE43BF" w:rsidRPr="00B47352">
        <w:rPr>
          <w:highlight w:val="blue"/>
        </w:rPr>
        <w:t xml:space="preserve"> </w:t>
      </w:r>
      <w:r w:rsidR="000600C7" w:rsidRPr="00B47352">
        <w:rPr>
          <w:highlight w:val="blue"/>
        </w:rPr>
        <w:t>kommunizierte definitive Veranlagung, ausser in Fällen, die zu Korrekturen Anlass gaben.</w:t>
      </w:r>
      <w:r w:rsidR="00597C4B" w:rsidRPr="00B47352">
        <w:rPr>
          <w:highlight w:val="blue"/>
        </w:rPr>
        <w:t xml:space="preserve"> Solche werden neu verfügt. </w:t>
      </w:r>
    </w:p>
    <w:p w14:paraId="5CE93F7B" w14:textId="77777777" w:rsidR="00D93E24" w:rsidRPr="00B47352" w:rsidRDefault="00D93E24" w:rsidP="00D93E24">
      <w:pPr>
        <w:pStyle w:val="Empfehlung-n"/>
        <w:numPr>
          <w:ilvl w:val="0"/>
          <w:numId w:val="0"/>
        </w:numPr>
        <w:tabs>
          <w:tab w:val="left" w:pos="284"/>
        </w:tabs>
        <w:spacing w:before="240" w:line="300" w:lineRule="atLeast"/>
        <w:rPr>
          <w:color w:val="000000" w:themeColor="text1"/>
          <w:highlight w:val="darkYellow"/>
        </w:rPr>
      </w:pPr>
      <w:r w:rsidRPr="00B47352">
        <w:rPr>
          <w:color w:val="000000" w:themeColor="text1"/>
          <w:highlight w:val="darkYellow"/>
        </w:rPr>
        <w:t>Empfehlung 3 (Priorität 2):</w:t>
      </w:r>
    </w:p>
    <w:p w14:paraId="7B353C61" w14:textId="77777777" w:rsidR="000600C7" w:rsidRPr="00B47352" w:rsidRDefault="00597C4B" w:rsidP="00D93E24">
      <w:pPr>
        <w:tabs>
          <w:tab w:val="right" w:pos="284"/>
          <w:tab w:val="center" w:pos="8505"/>
        </w:tabs>
        <w:spacing w:before="120"/>
        <w:rPr>
          <w:i/>
          <w:highlight w:val="darkYellow"/>
        </w:rPr>
      </w:pPr>
      <w:r w:rsidRPr="00B47352">
        <w:rPr>
          <w:i/>
          <w:highlight w:val="darkYellow"/>
        </w:rPr>
        <w:t>Das BAFU ist angehalten</w:t>
      </w:r>
      <w:r w:rsidR="000600C7" w:rsidRPr="00B47352">
        <w:rPr>
          <w:i/>
          <w:highlight w:val="darkYellow"/>
        </w:rPr>
        <w:t xml:space="preserve"> zu prüfen, ob mit der jeweils folgenden Abgabeverfügung über den Stand des Vorjahres orientiert werden könnte – beispielsweise wie folgt:</w:t>
      </w:r>
    </w:p>
    <w:p w14:paraId="445A4841" w14:textId="77777777" w:rsidR="00020680" w:rsidRPr="00B47352" w:rsidRDefault="000600C7" w:rsidP="00913BC9">
      <w:pPr>
        <w:pStyle w:val="Listenabsatz"/>
        <w:numPr>
          <w:ilvl w:val="0"/>
          <w:numId w:val="13"/>
        </w:numPr>
        <w:tabs>
          <w:tab w:val="right" w:pos="284"/>
          <w:tab w:val="center" w:pos="8505"/>
        </w:tabs>
        <w:spacing w:before="120"/>
        <w:ind w:left="357" w:hanging="357"/>
        <w:rPr>
          <w:highlight w:val="darkYellow"/>
        </w:rPr>
      </w:pPr>
      <w:r w:rsidRPr="00B47352">
        <w:rPr>
          <w:i/>
          <w:highlight w:val="darkYellow"/>
        </w:rPr>
        <w:t>Ihre Deklaration vom 20xx steht weiterhin unter dem Vorbehalt der amtlichen Nachprü</w:t>
      </w:r>
      <w:r w:rsidR="00020680" w:rsidRPr="00B47352">
        <w:rPr>
          <w:i/>
          <w:highlight w:val="darkYellow"/>
        </w:rPr>
        <w:t>fung</w:t>
      </w:r>
      <w:r w:rsidR="00020680" w:rsidRPr="00B47352">
        <w:rPr>
          <w:highlight w:val="darkYellow"/>
        </w:rPr>
        <w:t>,</w:t>
      </w:r>
    </w:p>
    <w:p w14:paraId="5692B88F" w14:textId="77777777" w:rsidR="000B39DE" w:rsidRPr="00B47352" w:rsidRDefault="000600C7" w:rsidP="00913BC9">
      <w:pPr>
        <w:pStyle w:val="Listenabsatz"/>
        <w:numPr>
          <w:ilvl w:val="0"/>
          <w:numId w:val="13"/>
        </w:numPr>
        <w:tabs>
          <w:tab w:val="right" w:pos="284"/>
          <w:tab w:val="center" w:pos="8505"/>
        </w:tabs>
        <w:rPr>
          <w:highlight w:val="darkYellow"/>
        </w:rPr>
      </w:pPr>
      <w:r w:rsidRPr="00B47352">
        <w:rPr>
          <w:i/>
          <w:highlight w:val="darkYellow"/>
        </w:rPr>
        <w:t>Ihre Deklaration vom 20xx ist inzwischen vom Vorbehalt der amtlichen Nachprüfung befreit</w:t>
      </w:r>
      <w:r w:rsidRPr="00B47352">
        <w:rPr>
          <w:highlight w:val="darkYellow"/>
        </w:rPr>
        <w:t>.</w:t>
      </w:r>
    </w:p>
    <w:p w14:paraId="55BF22B6" w14:textId="77777777" w:rsidR="002F3792" w:rsidRPr="00B47352" w:rsidRDefault="00AB7FEA" w:rsidP="00493458">
      <w:pPr>
        <w:pStyle w:val="berschrift2"/>
        <w:spacing w:before="600"/>
        <w:ind w:left="578" w:right="-142" w:hanging="578"/>
        <w:rPr>
          <w:highlight w:val="blue"/>
        </w:rPr>
      </w:pPr>
      <w:bookmarkStart w:id="259" w:name="_Toc356294718"/>
      <w:r w:rsidRPr="00B47352">
        <w:rPr>
          <w:highlight w:val="blue"/>
        </w:rPr>
        <w:t>Der Prozess Abgabeerhebung stellt den termingerechten VASA-Mittelzufluss sicher</w:t>
      </w:r>
      <w:bookmarkEnd w:id="259"/>
    </w:p>
    <w:p w14:paraId="20A37503" w14:textId="77777777" w:rsidR="00E17949" w:rsidRPr="00B47352" w:rsidRDefault="000E01F4" w:rsidP="00E17949">
      <w:pPr>
        <w:pStyle w:val="Empfehlung-n"/>
        <w:numPr>
          <w:ilvl w:val="0"/>
          <w:numId w:val="0"/>
        </w:numPr>
        <w:tabs>
          <w:tab w:val="left" w:pos="284"/>
        </w:tabs>
        <w:spacing w:before="120" w:line="300" w:lineRule="atLeast"/>
        <w:rPr>
          <w:highlight w:val="blue"/>
        </w:rPr>
      </w:pPr>
      <w:r w:rsidRPr="00B47352">
        <w:rPr>
          <w:i w:val="0"/>
          <w:highlight w:val="blue"/>
        </w:rPr>
        <w:t>Der Prozess VASA-Abgabeerhebung ist dokumentiert</w:t>
      </w:r>
      <w:r w:rsidR="00AD35ED" w:rsidRPr="00B47352">
        <w:rPr>
          <w:i w:val="0"/>
          <w:highlight w:val="blue"/>
        </w:rPr>
        <w:t>.</w:t>
      </w:r>
      <w:r w:rsidR="00364B6E" w:rsidRPr="00B47352">
        <w:rPr>
          <w:i w:val="0"/>
          <w:highlight w:val="blue"/>
        </w:rPr>
        <w:t xml:space="preserve"> Formelle, reorganisationsbedingte</w:t>
      </w:r>
      <w:r w:rsidRPr="00B47352">
        <w:rPr>
          <w:i w:val="0"/>
          <w:highlight w:val="blue"/>
        </w:rPr>
        <w:t xml:space="preserve"> A</w:t>
      </w:r>
      <w:r w:rsidR="00AD35ED" w:rsidRPr="00B47352">
        <w:rPr>
          <w:i w:val="0"/>
          <w:highlight w:val="blue"/>
        </w:rPr>
        <w:t>npassun</w:t>
      </w:r>
      <w:r w:rsidR="00364B6E" w:rsidRPr="00B47352">
        <w:rPr>
          <w:i w:val="0"/>
          <w:highlight w:val="blue"/>
        </w:rPr>
        <w:t>gen sind</w:t>
      </w:r>
      <w:r w:rsidR="00AD35ED" w:rsidRPr="00B47352">
        <w:rPr>
          <w:i w:val="0"/>
          <w:highlight w:val="blue"/>
        </w:rPr>
        <w:t xml:space="preserve"> noch vorzunehmen</w:t>
      </w:r>
      <w:r w:rsidRPr="00B47352">
        <w:rPr>
          <w:i w:val="0"/>
          <w:highlight w:val="blue"/>
        </w:rPr>
        <w:t xml:space="preserve">. </w:t>
      </w:r>
      <w:r w:rsidR="00AD35ED" w:rsidRPr="00B47352">
        <w:rPr>
          <w:i w:val="0"/>
          <w:highlight w:val="blue"/>
        </w:rPr>
        <w:t>Zudem ist d</w:t>
      </w:r>
      <w:r w:rsidRPr="00B47352">
        <w:rPr>
          <w:i w:val="0"/>
          <w:highlight w:val="blue"/>
        </w:rPr>
        <w:t>er Prozessschritt „Debitoren verbuchen“</w:t>
      </w:r>
      <w:r w:rsidR="00151F48" w:rsidRPr="00B47352">
        <w:rPr>
          <w:i w:val="0"/>
          <w:highlight w:val="blue"/>
        </w:rPr>
        <w:t xml:space="preserve"> für den Fall</w:t>
      </w:r>
      <w:r w:rsidRPr="00B47352">
        <w:rPr>
          <w:i w:val="0"/>
          <w:highlight w:val="blue"/>
        </w:rPr>
        <w:t xml:space="preserve"> des erfolglosen Mahnprozederes</w:t>
      </w:r>
      <w:r w:rsidR="00022DDD" w:rsidRPr="00B47352">
        <w:rPr>
          <w:i w:val="0"/>
          <w:highlight w:val="blue"/>
        </w:rPr>
        <w:t xml:space="preserve"> an die VASA-Besonderheit</w:t>
      </w:r>
      <w:r w:rsidRPr="00B47352">
        <w:rPr>
          <w:i w:val="0"/>
          <w:highlight w:val="blue"/>
        </w:rPr>
        <w:t xml:space="preserve"> anzupassen. </w:t>
      </w:r>
      <w:r w:rsidR="00022DDD" w:rsidRPr="00B47352">
        <w:rPr>
          <w:i w:val="0"/>
          <w:highlight w:val="blue"/>
        </w:rPr>
        <w:t>Da eine gesetzliche Abgabep</w:t>
      </w:r>
      <w:r w:rsidR="007D2608" w:rsidRPr="00B47352">
        <w:rPr>
          <w:i w:val="0"/>
          <w:highlight w:val="blue"/>
        </w:rPr>
        <w:t>flicht besteht, müsste bevor eine</w:t>
      </w:r>
      <w:r w:rsidR="00022DDD" w:rsidRPr="00B47352">
        <w:rPr>
          <w:i w:val="0"/>
          <w:highlight w:val="blue"/>
        </w:rPr>
        <w:t xml:space="preserve"> Forderung an die Inkassostelle des Bundes abgetreten wird, der Rechtsdienst des BAFU involviert werden. </w:t>
      </w:r>
      <w:r w:rsidR="00AD35ED" w:rsidRPr="00B47352">
        <w:rPr>
          <w:i w:val="0"/>
          <w:highlight w:val="blue"/>
        </w:rPr>
        <w:t>Die Prozessschritte</w:t>
      </w:r>
      <w:r w:rsidR="003073AD" w:rsidRPr="00B47352">
        <w:rPr>
          <w:i w:val="0"/>
          <w:highlight w:val="blue"/>
        </w:rPr>
        <w:t xml:space="preserve"> „Dossier an Inkasso weiterleiten“ und </w:t>
      </w:r>
      <w:r w:rsidR="00791A4D" w:rsidRPr="00B47352">
        <w:rPr>
          <w:i w:val="0"/>
          <w:highlight w:val="blue"/>
        </w:rPr>
        <w:t>„</w:t>
      </w:r>
      <w:r w:rsidR="00022DDD" w:rsidRPr="00B47352">
        <w:rPr>
          <w:i w:val="0"/>
          <w:highlight w:val="blue"/>
        </w:rPr>
        <w:t xml:space="preserve">Sperrung </w:t>
      </w:r>
      <w:proofErr w:type="gramStart"/>
      <w:r w:rsidR="00022DDD" w:rsidRPr="00B47352">
        <w:rPr>
          <w:i w:val="0"/>
          <w:highlight w:val="blue"/>
        </w:rPr>
        <w:t>des Debitoren</w:t>
      </w:r>
      <w:proofErr w:type="gramEnd"/>
      <w:r w:rsidR="00791A4D" w:rsidRPr="00B47352">
        <w:rPr>
          <w:i w:val="0"/>
          <w:highlight w:val="blue"/>
        </w:rPr>
        <w:t>“</w:t>
      </w:r>
      <w:r w:rsidR="00022DDD" w:rsidRPr="00B47352">
        <w:rPr>
          <w:i w:val="0"/>
          <w:highlight w:val="blue"/>
        </w:rPr>
        <w:t xml:space="preserve"> </w:t>
      </w:r>
      <w:r w:rsidR="003073AD" w:rsidRPr="00B47352">
        <w:rPr>
          <w:i w:val="0"/>
          <w:highlight w:val="blue"/>
        </w:rPr>
        <w:t>kommen</w:t>
      </w:r>
      <w:r w:rsidR="007D2608" w:rsidRPr="00B47352">
        <w:rPr>
          <w:i w:val="0"/>
          <w:highlight w:val="blue"/>
        </w:rPr>
        <w:t xml:space="preserve"> nach Auffassung der EFK bei den Abgabeerhebungen</w:t>
      </w:r>
      <w:r w:rsidR="006E1F46" w:rsidRPr="00B47352">
        <w:rPr>
          <w:i w:val="0"/>
          <w:highlight w:val="blue"/>
        </w:rPr>
        <w:t xml:space="preserve"> nur</w:t>
      </w:r>
      <w:r w:rsidR="00022DDD" w:rsidRPr="00B47352">
        <w:rPr>
          <w:i w:val="0"/>
          <w:highlight w:val="blue"/>
        </w:rPr>
        <w:t xml:space="preserve"> </w:t>
      </w:r>
      <w:r w:rsidR="00791A4D" w:rsidRPr="00B47352">
        <w:rPr>
          <w:i w:val="0"/>
          <w:highlight w:val="blue"/>
        </w:rPr>
        <w:t>im Konkursfall zum Tragen.</w:t>
      </w:r>
    </w:p>
    <w:p w14:paraId="39CCC636" w14:textId="77777777" w:rsidR="00E17949" w:rsidRPr="00B47352" w:rsidRDefault="00E17949" w:rsidP="00E17949">
      <w:pPr>
        <w:pStyle w:val="Empfehlung-n"/>
        <w:numPr>
          <w:ilvl w:val="0"/>
          <w:numId w:val="0"/>
        </w:numPr>
        <w:tabs>
          <w:tab w:val="left" w:pos="284"/>
        </w:tabs>
        <w:spacing w:before="120" w:line="300" w:lineRule="atLeast"/>
        <w:rPr>
          <w:color w:val="000000" w:themeColor="text1"/>
          <w:highlight w:val="darkYellow"/>
        </w:rPr>
      </w:pPr>
      <w:r w:rsidRPr="00B47352">
        <w:rPr>
          <w:color w:val="000000" w:themeColor="text1"/>
          <w:highlight w:val="darkYellow"/>
        </w:rPr>
        <w:lastRenderedPageBreak/>
        <w:t>Empfehlung 4 (Priorität 2):</w:t>
      </w:r>
    </w:p>
    <w:p w14:paraId="7FDCE273" w14:textId="77777777" w:rsidR="00E17949" w:rsidRPr="00B47352" w:rsidRDefault="00E17949" w:rsidP="00E17949">
      <w:pPr>
        <w:tabs>
          <w:tab w:val="right" w:pos="284"/>
          <w:tab w:val="center" w:pos="8505"/>
        </w:tabs>
        <w:spacing w:before="120" w:after="360"/>
        <w:rPr>
          <w:highlight w:val="darkYellow"/>
        </w:rPr>
      </w:pPr>
      <w:r w:rsidRPr="00B47352">
        <w:rPr>
          <w:i/>
          <w:highlight w:val="darkYellow"/>
        </w:rPr>
        <w:t>Das BAFU ist ersucht, den Prozess Abgabeerhebung formell zu aktualisieren und den Teilprozess „Debitoren verbuchen“ auf die VASA-Spezifika anzupassen.</w:t>
      </w:r>
    </w:p>
    <w:p w14:paraId="57E85800" w14:textId="77777777" w:rsidR="006E223F" w:rsidRPr="00B47352" w:rsidRDefault="006E223F" w:rsidP="0089285E">
      <w:pPr>
        <w:rPr>
          <w:highlight w:val="green"/>
        </w:rPr>
      </w:pPr>
      <w:r w:rsidRPr="00B47352">
        <w:rPr>
          <w:highlight w:val="green"/>
        </w:rPr>
        <w:t>Hinsichtlich de</w:t>
      </w:r>
      <w:r w:rsidR="001A4793" w:rsidRPr="00B47352">
        <w:rPr>
          <w:highlight w:val="green"/>
        </w:rPr>
        <w:t>r internen Kontrollen haben wir</w:t>
      </w:r>
      <w:r w:rsidRPr="00B47352">
        <w:rPr>
          <w:highlight w:val="green"/>
        </w:rPr>
        <w:t xml:space="preserve"> ein</w:t>
      </w:r>
      <w:r w:rsidR="001A4793" w:rsidRPr="00B47352">
        <w:rPr>
          <w:highlight w:val="green"/>
        </w:rPr>
        <w:t>en</w:t>
      </w:r>
      <w:r w:rsidRPr="00B47352">
        <w:rPr>
          <w:highlight w:val="green"/>
        </w:rPr>
        <w:t xml:space="preserve"> Geschäftsvorfall von Anfang bis zum Ende einschliesslich der dazugehörigen Unterlagen detailliert </w:t>
      </w:r>
      <w:r w:rsidR="001A4793" w:rsidRPr="00B47352">
        <w:rPr>
          <w:highlight w:val="green"/>
        </w:rPr>
        <w:t>n</w:t>
      </w:r>
      <w:r w:rsidRPr="00B47352">
        <w:rPr>
          <w:highlight w:val="green"/>
        </w:rPr>
        <w:t xml:space="preserve">achvollzogen. </w:t>
      </w:r>
      <w:r w:rsidR="001A4793" w:rsidRPr="00B47352">
        <w:rPr>
          <w:highlight w:val="green"/>
        </w:rPr>
        <w:t>Es zeigte sich, dass die</w:t>
      </w:r>
      <w:r w:rsidR="00A94E89" w:rsidRPr="00B47352">
        <w:rPr>
          <w:highlight w:val="green"/>
        </w:rPr>
        <w:t xml:space="preserve"> Funktionentren</w:t>
      </w:r>
      <w:r w:rsidR="001A4793" w:rsidRPr="00B47352">
        <w:rPr>
          <w:highlight w:val="green"/>
        </w:rPr>
        <w:t xml:space="preserve">nung </w:t>
      </w:r>
      <w:r w:rsidR="00151F48" w:rsidRPr="00B47352">
        <w:rPr>
          <w:highlight w:val="green"/>
        </w:rPr>
        <w:t xml:space="preserve">und </w:t>
      </w:r>
      <w:r w:rsidR="00195BA7" w:rsidRPr="00B47352">
        <w:rPr>
          <w:highlight w:val="green"/>
        </w:rPr>
        <w:t xml:space="preserve">die </w:t>
      </w:r>
      <w:r w:rsidR="00151F48" w:rsidRPr="00B47352">
        <w:rPr>
          <w:highlight w:val="green"/>
        </w:rPr>
        <w:t>internen Kontrollen berücksichtigt</w:t>
      </w:r>
      <w:r w:rsidR="001A4793" w:rsidRPr="00B47352">
        <w:rPr>
          <w:highlight w:val="green"/>
        </w:rPr>
        <w:t xml:space="preserve"> </w:t>
      </w:r>
      <w:r w:rsidR="00A94E89" w:rsidRPr="00B47352">
        <w:rPr>
          <w:highlight w:val="green"/>
        </w:rPr>
        <w:t xml:space="preserve">und </w:t>
      </w:r>
      <w:r w:rsidR="001A4793" w:rsidRPr="00B47352">
        <w:rPr>
          <w:highlight w:val="green"/>
        </w:rPr>
        <w:t xml:space="preserve">sowohl Rechnungserfassung als auch Zahlungseingang korrekt im SAP-System erfasst sind. </w:t>
      </w:r>
      <w:r w:rsidR="00C837C7" w:rsidRPr="00B47352">
        <w:rPr>
          <w:highlight w:val="green"/>
        </w:rPr>
        <w:t>Zum Zeitpunkt der Revision waren keine überfälligen Positionen</w:t>
      </w:r>
      <w:r w:rsidR="00195BA7" w:rsidRPr="00B47352">
        <w:rPr>
          <w:highlight w:val="green"/>
        </w:rPr>
        <w:t>, welche zu</w:t>
      </w:r>
      <w:r w:rsidR="00C837C7" w:rsidRPr="00B47352">
        <w:rPr>
          <w:highlight w:val="green"/>
        </w:rPr>
        <w:t xml:space="preserve"> Mahnung</w:t>
      </w:r>
      <w:r w:rsidR="00195BA7" w:rsidRPr="00B47352">
        <w:rPr>
          <w:highlight w:val="green"/>
        </w:rPr>
        <w:t>en</w:t>
      </w:r>
      <w:r w:rsidR="00C837C7" w:rsidRPr="00B47352">
        <w:rPr>
          <w:highlight w:val="green"/>
        </w:rPr>
        <w:t xml:space="preserve"> veranlasst hätten, vorhanden. </w:t>
      </w:r>
    </w:p>
    <w:p w14:paraId="0784EC84" w14:textId="77777777" w:rsidR="00C65906" w:rsidRPr="00B47352" w:rsidRDefault="00CD15AA" w:rsidP="0089285E">
      <w:pPr>
        <w:rPr>
          <w:highlight w:val="green"/>
        </w:rPr>
      </w:pPr>
      <w:r w:rsidRPr="00B47352">
        <w:rPr>
          <w:highlight w:val="green"/>
        </w:rPr>
        <w:t>Der direkte Abgleich der SAP-</w:t>
      </w:r>
      <w:r w:rsidR="00C837C7" w:rsidRPr="00B47352">
        <w:rPr>
          <w:highlight w:val="green"/>
        </w:rPr>
        <w:t>Jahresumsätze war</w:t>
      </w:r>
      <w:r w:rsidRPr="00B47352">
        <w:rPr>
          <w:highlight w:val="green"/>
        </w:rPr>
        <w:t xml:space="preserve"> mit dem</w:t>
      </w:r>
      <w:r w:rsidR="00003988" w:rsidRPr="00B47352">
        <w:rPr>
          <w:highlight w:val="green"/>
        </w:rPr>
        <w:t xml:space="preserve"> Nachweis der Abgabeerhebungen </w:t>
      </w:r>
      <w:r w:rsidRPr="00B47352">
        <w:rPr>
          <w:highlight w:val="green"/>
        </w:rPr>
        <w:t xml:space="preserve">(Excel-Tabelle) der Fachabteilung </w:t>
      </w:r>
      <w:r w:rsidR="000B49E3" w:rsidRPr="00B47352">
        <w:rPr>
          <w:highlight w:val="green"/>
        </w:rPr>
        <w:t xml:space="preserve">nur für das Rechnungsjahr 2012 </w:t>
      </w:r>
      <w:r w:rsidRPr="00B47352">
        <w:rPr>
          <w:highlight w:val="green"/>
        </w:rPr>
        <w:t xml:space="preserve">möglich. </w:t>
      </w:r>
      <w:r w:rsidR="000B49E3" w:rsidRPr="00B47352">
        <w:rPr>
          <w:highlight w:val="green"/>
        </w:rPr>
        <w:t>Bei den Vorjahren ergaben sich jeweils nicht abschliessend erklärte Differenzen.</w:t>
      </w:r>
      <w:r w:rsidR="00E21035" w:rsidRPr="00B47352">
        <w:rPr>
          <w:highlight w:val="green"/>
        </w:rPr>
        <w:t xml:space="preserve"> Die zeitlichen Verschiebungen bei den Nachbelastungen könnten unter Umständen zu Abstimmdifferenzen führen. Z</w:t>
      </w:r>
      <w:r w:rsidR="007F34DE" w:rsidRPr="00B47352">
        <w:rPr>
          <w:highlight w:val="green"/>
        </w:rPr>
        <w:t>urz</w:t>
      </w:r>
      <w:r w:rsidR="00E21035" w:rsidRPr="00B47352">
        <w:rPr>
          <w:highlight w:val="green"/>
        </w:rPr>
        <w:t>eit ist das BAFU am Aufbau des mit</w:t>
      </w:r>
      <w:r w:rsidR="00003988" w:rsidRPr="00B47352">
        <w:rPr>
          <w:highlight w:val="green"/>
        </w:rPr>
        <w:t xml:space="preserve"> „</w:t>
      </w:r>
      <w:proofErr w:type="spellStart"/>
      <w:r w:rsidR="00003988" w:rsidRPr="00B47352">
        <w:rPr>
          <w:highlight w:val="green"/>
        </w:rPr>
        <w:t>Vasabi</w:t>
      </w:r>
      <w:proofErr w:type="spellEnd"/>
      <w:r w:rsidR="00003988" w:rsidRPr="00B47352">
        <w:rPr>
          <w:highlight w:val="green"/>
        </w:rPr>
        <w:t>“</w:t>
      </w:r>
      <w:r w:rsidR="00E21035" w:rsidRPr="00B47352">
        <w:rPr>
          <w:highlight w:val="green"/>
        </w:rPr>
        <w:t xml:space="preserve"> benannten </w:t>
      </w:r>
      <w:r w:rsidR="00003988" w:rsidRPr="00B47352">
        <w:rPr>
          <w:highlight w:val="green"/>
        </w:rPr>
        <w:t>Informationstool</w:t>
      </w:r>
      <w:r w:rsidR="00E21035" w:rsidRPr="00B47352">
        <w:rPr>
          <w:highlight w:val="green"/>
        </w:rPr>
        <w:t>s</w:t>
      </w:r>
      <w:r w:rsidR="00003988" w:rsidRPr="00B47352">
        <w:rPr>
          <w:highlight w:val="green"/>
        </w:rPr>
        <w:t xml:space="preserve"> (</w:t>
      </w:r>
      <w:r w:rsidR="00003988" w:rsidRPr="00B47352">
        <w:rPr>
          <w:highlight w:val="green"/>
          <w:u w:val="single"/>
        </w:rPr>
        <w:t>Vas</w:t>
      </w:r>
      <w:r w:rsidR="00003988" w:rsidRPr="00B47352">
        <w:rPr>
          <w:highlight w:val="green"/>
        </w:rPr>
        <w:t xml:space="preserve">a und </w:t>
      </w:r>
      <w:r w:rsidR="00003988" w:rsidRPr="00B47352">
        <w:rPr>
          <w:highlight w:val="green"/>
          <w:u w:val="single"/>
        </w:rPr>
        <w:t>Ab</w:t>
      </w:r>
      <w:r w:rsidR="00003988" w:rsidRPr="00B47352">
        <w:rPr>
          <w:highlight w:val="green"/>
        </w:rPr>
        <w:t xml:space="preserve">fall </w:t>
      </w:r>
      <w:proofErr w:type="spellStart"/>
      <w:r w:rsidR="00003988" w:rsidRPr="00B47352">
        <w:rPr>
          <w:highlight w:val="green"/>
          <w:u w:val="single"/>
        </w:rPr>
        <w:t>I</w:t>
      </w:r>
      <w:r w:rsidR="00003988" w:rsidRPr="00B47352">
        <w:rPr>
          <w:highlight w:val="green"/>
        </w:rPr>
        <w:t>nfo</w:t>
      </w:r>
      <w:r w:rsidR="00E21035" w:rsidRPr="00B47352">
        <w:rPr>
          <w:highlight w:val="green"/>
        </w:rPr>
        <w:t>tool</w:t>
      </w:r>
      <w:proofErr w:type="spellEnd"/>
      <w:r w:rsidR="00E21035" w:rsidRPr="00B47352">
        <w:rPr>
          <w:highlight w:val="green"/>
        </w:rPr>
        <w:t xml:space="preserve">). Sobald diese Datenbank </w:t>
      </w:r>
      <w:r w:rsidR="00B9048E" w:rsidRPr="00B47352">
        <w:rPr>
          <w:highlight w:val="green"/>
        </w:rPr>
        <w:t>voll</w:t>
      </w:r>
      <w:r w:rsidR="00003988" w:rsidRPr="00B47352">
        <w:rPr>
          <w:highlight w:val="green"/>
        </w:rPr>
        <w:t xml:space="preserve"> funktionsfä</w:t>
      </w:r>
      <w:r w:rsidR="00E21035" w:rsidRPr="00B47352">
        <w:rPr>
          <w:highlight w:val="green"/>
        </w:rPr>
        <w:t>hig ist, soll sich gemäss Auskunft</w:t>
      </w:r>
      <w:r w:rsidR="00C837C7" w:rsidRPr="00B47352">
        <w:rPr>
          <w:highlight w:val="green"/>
        </w:rPr>
        <w:t xml:space="preserve"> </w:t>
      </w:r>
      <w:r w:rsidR="00003988" w:rsidRPr="00B47352">
        <w:rPr>
          <w:highlight w:val="green"/>
        </w:rPr>
        <w:t xml:space="preserve">diese </w:t>
      </w:r>
      <w:r w:rsidR="00E21035" w:rsidRPr="00B47352">
        <w:rPr>
          <w:highlight w:val="green"/>
        </w:rPr>
        <w:t>Abstimml</w:t>
      </w:r>
      <w:r w:rsidR="00B9048E" w:rsidRPr="00B47352">
        <w:rPr>
          <w:highlight w:val="green"/>
        </w:rPr>
        <w:t xml:space="preserve">ücke </w:t>
      </w:r>
      <w:r w:rsidR="00C837C7" w:rsidRPr="00B47352">
        <w:rPr>
          <w:highlight w:val="green"/>
        </w:rPr>
        <w:t>schliessen</w:t>
      </w:r>
      <w:r w:rsidR="00B9048E" w:rsidRPr="00B47352">
        <w:rPr>
          <w:highlight w:val="green"/>
        </w:rPr>
        <w:t>. Aktuell wird die Daten</w:t>
      </w:r>
      <w:r w:rsidR="00E21035" w:rsidRPr="00B47352">
        <w:rPr>
          <w:highlight w:val="green"/>
        </w:rPr>
        <w:t>bank</w:t>
      </w:r>
      <w:r w:rsidR="00AA34C3" w:rsidRPr="00B47352">
        <w:rPr>
          <w:highlight w:val="green"/>
        </w:rPr>
        <w:t xml:space="preserve"> noch</w:t>
      </w:r>
      <w:r w:rsidR="00C837C7" w:rsidRPr="00B47352">
        <w:rPr>
          <w:highlight w:val="green"/>
        </w:rPr>
        <w:t xml:space="preserve"> </w:t>
      </w:r>
      <w:r w:rsidR="00B9048E" w:rsidRPr="00B47352">
        <w:rPr>
          <w:highlight w:val="green"/>
        </w:rPr>
        <w:t xml:space="preserve">mit </w:t>
      </w:r>
      <w:r w:rsidR="00E21035" w:rsidRPr="00B47352">
        <w:rPr>
          <w:highlight w:val="green"/>
        </w:rPr>
        <w:t xml:space="preserve">den </w:t>
      </w:r>
      <w:r w:rsidR="00B9048E" w:rsidRPr="00B47352">
        <w:rPr>
          <w:highlight w:val="green"/>
        </w:rPr>
        <w:t>vergangenheits</w:t>
      </w:r>
      <w:r w:rsidR="00507CE6" w:rsidRPr="00B47352">
        <w:rPr>
          <w:highlight w:val="green"/>
        </w:rPr>
        <w:t>bezogenen Daten ergänzt. Nach Abschluss dieser Arbeiten wird das BAFU</w:t>
      </w:r>
      <w:r w:rsidR="00E21035" w:rsidRPr="00B47352">
        <w:rPr>
          <w:highlight w:val="green"/>
        </w:rPr>
        <w:t xml:space="preserve"> die</w:t>
      </w:r>
      <w:r w:rsidR="00507CE6" w:rsidRPr="00B47352">
        <w:rPr>
          <w:highlight w:val="green"/>
        </w:rPr>
        <w:t xml:space="preserve"> </w:t>
      </w:r>
      <w:r w:rsidR="00C837C7" w:rsidRPr="00B47352">
        <w:rPr>
          <w:highlight w:val="green"/>
        </w:rPr>
        <w:t>„</w:t>
      </w:r>
      <w:proofErr w:type="spellStart"/>
      <w:r w:rsidR="00C837C7" w:rsidRPr="00B47352">
        <w:rPr>
          <w:highlight w:val="green"/>
        </w:rPr>
        <w:t>Vasabi</w:t>
      </w:r>
      <w:proofErr w:type="spellEnd"/>
      <w:r w:rsidR="00C837C7" w:rsidRPr="00B47352">
        <w:rPr>
          <w:highlight w:val="green"/>
        </w:rPr>
        <w:t>“-Datenbank</w:t>
      </w:r>
      <w:r w:rsidR="007F34DE" w:rsidRPr="00B47352">
        <w:rPr>
          <w:highlight w:val="green"/>
        </w:rPr>
        <w:t xml:space="preserve"> </w:t>
      </w:r>
      <w:r w:rsidR="00021420" w:rsidRPr="00B47352">
        <w:rPr>
          <w:highlight w:val="green"/>
        </w:rPr>
        <w:t xml:space="preserve">als strategisches Informationssystem </w:t>
      </w:r>
      <w:r w:rsidR="007F34DE" w:rsidRPr="00B47352">
        <w:rPr>
          <w:highlight w:val="green"/>
        </w:rPr>
        <w:t>für komplexe</w:t>
      </w:r>
      <w:r w:rsidR="00507CE6" w:rsidRPr="00B47352">
        <w:rPr>
          <w:highlight w:val="green"/>
        </w:rPr>
        <w:t xml:space="preserve"> </w:t>
      </w:r>
      <w:r w:rsidR="00E21035" w:rsidRPr="00B47352">
        <w:rPr>
          <w:highlight w:val="green"/>
        </w:rPr>
        <w:t xml:space="preserve">statistische </w:t>
      </w:r>
      <w:r w:rsidR="00507CE6" w:rsidRPr="00B47352">
        <w:rPr>
          <w:highlight w:val="green"/>
        </w:rPr>
        <w:t>Auswertungen nutzen können.</w:t>
      </w:r>
    </w:p>
    <w:p w14:paraId="117248BE" w14:textId="77777777" w:rsidR="00B00AE6" w:rsidRPr="00B47352" w:rsidRDefault="00B00AE6" w:rsidP="0089285E">
      <w:pPr>
        <w:rPr>
          <w:highlight w:val="green"/>
        </w:rPr>
      </w:pPr>
      <w:r w:rsidRPr="00B47352">
        <w:rPr>
          <w:highlight w:val="green"/>
        </w:rPr>
        <w:t>Der Mittelzufluss für das Jahr 2012 beträgt rund 35 Millionen Franken. Die Verteilung auf die verschiedenen Deponietypen bzw. die Exporte illustriert folgende Grafik:</w:t>
      </w:r>
    </w:p>
    <w:p w14:paraId="685D4AC2" w14:textId="77777777" w:rsidR="00507CE6" w:rsidRPr="00B47352" w:rsidRDefault="00507CE6" w:rsidP="0089285E">
      <w:pPr>
        <w:rPr>
          <w:highlight w:val="green"/>
        </w:rPr>
      </w:pPr>
    </w:p>
    <w:p w14:paraId="5E09D4FC" w14:textId="77777777" w:rsidR="00507CE6" w:rsidRPr="00B47352" w:rsidRDefault="00B00AE6" w:rsidP="00B00AE6">
      <w:pPr>
        <w:jc w:val="center"/>
        <w:rPr>
          <w:highlight w:val="green"/>
        </w:rPr>
      </w:pPr>
      <w:r w:rsidRPr="00B47352">
        <w:rPr>
          <w:noProof/>
          <w:highlight w:val="green"/>
          <w:lang w:eastAsia="de-CH"/>
        </w:rPr>
        <w:drawing>
          <wp:inline distT="0" distB="0" distL="0" distR="0" wp14:anchorId="3467F49A" wp14:editId="131F7936">
            <wp:extent cx="3474661" cy="2424023"/>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75060" cy="2424301"/>
                    </a:xfrm>
                    <a:prstGeom prst="rect">
                      <a:avLst/>
                    </a:prstGeom>
                  </pic:spPr>
                </pic:pic>
              </a:graphicData>
            </a:graphic>
          </wp:inline>
        </w:drawing>
      </w:r>
    </w:p>
    <w:p w14:paraId="3A3C9F97" w14:textId="77777777" w:rsidR="00A3675F" w:rsidRPr="00B47352" w:rsidRDefault="00312A60" w:rsidP="002E5F99">
      <w:pPr>
        <w:tabs>
          <w:tab w:val="left" w:pos="1985"/>
        </w:tabs>
        <w:spacing w:before="0" w:after="120" w:line="240" w:lineRule="atLeast"/>
        <w:rPr>
          <w:sz w:val="14"/>
          <w:szCs w:val="14"/>
          <w:highlight w:val="green"/>
        </w:rPr>
      </w:pPr>
      <w:r w:rsidRPr="00B47352">
        <w:rPr>
          <w:sz w:val="14"/>
          <w:szCs w:val="14"/>
          <w:highlight w:val="green"/>
        </w:rPr>
        <w:tab/>
        <w:t>Quelle: BAFU</w:t>
      </w:r>
    </w:p>
    <w:p w14:paraId="42C327BE" w14:textId="77777777" w:rsidR="00A3675F" w:rsidRPr="00B47352" w:rsidRDefault="00415542" w:rsidP="00D70961">
      <w:pPr>
        <w:spacing w:before="240"/>
        <w:rPr>
          <w:highlight w:val="green"/>
        </w:rPr>
      </w:pPr>
      <w:r w:rsidRPr="00B47352">
        <w:rPr>
          <w:highlight w:val="green"/>
        </w:rPr>
        <w:t xml:space="preserve">Die Erträge aus den exportierten Abfällen </w:t>
      </w:r>
      <w:r w:rsidR="00FA298B" w:rsidRPr="00B47352">
        <w:rPr>
          <w:highlight w:val="green"/>
        </w:rPr>
        <w:t xml:space="preserve">(2,4 Mio. Franken) und den Reststoffdeponien (2,1 Mio. Franken) </w:t>
      </w:r>
      <w:r w:rsidRPr="00B47352">
        <w:rPr>
          <w:highlight w:val="green"/>
        </w:rPr>
        <w:t xml:space="preserve">sind </w:t>
      </w:r>
      <w:r w:rsidR="00FA298B" w:rsidRPr="00B47352">
        <w:rPr>
          <w:highlight w:val="green"/>
        </w:rPr>
        <w:t xml:space="preserve">eher </w:t>
      </w:r>
      <w:r w:rsidRPr="00B47352">
        <w:rPr>
          <w:highlight w:val="green"/>
        </w:rPr>
        <w:t>marginal</w:t>
      </w:r>
      <w:r w:rsidR="00FA298B" w:rsidRPr="00B47352">
        <w:rPr>
          <w:highlight w:val="green"/>
        </w:rPr>
        <w:t>. Der Grossteil der Einnahmen mit rund 18 Millionen Franken resultie</w:t>
      </w:r>
      <w:r w:rsidR="006C616F" w:rsidRPr="00B47352">
        <w:rPr>
          <w:highlight w:val="green"/>
        </w:rPr>
        <w:t>rt</w:t>
      </w:r>
      <w:r w:rsidR="00FA298B" w:rsidRPr="00B47352">
        <w:rPr>
          <w:highlight w:val="green"/>
        </w:rPr>
        <w:t xml:space="preserve"> aus den Abgaben der Reaktordeponien. </w:t>
      </w:r>
      <w:r w:rsidR="000F0252" w:rsidRPr="00B47352">
        <w:rPr>
          <w:highlight w:val="green"/>
        </w:rPr>
        <w:t xml:space="preserve">Gewichtig </w:t>
      </w:r>
      <w:r w:rsidR="00EA702A" w:rsidRPr="00B47352">
        <w:rPr>
          <w:highlight w:val="green"/>
        </w:rPr>
        <w:t xml:space="preserve">ist </w:t>
      </w:r>
      <w:r w:rsidR="000F0252" w:rsidRPr="00B47352">
        <w:rPr>
          <w:highlight w:val="green"/>
        </w:rPr>
        <w:t xml:space="preserve">auch </w:t>
      </w:r>
      <w:r w:rsidR="00EA702A" w:rsidRPr="00B47352">
        <w:rPr>
          <w:highlight w:val="green"/>
        </w:rPr>
        <w:t>d</w:t>
      </w:r>
      <w:r w:rsidR="00FA298B" w:rsidRPr="00B47352">
        <w:rPr>
          <w:highlight w:val="green"/>
        </w:rPr>
        <w:t xml:space="preserve">er Anteil der </w:t>
      </w:r>
      <w:proofErr w:type="spellStart"/>
      <w:r w:rsidR="00FA298B" w:rsidRPr="00B47352">
        <w:rPr>
          <w:highlight w:val="green"/>
        </w:rPr>
        <w:t>Inertstoffdeponien</w:t>
      </w:r>
      <w:proofErr w:type="spellEnd"/>
      <w:r w:rsidR="00FA298B" w:rsidRPr="00B47352">
        <w:rPr>
          <w:highlight w:val="green"/>
        </w:rPr>
        <w:t xml:space="preserve"> mit 12,7 Mil</w:t>
      </w:r>
      <w:r w:rsidR="00EA702A" w:rsidRPr="00B47352">
        <w:rPr>
          <w:highlight w:val="green"/>
        </w:rPr>
        <w:t>lionen Franken</w:t>
      </w:r>
      <w:r w:rsidR="00312A60" w:rsidRPr="00B47352">
        <w:rPr>
          <w:highlight w:val="green"/>
        </w:rPr>
        <w:t>.</w:t>
      </w:r>
      <w:r w:rsidR="00C34475" w:rsidRPr="00B47352">
        <w:rPr>
          <w:highlight w:val="green"/>
        </w:rPr>
        <w:t xml:space="preserve"> </w:t>
      </w:r>
      <w:r w:rsidR="007F4779" w:rsidRPr="00B47352">
        <w:rPr>
          <w:highlight w:val="green"/>
        </w:rPr>
        <w:t xml:space="preserve">Die </w:t>
      </w:r>
      <w:proofErr w:type="spellStart"/>
      <w:r w:rsidR="007F4779" w:rsidRPr="00B47352">
        <w:rPr>
          <w:highlight w:val="green"/>
        </w:rPr>
        <w:t>Inertstoffdeponien</w:t>
      </w:r>
      <w:proofErr w:type="spellEnd"/>
      <w:r w:rsidR="007F4779" w:rsidRPr="00B47352">
        <w:rPr>
          <w:highlight w:val="green"/>
        </w:rPr>
        <w:t xml:space="preserve"> wurden erst mit der VASA-Revision 2008 abgabepflichtig.</w:t>
      </w:r>
    </w:p>
    <w:p w14:paraId="53D86D3A" w14:textId="77777777" w:rsidR="00A3675F" w:rsidRPr="00B47352" w:rsidRDefault="00A3675F" w:rsidP="0089285E">
      <w:pPr>
        <w:rPr>
          <w:highlight w:val="green"/>
        </w:rPr>
      </w:pPr>
    </w:p>
    <w:p w14:paraId="30E335AB" w14:textId="77777777" w:rsidR="00604C55" w:rsidRPr="00B47352" w:rsidRDefault="00E1189C" w:rsidP="00E1189C">
      <w:pPr>
        <w:pStyle w:val="berschrift1"/>
        <w:rPr>
          <w:highlight w:val="green"/>
          <w:lang w:val="de-DE"/>
        </w:rPr>
      </w:pPr>
      <w:bookmarkStart w:id="260" w:name="_Toc356294719"/>
      <w:r w:rsidRPr="00B47352">
        <w:rPr>
          <w:highlight w:val="green"/>
          <w:lang w:val="de-DE"/>
        </w:rPr>
        <w:lastRenderedPageBreak/>
        <w:t>VASA Altlasten-Fonds</w:t>
      </w:r>
      <w:bookmarkEnd w:id="260"/>
    </w:p>
    <w:p w14:paraId="178EB4AB" w14:textId="77777777" w:rsidR="00AA3DBE" w:rsidRPr="00B47352" w:rsidRDefault="00DE5920" w:rsidP="00C64DDB">
      <w:pPr>
        <w:pStyle w:val="Formatvorlage4"/>
        <w:spacing w:before="120" w:after="120"/>
        <w:rPr>
          <w:b w:val="0"/>
          <w:highlight w:val="green"/>
          <w:lang w:eastAsia="de-DE"/>
        </w:rPr>
      </w:pPr>
      <w:r w:rsidRPr="00B47352">
        <w:rPr>
          <w:b w:val="0"/>
          <w:highlight w:val="green"/>
          <w:lang w:eastAsia="de-DE"/>
        </w:rPr>
        <w:t>Der</w:t>
      </w:r>
      <w:r w:rsidR="005D1384" w:rsidRPr="00B47352">
        <w:rPr>
          <w:b w:val="0"/>
          <w:highlight w:val="green"/>
          <w:lang w:eastAsia="de-DE"/>
        </w:rPr>
        <w:t xml:space="preserve"> auf der VASA beruhende Altlastenfonds ist eine Spezialfinanzierung gemäss Artikel 53 des Finanzhaushaltsgesetzes. Einnahmen und Ausgaben dieser zweckgebundenen Spezialfinanzierung sind in der Finanzrechnung des BAFU eingestellt. </w:t>
      </w:r>
      <w:r w:rsidR="00025804" w:rsidRPr="00B47352">
        <w:rPr>
          <w:b w:val="0"/>
          <w:highlight w:val="green"/>
          <w:lang w:eastAsia="de-DE"/>
        </w:rPr>
        <w:t xml:space="preserve">Dieses stellt den gesamten Vollzug, inklusive Inkasso der Abgaben sicher. Der Fonds-Ausweis </w:t>
      </w:r>
      <w:r w:rsidR="003136F8" w:rsidRPr="00B47352">
        <w:rPr>
          <w:b w:val="0"/>
          <w:highlight w:val="green"/>
          <w:lang w:eastAsia="de-DE"/>
        </w:rPr>
        <w:t xml:space="preserve">dagegen </w:t>
      </w:r>
      <w:r w:rsidR="00025804" w:rsidRPr="00B47352">
        <w:rPr>
          <w:b w:val="0"/>
          <w:highlight w:val="green"/>
          <w:lang w:eastAsia="de-DE"/>
        </w:rPr>
        <w:t>ist seit 2007 im Verantwortungsbereich der Eidgen</w:t>
      </w:r>
      <w:r w:rsidR="003136F8" w:rsidRPr="00B47352">
        <w:rPr>
          <w:b w:val="0"/>
          <w:highlight w:val="green"/>
          <w:lang w:eastAsia="de-DE"/>
        </w:rPr>
        <w:t xml:space="preserve">össischen Finanzverwaltung. Bilanziert wird der Altlastenfonds </w:t>
      </w:r>
      <w:r w:rsidR="00025804" w:rsidRPr="00B47352">
        <w:rPr>
          <w:b w:val="0"/>
          <w:highlight w:val="green"/>
          <w:lang w:eastAsia="de-DE"/>
        </w:rPr>
        <w:t>unter den „Zweckgebun</w:t>
      </w:r>
      <w:r w:rsidR="003136F8" w:rsidRPr="00B47352">
        <w:rPr>
          <w:b w:val="0"/>
          <w:highlight w:val="green"/>
          <w:lang w:eastAsia="de-DE"/>
        </w:rPr>
        <w:t>denen Fonds im Fremdkapital“.</w:t>
      </w:r>
    </w:p>
    <w:p w14:paraId="58B5CBE7" w14:textId="77777777" w:rsidR="00501BFE" w:rsidRPr="00B47352" w:rsidRDefault="00B223CD" w:rsidP="00C64DDB">
      <w:pPr>
        <w:pStyle w:val="Formatvorlage4"/>
        <w:spacing w:before="120" w:after="120"/>
        <w:rPr>
          <w:b w:val="0"/>
          <w:highlight w:val="green"/>
          <w:lang w:eastAsia="de-DE"/>
        </w:rPr>
      </w:pPr>
      <w:r w:rsidRPr="00B47352">
        <w:rPr>
          <w:b w:val="0"/>
          <w:highlight w:val="green"/>
          <w:lang w:eastAsia="de-DE"/>
        </w:rPr>
        <w:t>Den</w:t>
      </w:r>
      <w:r w:rsidR="005D6DA8" w:rsidRPr="00B47352">
        <w:rPr>
          <w:b w:val="0"/>
          <w:highlight w:val="green"/>
          <w:lang w:eastAsia="de-DE"/>
        </w:rPr>
        <w:t xml:space="preserve"> bisherige</w:t>
      </w:r>
      <w:r w:rsidRPr="00B47352">
        <w:rPr>
          <w:b w:val="0"/>
          <w:highlight w:val="green"/>
          <w:lang w:eastAsia="de-DE"/>
        </w:rPr>
        <w:t>n</w:t>
      </w:r>
      <w:r w:rsidR="005D6DA8" w:rsidRPr="00B47352">
        <w:rPr>
          <w:b w:val="0"/>
          <w:highlight w:val="green"/>
          <w:lang w:eastAsia="de-DE"/>
        </w:rPr>
        <w:t xml:space="preserve"> Geldfluss veranschaulicht folgendes Diagramm:</w:t>
      </w:r>
    </w:p>
    <w:p w14:paraId="515C3735" w14:textId="77777777" w:rsidR="009631BD" w:rsidRPr="00B47352" w:rsidRDefault="009631BD" w:rsidP="0080290A">
      <w:pPr>
        <w:pStyle w:val="Formatvorlage4"/>
        <w:spacing w:before="0"/>
        <w:rPr>
          <w:b w:val="0"/>
          <w:highlight w:val="green"/>
          <w:lang w:eastAsia="de-DE"/>
        </w:rPr>
      </w:pPr>
    </w:p>
    <w:p w14:paraId="59BEC15F" w14:textId="77777777" w:rsidR="009631BD" w:rsidRPr="00B47352" w:rsidRDefault="009631BD" w:rsidP="0080290A">
      <w:pPr>
        <w:pStyle w:val="Formatvorlage4"/>
        <w:spacing w:before="0" w:after="120"/>
        <w:jc w:val="center"/>
        <w:rPr>
          <w:b w:val="0"/>
          <w:highlight w:val="green"/>
          <w:lang w:eastAsia="de-DE"/>
        </w:rPr>
      </w:pPr>
      <w:r w:rsidRPr="00B47352">
        <w:rPr>
          <w:noProof/>
          <w:highlight w:val="green"/>
          <w:lang w:eastAsia="de-CH"/>
        </w:rPr>
        <w:drawing>
          <wp:inline distT="0" distB="0" distL="0" distR="0" wp14:anchorId="3979C81C" wp14:editId="0FFEBC8E">
            <wp:extent cx="4339087" cy="3008078"/>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42713" cy="3010592"/>
                    </a:xfrm>
                    <a:prstGeom prst="rect">
                      <a:avLst/>
                    </a:prstGeom>
                  </pic:spPr>
                </pic:pic>
              </a:graphicData>
            </a:graphic>
          </wp:inline>
        </w:drawing>
      </w:r>
    </w:p>
    <w:p w14:paraId="060D408B" w14:textId="77777777" w:rsidR="000568C4" w:rsidRPr="00B47352" w:rsidRDefault="000568C4" w:rsidP="000568C4">
      <w:pPr>
        <w:pStyle w:val="Formatvorlage4"/>
        <w:tabs>
          <w:tab w:val="left" w:pos="1560"/>
        </w:tabs>
        <w:spacing w:before="0" w:after="240" w:line="240" w:lineRule="atLeast"/>
        <w:rPr>
          <w:b w:val="0"/>
          <w:sz w:val="14"/>
          <w:szCs w:val="14"/>
          <w:highlight w:val="green"/>
          <w:lang w:eastAsia="de-DE"/>
        </w:rPr>
      </w:pPr>
      <w:r w:rsidRPr="00B47352">
        <w:rPr>
          <w:b w:val="0"/>
          <w:sz w:val="14"/>
          <w:szCs w:val="14"/>
          <w:highlight w:val="green"/>
          <w:lang w:eastAsia="de-DE"/>
        </w:rPr>
        <w:tab/>
        <w:t>Quelle: BAFU</w:t>
      </w:r>
    </w:p>
    <w:p w14:paraId="4571BE9B" w14:textId="77777777" w:rsidR="009631BD" w:rsidRPr="00B47352" w:rsidRDefault="0080290A" w:rsidP="00C64DDB">
      <w:pPr>
        <w:pStyle w:val="Formatvorlage4"/>
        <w:spacing w:before="120" w:after="120"/>
        <w:rPr>
          <w:b w:val="0"/>
          <w:highlight w:val="green"/>
          <w:lang w:eastAsia="de-DE"/>
        </w:rPr>
      </w:pPr>
      <w:r w:rsidRPr="00B47352">
        <w:rPr>
          <w:b w:val="0"/>
          <w:highlight w:val="green"/>
          <w:lang w:eastAsia="de-DE"/>
        </w:rPr>
        <w:t xml:space="preserve">Die seit 2002 summierten Einnahmen betragen rund 324 Millionen Franken. Diesen stehen Abgeltungen von insgesamt </w:t>
      </w:r>
      <w:r w:rsidR="007F32A0" w:rsidRPr="00B47352">
        <w:rPr>
          <w:b w:val="0"/>
          <w:highlight w:val="green"/>
          <w:lang w:eastAsia="de-DE"/>
        </w:rPr>
        <w:t>rund 15</w:t>
      </w:r>
      <w:r w:rsidR="000568C4" w:rsidRPr="00B47352">
        <w:rPr>
          <w:b w:val="0"/>
          <w:highlight w:val="green"/>
          <w:lang w:eastAsia="de-DE"/>
        </w:rPr>
        <w:t xml:space="preserve">4 Millionen Franken gegenüber. Per </w:t>
      </w:r>
      <w:r w:rsidR="007F32A0" w:rsidRPr="00B47352">
        <w:rPr>
          <w:b w:val="0"/>
          <w:highlight w:val="green"/>
          <w:lang w:eastAsia="de-DE"/>
        </w:rPr>
        <w:t xml:space="preserve">Ende 2012 </w:t>
      </w:r>
      <w:r w:rsidR="000568C4" w:rsidRPr="00B47352">
        <w:rPr>
          <w:b w:val="0"/>
          <w:highlight w:val="green"/>
          <w:lang w:eastAsia="de-DE"/>
        </w:rPr>
        <w:t>beträgt der Fondssaldo</w:t>
      </w:r>
      <w:r w:rsidR="007F32A0" w:rsidRPr="00B47352">
        <w:rPr>
          <w:b w:val="0"/>
          <w:highlight w:val="green"/>
          <w:lang w:eastAsia="de-DE"/>
        </w:rPr>
        <w:t xml:space="preserve"> </w:t>
      </w:r>
      <w:r w:rsidR="000568C4" w:rsidRPr="00B47352">
        <w:rPr>
          <w:b w:val="0"/>
          <w:highlight w:val="green"/>
          <w:lang w:eastAsia="de-DE"/>
        </w:rPr>
        <w:t xml:space="preserve">somit </w:t>
      </w:r>
      <w:r w:rsidR="007F32A0" w:rsidRPr="00B47352">
        <w:rPr>
          <w:b w:val="0"/>
          <w:highlight w:val="green"/>
          <w:lang w:eastAsia="de-DE"/>
        </w:rPr>
        <w:t>170 Millionen Franken. Nach Berücksichtigung der</w:t>
      </w:r>
      <w:r w:rsidR="000568C4" w:rsidRPr="00B47352">
        <w:rPr>
          <w:b w:val="0"/>
          <w:highlight w:val="green"/>
          <w:lang w:eastAsia="de-DE"/>
        </w:rPr>
        <w:t xml:space="preserve"> zu diesem Zeitpunkt zugesicherten Abgeltungen von etwa 122 Millionen Franken verbleibt</w:t>
      </w:r>
      <w:r w:rsidR="00BB1E17" w:rsidRPr="00B47352">
        <w:rPr>
          <w:b w:val="0"/>
          <w:highlight w:val="green"/>
          <w:lang w:eastAsia="de-DE"/>
        </w:rPr>
        <w:t xml:space="preserve"> aktuell</w:t>
      </w:r>
      <w:r w:rsidR="000568C4" w:rsidRPr="00B47352">
        <w:rPr>
          <w:b w:val="0"/>
          <w:highlight w:val="green"/>
          <w:lang w:eastAsia="de-DE"/>
        </w:rPr>
        <w:t xml:space="preserve"> ein Überschuss in der Grössenordnung von 48 Millionen Franken. </w:t>
      </w:r>
      <w:r w:rsidR="00BB1E17" w:rsidRPr="00B47352">
        <w:rPr>
          <w:b w:val="0"/>
          <w:highlight w:val="green"/>
          <w:lang w:eastAsia="de-DE"/>
        </w:rPr>
        <w:t xml:space="preserve">Die </w:t>
      </w:r>
      <w:r w:rsidR="00A932EA" w:rsidRPr="00B47352">
        <w:rPr>
          <w:b w:val="0"/>
          <w:highlight w:val="green"/>
          <w:lang w:eastAsia="de-DE"/>
        </w:rPr>
        <w:t>verhältnismässig</w:t>
      </w:r>
      <w:r w:rsidR="00BB1E17" w:rsidRPr="00B47352">
        <w:rPr>
          <w:b w:val="0"/>
          <w:highlight w:val="green"/>
          <w:lang w:eastAsia="de-DE"/>
        </w:rPr>
        <w:t xml:space="preserve"> tiefen Ausgabenwerte der Jahre 2010 bis 2012</w:t>
      </w:r>
      <w:r w:rsidR="00A932EA" w:rsidRPr="00B47352">
        <w:rPr>
          <w:b w:val="0"/>
          <w:highlight w:val="green"/>
          <w:lang w:eastAsia="de-DE"/>
        </w:rPr>
        <w:t xml:space="preserve"> sind</w:t>
      </w:r>
      <w:r w:rsidR="00BB1E17" w:rsidRPr="00B47352">
        <w:rPr>
          <w:b w:val="0"/>
          <w:highlight w:val="green"/>
          <w:lang w:eastAsia="de-DE"/>
        </w:rPr>
        <w:t xml:space="preserve"> </w:t>
      </w:r>
      <w:r w:rsidR="00A932EA" w:rsidRPr="00B47352">
        <w:rPr>
          <w:b w:val="0"/>
          <w:highlight w:val="green"/>
          <w:lang w:eastAsia="de-DE"/>
        </w:rPr>
        <w:t xml:space="preserve">auf noch nicht freigegebene Abgeltungen im Zusammenhang mit der Sanierung der SMDK zurückzuführen. Der Einnahmenzuwachs auf nunmehr </w:t>
      </w:r>
      <w:r w:rsidR="003B118E" w:rsidRPr="00B47352">
        <w:rPr>
          <w:b w:val="0"/>
          <w:highlight w:val="green"/>
          <w:lang w:eastAsia="de-DE"/>
        </w:rPr>
        <w:t xml:space="preserve">jährlich </w:t>
      </w:r>
      <w:r w:rsidR="00A932EA" w:rsidRPr="00B47352">
        <w:rPr>
          <w:b w:val="0"/>
          <w:highlight w:val="green"/>
          <w:lang w:eastAsia="de-DE"/>
        </w:rPr>
        <w:t>rund 35 Millionen Franken ist ein</w:t>
      </w:r>
      <w:r w:rsidR="00B473C0" w:rsidRPr="00B47352">
        <w:rPr>
          <w:b w:val="0"/>
          <w:highlight w:val="green"/>
          <w:lang w:eastAsia="de-DE"/>
        </w:rPr>
        <w:t>e Folge der VASA-Revision 2008.</w:t>
      </w:r>
    </w:p>
    <w:p w14:paraId="37AA1D4C" w14:textId="77777777" w:rsidR="003B118E" w:rsidRPr="00B47352" w:rsidRDefault="00107470" w:rsidP="005F73D4">
      <w:pPr>
        <w:pStyle w:val="Formatvorlage4"/>
        <w:spacing w:before="120" w:after="120"/>
        <w:rPr>
          <w:b w:val="0"/>
          <w:highlight w:val="green"/>
          <w:lang w:eastAsia="de-DE"/>
        </w:rPr>
      </w:pPr>
      <w:r w:rsidRPr="00B47352">
        <w:rPr>
          <w:b w:val="0"/>
          <w:highlight w:val="green"/>
          <w:lang w:eastAsia="de-DE"/>
        </w:rPr>
        <w:t xml:space="preserve">Sowohl </w:t>
      </w:r>
      <w:r w:rsidR="005F73D4" w:rsidRPr="00B47352">
        <w:rPr>
          <w:b w:val="0"/>
          <w:highlight w:val="green"/>
          <w:lang w:eastAsia="de-DE"/>
        </w:rPr>
        <w:t xml:space="preserve">die </w:t>
      </w:r>
      <w:r w:rsidRPr="00B47352">
        <w:rPr>
          <w:b w:val="0"/>
          <w:highlight w:val="green"/>
          <w:lang w:eastAsia="de-DE"/>
        </w:rPr>
        <w:t xml:space="preserve">Einnahmen als auch </w:t>
      </w:r>
      <w:r w:rsidR="005F73D4" w:rsidRPr="00B47352">
        <w:rPr>
          <w:b w:val="0"/>
          <w:highlight w:val="green"/>
          <w:lang w:eastAsia="de-DE"/>
        </w:rPr>
        <w:t xml:space="preserve">die </w:t>
      </w:r>
      <w:r w:rsidRPr="00B47352">
        <w:rPr>
          <w:b w:val="0"/>
          <w:highlight w:val="green"/>
          <w:lang w:eastAsia="de-DE"/>
        </w:rPr>
        <w:t>Ausgaben konnten für die Betrachtungsjahre anhand der Bu</w:t>
      </w:r>
      <w:r w:rsidR="00F61BD8" w:rsidRPr="00B47352">
        <w:rPr>
          <w:b w:val="0"/>
          <w:highlight w:val="green"/>
          <w:lang w:eastAsia="de-DE"/>
        </w:rPr>
        <w:t>chungseinträge der betroffen</w:t>
      </w:r>
      <w:r w:rsidRPr="00B47352">
        <w:rPr>
          <w:b w:val="0"/>
          <w:highlight w:val="green"/>
          <w:lang w:eastAsia="de-DE"/>
        </w:rPr>
        <w:t>en Finanz</w:t>
      </w:r>
      <w:r w:rsidR="00C62E36" w:rsidRPr="00B47352">
        <w:rPr>
          <w:b w:val="0"/>
          <w:highlight w:val="green"/>
          <w:lang w:eastAsia="de-DE"/>
        </w:rPr>
        <w:t xml:space="preserve">positionen </w:t>
      </w:r>
      <w:r w:rsidR="00F61BD8" w:rsidRPr="00B47352">
        <w:rPr>
          <w:b w:val="0"/>
          <w:highlight w:val="green"/>
          <w:lang w:eastAsia="de-DE"/>
        </w:rPr>
        <w:t xml:space="preserve">(E1100.0100 und A2310.0131) </w:t>
      </w:r>
      <w:r w:rsidR="00C62E36" w:rsidRPr="00B47352">
        <w:rPr>
          <w:b w:val="0"/>
          <w:highlight w:val="green"/>
          <w:lang w:eastAsia="de-DE"/>
        </w:rPr>
        <w:t xml:space="preserve">nachgewiesen werden. Die Abstimmkontrolle zum Fondsbestand gemäss Kontenführung der EFV (Konto 2099000040 „Altlastenfonds“) ergibt für das Jahr 2012 eine Differenz von 719‘998 Franken. </w:t>
      </w:r>
      <w:r w:rsidR="005F73D4" w:rsidRPr="00B47352">
        <w:rPr>
          <w:b w:val="0"/>
          <w:highlight w:val="green"/>
          <w:lang w:eastAsia="de-DE"/>
        </w:rPr>
        <w:t>Es betrifft d</w:t>
      </w:r>
      <w:r w:rsidR="00F61BD8" w:rsidRPr="00B47352">
        <w:rPr>
          <w:b w:val="0"/>
          <w:highlight w:val="green"/>
          <w:lang w:eastAsia="de-DE"/>
        </w:rPr>
        <w:t>en Aufwand der</w:t>
      </w:r>
      <w:r w:rsidR="005F73D4" w:rsidRPr="00B47352">
        <w:rPr>
          <w:b w:val="0"/>
          <w:highlight w:val="green"/>
          <w:lang w:eastAsia="de-DE"/>
        </w:rPr>
        <w:t xml:space="preserve"> 4,5 Personalstellen</w:t>
      </w:r>
      <w:r w:rsidR="00075B44" w:rsidRPr="00B47352">
        <w:rPr>
          <w:b w:val="0"/>
          <w:highlight w:val="green"/>
          <w:lang w:eastAsia="de-DE"/>
        </w:rPr>
        <w:t>, welche</w:t>
      </w:r>
      <w:r w:rsidR="003136F8" w:rsidRPr="00B47352">
        <w:rPr>
          <w:b w:val="0"/>
          <w:highlight w:val="green"/>
          <w:lang w:eastAsia="de-DE"/>
        </w:rPr>
        <w:t>r</w:t>
      </w:r>
      <w:r w:rsidR="004F0CFD" w:rsidRPr="00B47352">
        <w:rPr>
          <w:b w:val="0"/>
          <w:highlight w:val="green"/>
          <w:lang w:eastAsia="de-DE"/>
        </w:rPr>
        <w:t xml:space="preserve"> im 2012 neu der Personalrubrik belastet, jedoch weiterhin aus dem Altlastenfonds finanziert wird. Zu Abstim</w:t>
      </w:r>
      <w:r w:rsidR="003136F8" w:rsidRPr="00B47352">
        <w:rPr>
          <w:b w:val="0"/>
          <w:highlight w:val="green"/>
          <w:lang w:eastAsia="de-DE"/>
        </w:rPr>
        <w:t>mzwe</w:t>
      </w:r>
      <w:r w:rsidR="00F61BD8" w:rsidRPr="00B47352">
        <w:rPr>
          <w:b w:val="0"/>
          <w:highlight w:val="green"/>
          <w:lang w:eastAsia="de-DE"/>
        </w:rPr>
        <w:t>cken ist der</w:t>
      </w:r>
      <w:r w:rsidR="003136F8" w:rsidRPr="00B47352">
        <w:rPr>
          <w:b w:val="0"/>
          <w:highlight w:val="green"/>
          <w:lang w:eastAsia="de-DE"/>
        </w:rPr>
        <w:t xml:space="preserve"> </w:t>
      </w:r>
      <w:r w:rsidR="004F0CFD" w:rsidRPr="00B47352">
        <w:rPr>
          <w:b w:val="0"/>
          <w:highlight w:val="green"/>
          <w:lang w:eastAsia="de-DE"/>
        </w:rPr>
        <w:t>Anteil</w:t>
      </w:r>
      <w:r w:rsidR="003136F8" w:rsidRPr="00B47352">
        <w:rPr>
          <w:b w:val="0"/>
          <w:highlight w:val="green"/>
          <w:lang w:eastAsia="de-DE"/>
        </w:rPr>
        <w:t xml:space="preserve"> des P</w:t>
      </w:r>
      <w:r w:rsidR="00F61BD8" w:rsidRPr="00B47352">
        <w:rPr>
          <w:b w:val="0"/>
          <w:highlight w:val="green"/>
          <w:lang w:eastAsia="de-DE"/>
        </w:rPr>
        <w:t>ersonalaufwandes</w:t>
      </w:r>
      <w:r w:rsidR="004F0CFD" w:rsidRPr="00B47352">
        <w:rPr>
          <w:b w:val="0"/>
          <w:highlight w:val="green"/>
          <w:lang w:eastAsia="de-DE"/>
        </w:rPr>
        <w:t xml:space="preserve"> bei der Finanzposition „Sanierung von Altlasten“ statis</w:t>
      </w:r>
      <w:r w:rsidR="005F73D4" w:rsidRPr="00B47352">
        <w:rPr>
          <w:b w:val="0"/>
          <w:highlight w:val="green"/>
          <w:lang w:eastAsia="de-DE"/>
        </w:rPr>
        <w:t>tisch zu berücksichtigen.</w:t>
      </w:r>
    </w:p>
    <w:p w14:paraId="1432B00C" w14:textId="77777777" w:rsidR="00BB1E17" w:rsidRPr="00B47352" w:rsidRDefault="00272704" w:rsidP="00C64DDB">
      <w:pPr>
        <w:pStyle w:val="Formatvorlage4"/>
        <w:spacing w:before="120" w:after="120"/>
        <w:rPr>
          <w:b w:val="0"/>
          <w:highlight w:val="green"/>
          <w:lang w:eastAsia="de-DE"/>
        </w:rPr>
      </w:pPr>
      <w:r w:rsidRPr="00B47352">
        <w:rPr>
          <w:b w:val="0"/>
          <w:highlight w:val="green"/>
          <w:lang w:eastAsia="de-DE"/>
        </w:rPr>
        <w:lastRenderedPageBreak/>
        <w:t>Der</w:t>
      </w:r>
      <w:r w:rsidR="008E1773" w:rsidRPr="00B47352">
        <w:rPr>
          <w:b w:val="0"/>
          <w:highlight w:val="green"/>
          <w:lang w:eastAsia="de-DE"/>
        </w:rPr>
        <w:t xml:space="preserve"> </w:t>
      </w:r>
      <w:r w:rsidR="00D8280D" w:rsidRPr="00B47352">
        <w:rPr>
          <w:b w:val="0"/>
          <w:highlight w:val="green"/>
          <w:lang w:eastAsia="de-DE"/>
        </w:rPr>
        <w:t>kom</w:t>
      </w:r>
      <w:r w:rsidRPr="00B47352">
        <w:rPr>
          <w:b w:val="0"/>
          <w:highlight w:val="green"/>
          <w:lang w:eastAsia="de-DE"/>
        </w:rPr>
        <w:t>fortabel</w:t>
      </w:r>
      <w:r w:rsidR="00D8280D" w:rsidRPr="00B47352">
        <w:rPr>
          <w:b w:val="0"/>
          <w:highlight w:val="green"/>
          <w:lang w:eastAsia="de-DE"/>
        </w:rPr>
        <w:t xml:space="preserve"> erscheinende Fondssaldo von</w:t>
      </w:r>
      <w:r w:rsidRPr="00B47352">
        <w:rPr>
          <w:b w:val="0"/>
          <w:highlight w:val="green"/>
          <w:lang w:eastAsia="de-DE"/>
        </w:rPr>
        <w:t xml:space="preserve"> momentan </w:t>
      </w:r>
      <w:r w:rsidR="00D8280D" w:rsidRPr="00B47352">
        <w:rPr>
          <w:b w:val="0"/>
          <w:highlight w:val="green"/>
          <w:lang w:eastAsia="de-DE"/>
        </w:rPr>
        <w:t xml:space="preserve">rund 170 Millionen Franken wird sich mit den absehbaren Sanierungsaktivitäten der nächsten Jahre rasch reduzieren. </w:t>
      </w:r>
      <w:r w:rsidRPr="00B47352">
        <w:rPr>
          <w:b w:val="0"/>
          <w:highlight w:val="green"/>
          <w:lang w:eastAsia="de-DE"/>
        </w:rPr>
        <w:t xml:space="preserve">Allein die zugesicherten Abgeltungen für die SMDK werden den Fonds stark belasten. Auch </w:t>
      </w:r>
      <w:r w:rsidR="008E1773" w:rsidRPr="00B47352">
        <w:rPr>
          <w:b w:val="0"/>
          <w:highlight w:val="green"/>
          <w:lang w:eastAsia="de-DE"/>
        </w:rPr>
        <w:t xml:space="preserve">die </w:t>
      </w:r>
      <w:r w:rsidRPr="00B47352">
        <w:rPr>
          <w:b w:val="0"/>
          <w:highlight w:val="green"/>
          <w:lang w:eastAsia="de-DE"/>
        </w:rPr>
        <w:t xml:space="preserve">Grosssanierungen der Deponien La </w:t>
      </w:r>
      <w:proofErr w:type="spellStart"/>
      <w:r w:rsidRPr="00B47352">
        <w:rPr>
          <w:b w:val="0"/>
          <w:highlight w:val="green"/>
          <w:lang w:eastAsia="de-DE"/>
        </w:rPr>
        <w:t>Pila</w:t>
      </w:r>
      <w:proofErr w:type="spellEnd"/>
      <w:r w:rsidRPr="00B47352">
        <w:rPr>
          <w:b w:val="0"/>
          <w:highlight w:val="green"/>
          <w:lang w:eastAsia="de-DE"/>
        </w:rPr>
        <w:t xml:space="preserve"> (FR), Muttenz (BL) und Stadtmist (SO) werden hohe Kosten verursachen.</w:t>
      </w:r>
      <w:r w:rsidR="00DE550F" w:rsidRPr="00B47352">
        <w:rPr>
          <w:b w:val="0"/>
          <w:highlight w:val="green"/>
          <w:lang w:eastAsia="de-DE"/>
        </w:rPr>
        <w:t xml:space="preserve"> Diese könnten nach heutigen Schätzungen pro Fall eine Grössenordnung von 200 Millionen Franken erreichen.</w:t>
      </w:r>
      <w:r w:rsidR="007A04B8" w:rsidRPr="00B47352">
        <w:rPr>
          <w:b w:val="0"/>
          <w:highlight w:val="green"/>
          <w:lang w:eastAsia="de-DE"/>
        </w:rPr>
        <w:t xml:space="preserve"> </w:t>
      </w:r>
      <w:r w:rsidR="00465B87" w:rsidRPr="00B47352">
        <w:rPr>
          <w:b w:val="0"/>
          <w:highlight w:val="green"/>
          <w:lang w:eastAsia="de-DE"/>
        </w:rPr>
        <w:t>Hinzu kommt, dass d</w:t>
      </w:r>
      <w:r w:rsidR="008E1773" w:rsidRPr="00B47352">
        <w:rPr>
          <w:b w:val="0"/>
          <w:highlight w:val="green"/>
          <w:lang w:eastAsia="de-DE"/>
        </w:rPr>
        <w:t>ie Zielsetzung</w:t>
      </w:r>
      <w:r w:rsidR="00465B87" w:rsidRPr="00B47352">
        <w:rPr>
          <w:b w:val="0"/>
          <w:highlight w:val="green"/>
          <w:lang w:eastAsia="de-DE"/>
        </w:rPr>
        <w:t xml:space="preserve"> „Fristverlängerung für die Sanierung belasteter Standorte“ gemäss</w:t>
      </w:r>
      <w:r w:rsidR="008E1773" w:rsidRPr="00B47352">
        <w:rPr>
          <w:b w:val="0"/>
          <w:highlight w:val="green"/>
          <w:lang w:eastAsia="de-DE"/>
        </w:rPr>
        <w:t xml:space="preserve"> parlamentari</w:t>
      </w:r>
      <w:r w:rsidR="00465B87" w:rsidRPr="00B47352">
        <w:rPr>
          <w:b w:val="0"/>
          <w:highlight w:val="green"/>
          <w:lang w:eastAsia="de-DE"/>
        </w:rPr>
        <w:t>scher</w:t>
      </w:r>
      <w:r w:rsidR="008E1773" w:rsidRPr="00B47352">
        <w:rPr>
          <w:b w:val="0"/>
          <w:highlight w:val="green"/>
          <w:lang w:eastAsia="de-DE"/>
        </w:rPr>
        <w:t xml:space="preserve"> Initiative </w:t>
      </w:r>
      <w:r w:rsidR="00824341" w:rsidRPr="00B47352">
        <w:rPr>
          <w:b w:val="0"/>
          <w:highlight w:val="green"/>
          <w:lang w:eastAsia="de-DE"/>
        </w:rPr>
        <w:t>„</w:t>
      </w:r>
      <w:proofErr w:type="spellStart"/>
      <w:r w:rsidR="008E1773" w:rsidRPr="00B47352">
        <w:rPr>
          <w:b w:val="0"/>
          <w:highlight w:val="green"/>
          <w:lang w:eastAsia="de-DE"/>
        </w:rPr>
        <w:t>Recordon</w:t>
      </w:r>
      <w:proofErr w:type="spellEnd"/>
      <w:r w:rsidR="008E1773" w:rsidRPr="00B47352">
        <w:rPr>
          <w:b w:val="0"/>
          <w:highlight w:val="green"/>
          <w:lang w:eastAsia="de-DE"/>
        </w:rPr>
        <w:t xml:space="preserve"> 11.</w:t>
      </w:r>
      <w:r w:rsidR="00465B87" w:rsidRPr="00B47352">
        <w:rPr>
          <w:b w:val="0"/>
          <w:highlight w:val="green"/>
          <w:lang w:eastAsia="de-DE"/>
        </w:rPr>
        <w:t>466</w:t>
      </w:r>
      <w:r w:rsidR="00824341" w:rsidRPr="00B47352">
        <w:rPr>
          <w:b w:val="0"/>
          <w:highlight w:val="green"/>
          <w:lang w:eastAsia="de-DE"/>
        </w:rPr>
        <w:t>“</w:t>
      </w:r>
      <w:r w:rsidR="00465B87" w:rsidRPr="00B47352">
        <w:rPr>
          <w:b w:val="0"/>
          <w:highlight w:val="green"/>
          <w:lang w:eastAsia="de-DE"/>
        </w:rPr>
        <w:t xml:space="preserve"> mit erheblichem zusätzlichem Mittelbedarf verbunden</w:t>
      </w:r>
      <w:r w:rsidR="007A04B8" w:rsidRPr="00B47352">
        <w:rPr>
          <w:b w:val="0"/>
          <w:highlight w:val="green"/>
          <w:lang w:eastAsia="de-DE"/>
        </w:rPr>
        <w:t xml:space="preserve"> ist</w:t>
      </w:r>
      <w:r w:rsidR="00465B87" w:rsidRPr="00B47352">
        <w:rPr>
          <w:b w:val="0"/>
          <w:highlight w:val="green"/>
          <w:lang w:eastAsia="de-DE"/>
        </w:rPr>
        <w:t>.</w:t>
      </w:r>
      <w:r w:rsidR="008E1773" w:rsidRPr="00B47352">
        <w:rPr>
          <w:b w:val="0"/>
          <w:highlight w:val="green"/>
          <w:lang w:eastAsia="de-DE"/>
        </w:rPr>
        <w:t xml:space="preserve"> </w:t>
      </w:r>
      <w:r w:rsidR="00E42A2D" w:rsidRPr="00B47352">
        <w:rPr>
          <w:b w:val="0"/>
          <w:highlight w:val="green"/>
          <w:lang w:eastAsia="de-DE"/>
        </w:rPr>
        <w:t xml:space="preserve">Die in diesem Zusammenhang entlastenden Auswirkungen der parlamentarischen Initiative </w:t>
      </w:r>
      <w:r w:rsidR="00824341" w:rsidRPr="00B47352">
        <w:rPr>
          <w:b w:val="0"/>
          <w:highlight w:val="green"/>
          <w:lang w:eastAsia="de-DE"/>
        </w:rPr>
        <w:t>„</w:t>
      </w:r>
      <w:r w:rsidR="00E42A2D" w:rsidRPr="00B47352">
        <w:rPr>
          <w:b w:val="0"/>
          <w:highlight w:val="green"/>
          <w:lang w:eastAsia="de-DE"/>
        </w:rPr>
        <w:t>Fournier 09.477</w:t>
      </w:r>
      <w:r w:rsidR="00824341" w:rsidRPr="00B47352">
        <w:rPr>
          <w:b w:val="0"/>
          <w:highlight w:val="green"/>
          <w:lang w:eastAsia="de-DE"/>
        </w:rPr>
        <w:t>“</w:t>
      </w:r>
      <w:r w:rsidR="00E42A2D" w:rsidRPr="00B47352">
        <w:rPr>
          <w:b w:val="0"/>
          <w:highlight w:val="green"/>
          <w:lang w:eastAsia="de-DE"/>
        </w:rPr>
        <w:t xml:space="preserve"> über die „Haftung der Unternehmen für die Kosten der Altlastsanierung“ könnten die Mehraufwendungen nicht kompensie</w:t>
      </w:r>
      <w:r w:rsidR="00B473C0" w:rsidRPr="00B47352">
        <w:rPr>
          <w:b w:val="0"/>
          <w:highlight w:val="green"/>
          <w:lang w:eastAsia="de-DE"/>
        </w:rPr>
        <w:t>ren.</w:t>
      </w:r>
    </w:p>
    <w:p w14:paraId="7798821D" w14:textId="77777777" w:rsidR="00AA3DBE" w:rsidRPr="00B47352" w:rsidRDefault="008A3D39" w:rsidP="00C64DDB">
      <w:pPr>
        <w:pStyle w:val="Formatvorlage4"/>
        <w:spacing w:before="120" w:after="120"/>
        <w:rPr>
          <w:b w:val="0"/>
          <w:highlight w:val="green"/>
          <w:lang w:eastAsia="de-DE"/>
        </w:rPr>
      </w:pPr>
      <w:r w:rsidRPr="00B47352">
        <w:rPr>
          <w:b w:val="0"/>
          <w:highlight w:val="green"/>
          <w:lang w:eastAsia="de-DE"/>
        </w:rPr>
        <w:t xml:space="preserve">Es ist davon auszugehen, dass die Finanzierung des Fonds </w:t>
      </w:r>
      <w:r w:rsidR="006F431A" w:rsidRPr="00B47352">
        <w:rPr>
          <w:b w:val="0"/>
          <w:highlight w:val="green"/>
          <w:lang w:eastAsia="de-DE"/>
        </w:rPr>
        <w:t>zu gegebener</w:t>
      </w:r>
      <w:r w:rsidR="00DE550F" w:rsidRPr="00B47352">
        <w:rPr>
          <w:b w:val="0"/>
          <w:highlight w:val="green"/>
          <w:lang w:eastAsia="de-DE"/>
        </w:rPr>
        <w:t xml:space="preserve"> Zeit eine Anpassung erfahren muss. </w:t>
      </w:r>
      <w:r w:rsidR="006F431A" w:rsidRPr="00B47352">
        <w:rPr>
          <w:b w:val="0"/>
          <w:highlight w:val="green"/>
          <w:lang w:eastAsia="de-DE"/>
        </w:rPr>
        <w:t>Für vorübergehende Finanzierungsengpässe bei den Auszahlungen sieht Artikel 16 Absatz 4 VASA eine Priorisierung und damit die Möglichkeit</w:t>
      </w:r>
      <w:r w:rsidR="00824341" w:rsidRPr="00B47352">
        <w:rPr>
          <w:b w:val="0"/>
          <w:highlight w:val="green"/>
          <w:lang w:eastAsia="de-DE"/>
        </w:rPr>
        <w:t>,</w:t>
      </w:r>
      <w:r w:rsidR="006F431A" w:rsidRPr="00B47352">
        <w:rPr>
          <w:b w:val="0"/>
          <w:highlight w:val="green"/>
          <w:lang w:eastAsia="de-DE"/>
        </w:rPr>
        <w:t xml:space="preserve"> </w:t>
      </w:r>
      <w:r w:rsidR="000D1E01" w:rsidRPr="00B47352">
        <w:rPr>
          <w:b w:val="0"/>
          <w:highlight w:val="green"/>
          <w:lang w:eastAsia="de-DE"/>
        </w:rPr>
        <w:t xml:space="preserve">die Abgeltung </w:t>
      </w:r>
      <w:r w:rsidR="006F431A" w:rsidRPr="00B47352">
        <w:rPr>
          <w:b w:val="0"/>
          <w:highlight w:val="green"/>
          <w:lang w:eastAsia="de-DE"/>
        </w:rPr>
        <w:t>einzelne</w:t>
      </w:r>
      <w:r w:rsidR="000D1E01" w:rsidRPr="00B47352">
        <w:rPr>
          <w:b w:val="0"/>
          <w:highlight w:val="green"/>
          <w:lang w:eastAsia="de-DE"/>
        </w:rPr>
        <w:t>r</w:t>
      </w:r>
      <w:r w:rsidR="006F431A" w:rsidRPr="00B47352">
        <w:rPr>
          <w:b w:val="0"/>
          <w:highlight w:val="green"/>
          <w:lang w:eastAsia="de-DE"/>
        </w:rPr>
        <w:t xml:space="preserve"> Projekte zurückzustellen</w:t>
      </w:r>
      <w:r w:rsidR="00824341" w:rsidRPr="00B47352">
        <w:rPr>
          <w:b w:val="0"/>
          <w:highlight w:val="green"/>
          <w:lang w:eastAsia="de-DE"/>
        </w:rPr>
        <w:t>,</w:t>
      </w:r>
      <w:r w:rsidR="006F431A" w:rsidRPr="00B47352">
        <w:rPr>
          <w:b w:val="0"/>
          <w:highlight w:val="green"/>
          <w:lang w:eastAsia="de-DE"/>
        </w:rPr>
        <w:t xml:space="preserve"> vor.</w:t>
      </w:r>
      <w:r w:rsidR="00A12502" w:rsidRPr="00B47352">
        <w:rPr>
          <w:b w:val="0"/>
          <w:highlight w:val="green"/>
          <w:lang w:eastAsia="de-DE"/>
        </w:rPr>
        <w:t xml:space="preserve"> Nach Auffassung der EFK ist von dieser Massnahme durchaus Gebrauch zu machen.</w:t>
      </w:r>
    </w:p>
    <w:p w14:paraId="30C496DC" w14:textId="77777777" w:rsidR="00C4214D" w:rsidRPr="00B47352" w:rsidRDefault="00C4214D" w:rsidP="00C64DDB">
      <w:pPr>
        <w:pStyle w:val="Formatvorlage4"/>
        <w:spacing w:before="120" w:after="120"/>
        <w:rPr>
          <w:b w:val="0"/>
          <w:highlight w:val="green"/>
          <w:lang w:eastAsia="de-DE"/>
        </w:rPr>
      </w:pPr>
    </w:p>
    <w:p w14:paraId="00DC4760" w14:textId="77777777" w:rsidR="0011535D" w:rsidRPr="00B47352" w:rsidRDefault="00E21159" w:rsidP="00E21159">
      <w:pPr>
        <w:pStyle w:val="berschrift1"/>
        <w:rPr>
          <w:highlight w:val="green"/>
        </w:rPr>
      </w:pPr>
      <w:bookmarkStart w:id="261" w:name="_Toc356294720"/>
      <w:r w:rsidRPr="00B47352">
        <w:rPr>
          <w:highlight w:val="green"/>
        </w:rPr>
        <w:t>Verpflichtungskredit</w:t>
      </w:r>
      <w:bookmarkEnd w:id="261"/>
    </w:p>
    <w:p w14:paraId="1DAACC00" w14:textId="77777777" w:rsidR="009631BD" w:rsidRPr="00B47352" w:rsidRDefault="009B1D3F" w:rsidP="009631BD">
      <w:pPr>
        <w:rPr>
          <w:highlight w:val="green"/>
          <w:lang w:eastAsia="de-DE"/>
        </w:rPr>
      </w:pPr>
      <w:r w:rsidRPr="00B47352">
        <w:rPr>
          <w:highlight w:val="green"/>
          <w:lang w:eastAsia="de-DE"/>
        </w:rPr>
        <w:t>Für die Sanierung von A</w:t>
      </w:r>
      <w:r w:rsidR="00C4214D" w:rsidRPr="00B47352">
        <w:rPr>
          <w:highlight w:val="green"/>
          <w:lang w:eastAsia="de-DE"/>
        </w:rPr>
        <w:t xml:space="preserve">ltlasten der Jahre </w:t>
      </w:r>
      <w:r w:rsidRPr="00B47352">
        <w:rPr>
          <w:highlight w:val="green"/>
          <w:lang w:eastAsia="de-DE"/>
        </w:rPr>
        <w:t>2006</w:t>
      </w:r>
      <w:r w:rsidR="00C4214D" w:rsidRPr="00B47352">
        <w:rPr>
          <w:highlight w:val="green"/>
          <w:lang w:eastAsia="de-DE"/>
        </w:rPr>
        <w:t xml:space="preserve"> bis </w:t>
      </w:r>
      <w:r w:rsidR="00BE570E" w:rsidRPr="00B47352">
        <w:rPr>
          <w:highlight w:val="green"/>
          <w:lang w:eastAsia="de-DE"/>
        </w:rPr>
        <w:t>2011</w:t>
      </w:r>
      <w:r w:rsidRPr="00B47352">
        <w:rPr>
          <w:highlight w:val="green"/>
          <w:lang w:eastAsia="de-DE"/>
        </w:rPr>
        <w:t xml:space="preserve"> hat das Parlament mit Bundesbeschluss vom 12. Juni 2006 einen Verpflichtungskredit über 200 Millionen Franken bewilligt. </w:t>
      </w:r>
      <w:r w:rsidR="003009E7" w:rsidRPr="00B47352">
        <w:rPr>
          <w:highlight w:val="green"/>
          <w:lang w:eastAsia="de-DE"/>
        </w:rPr>
        <w:t xml:space="preserve">Mit Nachtrag II / 2010 wurde ein Zusatzkredit von 40 Millionen Franken gesprochen und der Kredit auf insgesamt 240 Millionen Franken erhöht. Mit Bundesbeschluss vom 22. Dezember 2011 wurde </w:t>
      </w:r>
      <w:r w:rsidR="00A07AAF" w:rsidRPr="00B47352">
        <w:rPr>
          <w:highlight w:val="green"/>
          <w:lang w:eastAsia="de-DE"/>
        </w:rPr>
        <w:t>ein neuer</w:t>
      </w:r>
      <w:r w:rsidR="003009E7" w:rsidRPr="00B47352">
        <w:rPr>
          <w:highlight w:val="green"/>
          <w:lang w:eastAsia="de-DE"/>
        </w:rPr>
        <w:t xml:space="preserve"> Verpflichtungskredit für </w:t>
      </w:r>
      <w:r w:rsidR="00A07AAF" w:rsidRPr="00B47352">
        <w:rPr>
          <w:highlight w:val="green"/>
          <w:lang w:eastAsia="de-DE"/>
        </w:rPr>
        <w:t xml:space="preserve">die Sanierung von Altlasten der Jahre 2012 bis 2017 </w:t>
      </w:r>
      <w:r w:rsidR="0001287B" w:rsidRPr="00B47352">
        <w:rPr>
          <w:highlight w:val="green"/>
          <w:lang w:eastAsia="de-DE"/>
        </w:rPr>
        <w:t>in Höhe von 240 Millionen Franken bewilligt.</w:t>
      </w:r>
    </w:p>
    <w:p w14:paraId="3C60D03A" w14:textId="77777777" w:rsidR="0044317A" w:rsidRPr="00B47352" w:rsidRDefault="00A07AAF" w:rsidP="005D4840">
      <w:pPr>
        <w:pStyle w:val="Formatvorlage4"/>
        <w:spacing w:before="120" w:after="120"/>
        <w:rPr>
          <w:b w:val="0"/>
          <w:highlight w:val="green"/>
          <w:lang w:eastAsia="de-DE"/>
        </w:rPr>
      </w:pPr>
      <w:r w:rsidRPr="00B47352">
        <w:rPr>
          <w:b w:val="0"/>
          <w:highlight w:val="green"/>
          <w:lang w:eastAsia="de-DE"/>
        </w:rPr>
        <w:t xml:space="preserve">Vom Kredit für Sanierungen von 2006 bis 2011 werden voraussichtlich 18,9 Millionen Franken nicht beansprucht. </w:t>
      </w:r>
      <w:r w:rsidR="00DC6257" w:rsidRPr="00B47352">
        <w:rPr>
          <w:b w:val="0"/>
          <w:highlight w:val="green"/>
          <w:lang w:eastAsia="de-DE"/>
        </w:rPr>
        <w:t xml:space="preserve">Beim Kredit für Sanierungen von 2012 bis 2017 sind bis Ende 2012 </w:t>
      </w:r>
      <w:r w:rsidR="00C4214D" w:rsidRPr="00B47352">
        <w:rPr>
          <w:b w:val="0"/>
          <w:highlight w:val="green"/>
          <w:lang w:eastAsia="de-DE"/>
        </w:rPr>
        <w:t>bereits</w:t>
      </w:r>
      <w:r w:rsidR="00DC6257" w:rsidRPr="00B47352">
        <w:rPr>
          <w:b w:val="0"/>
          <w:highlight w:val="green"/>
          <w:lang w:eastAsia="de-DE"/>
        </w:rPr>
        <w:t xml:space="preserve"> 18,1 Millionen Franken verpflichtet.</w:t>
      </w:r>
    </w:p>
    <w:p w14:paraId="69211733" w14:textId="77777777" w:rsidR="00A61187" w:rsidRPr="00B47352" w:rsidRDefault="00484112" w:rsidP="005D4840">
      <w:pPr>
        <w:pStyle w:val="Formatvorlage4"/>
        <w:spacing w:before="120" w:after="120"/>
        <w:rPr>
          <w:b w:val="0"/>
          <w:highlight w:val="green"/>
          <w:lang w:eastAsia="de-DE"/>
        </w:rPr>
      </w:pPr>
      <w:r w:rsidRPr="00B47352">
        <w:rPr>
          <w:b w:val="0"/>
          <w:highlight w:val="green"/>
          <w:lang w:eastAsia="de-DE"/>
        </w:rPr>
        <w:t>Z</w:t>
      </w:r>
      <w:r w:rsidR="0044317A" w:rsidRPr="00B47352">
        <w:rPr>
          <w:b w:val="0"/>
          <w:highlight w:val="green"/>
          <w:lang w:eastAsia="de-DE"/>
        </w:rPr>
        <w:t>u erwähnen</w:t>
      </w:r>
      <w:r w:rsidRPr="00B47352">
        <w:rPr>
          <w:b w:val="0"/>
          <w:highlight w:val="green"/>
          <w:lang w:eastAsia="de-DE"/>
        </w:rPr>
        <w:t xml:space="preserve"> ist</w:t>
      </w:r>
      <w:r w:rsidR="0044317A" w:rsidRPr="00B47352">
        <w:rPr>
          <w:b w:val="0"/>
          <w:highlight w:val="green"/>
          <w:lang w:eastAsia="de-DE"/>
        </w:rPr>
        <w:t xml:space="preserve">, dass aufgrund der Spezialfinanzierung gemäss VASA die allgemeinen Bundesmittel nicht tangiert sind. </w:t>
      </w:r>
      <w:r w:rsidRPr="00B47352">
        <w:rPr>
          <w:b w:val="0"/>
          <w:highlight w:val="green"/>
          <w:lang w:eastAsia="de-DE"/>
        </w:rPr>
        <w:t xml:space="preserve">Es besteht nur eine Zahlungspflicht im Rahmen der jeweils verfügbaren Geldmittel des Altlastenfonds. Wenn die Abgabeerhebungen den Zahlungsbedarf kurzfristig nicht decken, ist gemäss VASA eine Priorisierung der Auszahlungen vorgesehen. </w:t>
      </w:r>
    </w:p>
    <w:p w14:paraId="3583E4AE" w14:textId="77777777" w:rsidR="00A61187" w:rsidRPr="00B47352" w:rsidRDefault="00A61187" w:rsidP="005D4840">
      <w:pPr>
        <w:pStyle w:val="Formatvorlage4"/>
        <w:spacing w:before="120" w:after="120"/>
        <w:rPr>
          <w:b w:val="0"/>
          <w:highlight w:val="green"/>
          <w:lang w:eastAsia="de-DE"/>
        </w:rPr>
      </w:pPr>
    </w:p>
    <w:p w14:paraId="1FE8C94B" w14:textId="77777777" w:rsidR="008E2254" w:rsidRPr="00B47352" w:rsidRDefault="00A61187" w:rsidP="00A61187">
      <w:pPr>
        <w:pStyle w:val="berschrift1"/>
        <w:rPr>
          <w:highlight w:val="green"/>
        </w:rPr>
      </w:pPr>
      <w:bookmarkStart w:id="262" w:name="_Toc356294721"/>
      <w:r w:rsidRPr="00B47352">
        <w:rPr>
          <w:highlight w:val="green"/>
        </w:rPr>
        <w:t>Empfehlungscontrolling</w:t>
      </w:r>
      <w:bookmarkEnd w:id="262"/>
    </w:p>
    <w:p w14:paraId="407F132B" w14:textId="77777777" w:rsidR="008E2254" w:rsidRDefault="00A61187" w:rsidP="005D4840">
      <w:pPr>
        <w:pStyle w:val="Formatvorlage4"/>
        <w:spacing w:before="120" w:after="120"/>
        <w:rPr>
          <w:b w:val="0"/>
          <w:lang w:eastAsia="de-DE"/>
        </w:rPr>
      </w:pPr>
      <w:r w:rsidRPr="00B47352">
        <w:rPr>
          <w:b w:val="0"/>
          <w:highlight w:val="green"/>
          <w:lang w:eastAsia="de-DE"/>
        </w:rPr>
        <w:t xml:space="preserve">Die Empfehlungen aus der Revision Nr. 7204 </w:t>
      </w:r>
      <w:r w:rsidR="00B852E0" w:rsidRPr="00B47352">
        <w:rPr>
          <w:b w:val="0"/>
          <w:highlight w:val="green"/>
          <w:lang w:eastAsia="de-DE"/>
        </w:rPr>
        <w:t>sind umgesetzt.</w:t>
      </w:r>
      <w:r w:rsidR="00B852E0">
        <w:rPr>
          <w:b w:val="0"/>
          <w:lang w:eastAsia="de-DE"/>
        </w:rPr>
        <w:t xml:space="preserve"> </w:t>
      </w:r>
    </w:p>
    <w:p w14:paraId="660F390D" w14:textId="77777777" w:rsidR="008E2254" w:rsidRDefault="008E2254">
      <w:pPr>
        <w:spacing w:before="0" w:line="240" w:lineRule="auto"/>
        <w:rPr>
          <w:lang w:eastAsia="de-DE"/>
        </w:rPr>
      </w:pPr>
      <w:r>
        <w:rPr>
          <w:b/>
          <w:lang w:eastAsia="de-DE"/>
        </w:rPr>
        <w:br w:type="page"/>
      </w:r>
    </w:p>
    <w:p w14:paraId="710C9F28" w14:textId="77777777" w:rsidR="00C4214D" w:rsidRDefault="00C4214D" w:rsidP="005D4840">
      <w:pPr>
        <w:pStyle w:val="Formatvorlage4"/>
        <w:spacing w:before="120" w:after="120"/>
        <w:rPr>
          <w:b w:val="0"/>
          <w:lang w:eastAsia="de-DE"/>
        </w:rPr>
      </w:pPr>
    </w:p>
    <w:p w14:paraId="0C42AFE7" w14:textId="77777777" w:rsidR="00344523" w:rsidRPr="00B47352" w:rsidRDefault="00344523" w:rsidP="000F2C26">
      <w:pPr>
        <w:pStyle w:val="berschrift1"/>
        <w:rPr>
          <w:highlight w:val="yellow"/>
        </w:rPr>
      </w:pPr>
      <w:bookmarkStart w:id="263" w:name="_Toc373049484"/>
      <w:bookmarkStart w:id="264" w:name="_Toc374261606"/>
      <w:bookmarkStart w:id="265" w:name="_Toc374261802"/>
      <w:bookmarkStart w:id="266" w:name="_Toc374261875"/>
      <w:bookmarkStart w:id="267" w:name="_Toc375386551"/>
      <w:bookmarkStart w:id="268" w:name="_Toc375386730"/>
      <w:bookmarkStart w:id="269" w:name="_Toc375386932"/>
      <w:bookmarkStart w:id="270" w:name="_Toc375386995"/>
      <w:bookmarkStart w:id="271" w:name="_Toc375387176"/>
      <w:bookmarkStart w:id="272" w:name="_Toc375387436"/>
      <w:bookmarkStart w:id="273" w:name="_Toc375387541"/>
      <w:bookmarkStart w:id="274" w:name="_Toc375387562"/>
      <w:bookmarkStart w:id="275" w:name="_Toc63493213"/>
      <w:bookmarkStart w:id="276" w:name="_Toc70393345"/>
      <w:bookmarkStart w:id="277" w:name="_Toc70394786"/>
      <w:bookmarkStart w:id="278" w:name="_Toc79390178"/>
      <w:bookmarkStart w:id="279" w:name="_Toc79390328"/>
      <w:bookmarkStart w:id="280" w:name="_Toc79390341"/>
      <w:bookmarkStart w:id="281" w:name="_Toc79390392"/>
      <w:bookmarkStart w:id="282" w:name="_Toc79392015"/>
      <w:bookmarkStart w:id="283" w:name="_Toc80068324"/>
      <w:bookmarkStart w:id="284" w:name="_Toc80068406"/>
      <w:bookmarkStart w:id="285" w:name="_Toc80068532"/>
      <w:bookmarkStart w:id="286" w:name="_Toc80467582"/>
      <w:bookmarkStart w:id="287" w:name="_Toc81181740"/>
      <w:bookmarkStart w:id="288" w:name="_Toc81571152"/>
      <w:bookmarkStart w:id="289" w:name="_Toc81571173"/>
      <w:bookmarkStart w:id="290" w:name="_Toc141248402"/>
      <w:bookmarkStart w:id="291" w:name="_Toc141248445"/>
      <w:bookmarkStart w:id="292" w:name="_Toc141249059"/>
      <w:bookmarkStart w:id="293" w:name="_Toc141249072"/>
      <w:bookmarkStart w:id="294" w:name="_Toc141249086"/>
      <w:bookmarkStart w:id="295" w:name="_Toc141249100"/>
      <w:bookmarkStart w:id="296" w:name="_Toc141249114"/>
      <w:bookmarkStart w:id="297" w:name="_Toc141249128"/>
      <w:bookmarkStart w:id="298" w:name="_Toc141249142"/>
      <w:bookmarkStart w:id="299" w:name="_Toc141249156"/>
      <w:bookmarkStart w:id="300" w:name="_Toc141249170"/>
      <w:bookmarkStart w:id="301" w:name="_Toc141249184"/>
      <w:bookmarkStart w:id="302" w:name="_Toc141249198"/>
      <w:bookmarkStart w:id="303" w:name="_Toc141249212"/>
      <w:bookmarkStart w:id="304" w:name="_Toc141249226"/>
      <w:bookmarkStart w:id="305" w:name="_Toc141249240"/>
      <w:bookmarkStart w:id="306" w:name="_Toc141249254"/>
      <w:bookmarkStart w:id="307" w:name="_Toc141249268"/>
      <w:bookmarkStart w:id="308" w:name="_Toc141249282"/>
      <w:bookmarkStart w:id="309" w:name="_Toc141249296"/>
      <w:bookmarkStart w:id="310" w:name="_Toc141249310"/>
      <w:bookmarkStart w:id="311" w:name="_Toc141249324"/>
      <w:bookmarkStart w:id="312" w:name="_Toc141249338"/>
      <w:bookmarkStart w:id="313" w:name="_Toc141249352"/>
      <w:bookmarkStart w:id="314" w:name="_Toc141249366"/>
      <w:bookmarkStart w:id="315" w:name="_Toc141249380"/>
      <w:bookmarkStart w:id="316" w:name="_Toc141249394"/>
      <w:bookmarkStart w:id="317" w:name="_Toc141249408"/>
      <w:bookmarkStart w:id="318" w:name="_Toc141249422"/>
      <w:bookmarkStart w:id="319" w:name="_Toc141249436"/>
      <w:bookmarkStart w:id="320" w:name="_Toc141249450"/>
      <w:bookmarkStart w:id="321" w:name="_Toc141249464"/>
      <w:bookmarkStart w:id="322" w:name="_Toc141249478"/>
      <w:bookmarkStart w:id="323" w:name="_Toc141249492"/>
      <w:bookmarkStart w:id="324" w:name="_Toc141249506"/>
      <w:bookmarkStart w:id="325" w:name="_Toc141249700"/>
      <w:bookmarkStart w:id="326" w:name="_Toc141249713"/>
      <w:bookmarkStart w:id="327" w:name="_Toc221598034"/>
      <w:bookmarkStart w:id="328" w:name="_Toc356294722"/>
      <w:r w:rsidRPr="00B47352">
        <w:rPr>
          <w:highlight w:val="yellow"/>
        </w:rPr>
        <w:t>Schlussbesprechung</w:t>
      </w:r>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p>
    <w:p w14:paraId="7562F9D2" w14:textId="77777777" w:rsidR="002C3127" w:rsidRPr="00B47352" w:rsidRDefault="002B7BD3" w:rsidP="00C3005C">
      <w:pPr>
        <w:rPr>
          <w:highlight w:val="yellow"/>
        </w:rPr>
      </w:pPr>
      <w:r w:rsidRPr="00B47352">
        <w:rPr>
          <w:highlight w:val="yellow"/>
        </w:rPr>
        <w:t>Die Schlussbesprechung fand am</w:t>
      </w:r>
      <w:r w:rsidR="00ED1573" w:rsidRPr="00B47352">
        <w:rPr>
          <w:highlight w:val="yellow"/>
        </w:rPr>
        <w:t xml:space="preserve"> 13. Mai</w:t>
      </w:r>
      <w:r w:rsidR="00D62D50" w:rsidRPr="00B47352">
        <w:rPr>
          <w:highlight w:val="yellow"/>
        </w:rPr>
        <w:t xml:space="preserve"> 2013</w:t>
      </w:r>
      <w:r w:rsidRPr="00B47352">
        <w:rPr>
          <w:highlight w:val="yellow"/>
        </w:rPr>
        <w:t xml:space="preserve"> statt. Teilgenommen haben</w:t>
      </w:r>
      <w:r w:rsidR="009219AE" w:rsidRPr="00B47352">
        <w:rPr>
          <w:highlight w:val="yellow"/>
        </w:rPr>
        <w:t>:</w:t>
      </w:r>
    </w:p>
    <w:p w14:paraId="7116E360" w14:textId="77777777" w:rsidR="00281B53" w:rsidRPr="00B47352" w:rsidRDefault="007F3599" w:rsidP="00281B53">
      <w:pPr>
        <w:spacing w:line="260" w:lineRule="atLeast"/>
        <w:rPr>
          <w:highlight w:val="yellow"/>
        </w:rPr>
      </w:pPr>
      <w:r w:rsidRPr="00B47352">
        <w:rPr>
          <w:highlight w:val="yellow"/>
        </w:rPr>
        <w:t>BAFU</w:t>
      </w:r>
      <w:r w:rsidR="009219AE" w:rsidRPr="00B47352">
        <w:rPr>
          <w:highlight w:val="yellow"/>
        </w:rPr>
        <w:t>:</w:t>
      </w:r>
    </w:p>
    <w:p w14:paraId="161DBDE8" w14:textId="77777777" w:rsidR="00281B53" w:rsidRPr="00B47352" w:rsidRDefault="00281B53" w:rsidP="00913BC9">
      <w:pPr>
        <w:pStyle w:val="Listenabsatz"/>
        <w:numPr>
          <w:ilvl w:val="0"/>
          <w:numId w:val="9"/>
        </w:numPr>
        <w:spacing w:before="0"/>
        <w:rPr>
          <w:highlight w:val="yellow"/>
        </w:rPr>
      </w:pPr>
      <w:r w:rsidRPr="00B47352">
        <w:rPr>
          <w:highlight w:val="yellow"/>
        </w:rPr>
        <w:t xml:space="preserve">Gérard </w:t>
      </w:r>
      <w:proofErr w:type="spellStart"/>
      <w:r w:rsidRPr="00B47352">
        <w:rPr>
          <w:highlight w:val="yellow"/>
        </w:rPr>
        <w:t>Poffet</w:t>
      </w:r>
      <w:proofErr w:type="spellEnd"/>
      <w:r w:rsidRPr="00B47352">
        <w:rPr>
          <w:highlight w:val="yellow"/>
        </w:rPr>
        <w:t>, Vize-Direktor</w:t>
      </w:r>
    </w:p>
    <w:p w14:paraId="0E0B33A4" w14:textId="77777777" w:rsidR="009219AE" w:rsidRPr="00B47352" w:rsidRDefault="00281B53" w:rsidP="00913BC9">
      <w:pPr>
        <w:pStyle w:val="Listenabsatz"/>
        <w:numPr>
          <w:ilvl w:val="0"/>
          <w:numId w:val="9"/>
        </w:numPr>
        <w:spacing w:before="0"/>
        <w:rPr>
          <w:highlight w:val="yellow"/>
        </w:rPr>
      </w:pPr>
      <w:r w:rsidRPr="00B47352">
        <w:rPr>
          <w:highlight w:val="yellow"/>
        </w:rPr>
        <w:t xml:space="preserve">Hans Albert </w:t>
      </w:r>
      <w:proofErr w:type="spellStart"/>
      <w:r w:rsidRPr="00B47352">
        <w:rPr>
          <w:highlight w:val="yellow"/>
        </w:rPr>
        <w:t>Hosbach</w:t>
      </w:r>
      <w:proofErr w:type="spellEnd"/>
      <w:r w:rsidRPr="00B47352">
        <w:rPr>
          <w:highlight w:val="yellow"/>
        </w:rPr>
        <w:t>, Chef Abteilung Boden und Biotechnologie</w:t>
      </w:r>
    </w:p>
    <w:p w14:paraId="5EC8E38F" w14:textId="77777777" w:rsidR="00C57572" w:rsidRPr="00B47352" w:rsidRDefault="00C57572" w:rsidP="00913BC9">
      <w:pPr>
        <w:pStyle w:val="Listenabsatz"/>
        <w:numPr>
          <w:ilvl w:val="0"/>
          <w:numId w:val="9"/>
        </w:numPr>
        <w:spacing w:before="0"/>
        <w:rPr>
          <w:highlight w:val="yellow"/>
        </w:rPr>
      </w:pPr>
      <w:r w:rsidRPr="00B47352">
        <w:rPr>
          <w:highlight w:val="yellow"/>
        </w:rPr>
        <w:t>Reto Tietz, wissenschaftlicher Mitarbeiter</w:t>
      </w:r>
      <w:r w:rsidR="00957977" w:rsidRPr="00B47352">
        <w:rPr>
          <w:highlight w:val="yellow"/>
        </w:rPr>
        <w:t>, Sektion Altlasten</w:t>
      </w:r>
    </w:p>
    <w:p w14:paraId="5BCEBBA4" w14:textId="77777777" w:rsidR="00C57572" w:rsidRPr="00B47352" w:rsidRDefault="00C57572" w:rsidP="00913BC9">
      <w:pPr>
        <w:pStyle w:val="Listenabsatz"/>
        <w:numPr>
          <w:ilvl w:val="0"/>
          <w:numId w:val="9"/>
        </w:numPr>
        <w:spacing w:before="0"/>
        <w:rPr>
          <w:highlight w:val="yellow"/>
        </w:rPr>
      </w:pPr>
      <w:r w:rsidRPr="00B47352">
        <w:rPr>
          <w:highlight w:val="yellow"/>
        </w:rPr>
        <w:t xml:space="preserve">Michel Bertrand </w:t>
      </w:r>
      <w:proofErr w:type="spellStart"/>
      <w:r w:rsidRPr="00B47352">
        <w:rPr>
          <w:highlight w:val="yellow"/>
        </w:rPr>
        <w:t>Monteil</w:t>
      </w:r>
      <w:proofErr w:type="spellEnd"/>
      <w:r w:rsidRPr="00B47352">
        <w:rPr>
          <w:highlight w:val="yellow"/>
        </w:rPr>
        <w:t>, Chef Abteilung Abfall und Rohstoffe</w:t>
      </w:r>
    </w:p>
    <w:p w14:paraId="2501627D" w14:textId="77777777" w:rsidR="00C57572" w:rsidRPr="00B47352" w:rsidRDefault="00C57572" w:rsidP="00913BC9">
      <w:pPr>
        <w:pStyle w:val="Listenabsatz"/>
        <w:numPr>
          <w:ilvl w:val="0"/>
          <w:numId w:val="9"/>
        </w:numPr>
        <w:spacing w:before="0"/>
        <w:rPr>
          <w:highlight w:val="yellow"/>
        </w:rPr>
      </w:pPr>
      <w:proofErr w:type="spellStart"/>
      <w:r w:rsidRPr="00B47352">
        <w:rPr>
          <w:highlight w:val="yellow"/>
        </w:rPr>
        <w:t>Kaarina</w:t>
      </w:r>
      <w:proofErr w:type="spellEnd"/>
      <w:r w:rsidRPr="00B47352">
        <w:rPr>
          <w:highlight w:val="yellow"/>
        </w:rPr>
        <w:t xml:space="preserve"> Schenk, Chefin Sektion Bauabfälle und Deponien</w:t>
      </w:r>
    </w:p>
    <w:p w14:paraId="412C1C11" w14:textId="77777777" w:rsidR="00C57572" w:rsidRPr="00B47352" w:rsidRDefault="00C57572" w:rsidP="00913BC9">
      <w:pPr>
        <w:pStyle w:val="Listenabsatz"/>
        <w:numPr>
          <w:ilvl w:val="0"/>
          <w:numId w:val="9"/>
        </w:numPr>
        <w:spacing w:before="0"/>
        <w:rPr>
          <w:highlight w:val="yellow"/>
        </w:rPr>
      </w:pPr>
      <w:r w:rsidRPr="00B47352">
        <w:rPr>
          <w:highlight w:val="yellow"/>
        </w:rPr>
        <w:t>Daniel Lehmann, Chef Sektion Finanzen und Controlling</w:t>
      </w:r>
    </w:p>
    <w:p w14:paraId="543D9D07" w14:textId="77777777" w:rsidR="00B661FD" w:rsidRPr="00B47352" w:rsidRDefault="00B661FD" w:rsidP="00B661FD">
      <w:pPr>
        <w:spacing w:before="0"/>
        <w:rPr>
          <w:highlight w:val="yellow"/>
        </w:rPr>
      </w:pPr>
    </w:p>
    <w:p w14:paraId="5ABE021D" w14:textId="77777777" w:rsidR="009219AE" w:rsidRPr="00B47352" w:rsidRDefault="009219AE" w:rsidP="00E82CF7">
      <w:pPr>
        <w:tabs>
          <w:tab w:val="left" w:pos="993"/>
        </w:tabs>
        <w:spacing w:line="260" w:lineRule="atLeast"/>
        <w:rPr>
          <w:highlight w:val="yellow"/>
        </w:rPr>
      </w:pPr>
      <w:r w:rsidRPr="00B47352">
        <w:rPr>
          <w:highlight w:val="yellow"/>
        </w:rPr>
        <w:t>EFK:</w:t>
      </w:r>
    </w:p>
    <w:p w14:paraId="4663F3F1" w14:textId="77777777" w:rsidR="009219AE" w:rsidRPr="00B47352" w:rsidRDefault="007F3599" w:rsidP="00913BC9">
      <w:pPr>
        <w:pStyle w:val="Listenabsatz"/>
        <w:numPr>
          <w:ilvl w:val="0"/>
          <w:numId w:val="10"/>
        </w:numPr>
        <w:spacing w:before="0"/>
        <w:rPr>
          <w:highlight w:val="yellow"/>
        </w:rPr>
      </w:pPr>
      <w:r w:rsidRPr="00B47352">
        <w:rPr>
          <w:highlight w:val="yellow"/>
        </w:rPr>
        <w:t>Robert Scheidegger</w:t>
      </w:r>
      <w:r w:rsidR="009219AE" w:rsidRPr="00B47352">
        <w:rPr>
          <w:highlight w:val="yellow"/>
        </w:rPr>
        <w:t>, Mandatsleiter</w:t>
      </w:r>
    </w:p>
    <w:p w14:paraId="0392437D" w14:textId="77777777" w:rsidR="009219AE" w:rsidRPr="00B47352" w:rsidRDefault="009219AE" w:rsidP="00913BC9">
      <w:pPr>
        <w:pStyle w:val="Listenabsatz"/>
        <w:numPr>
          <w:ilvl w:val="0"/>
          <w:numId w:val="10"/>
        </w:numPr>
        <w:spacing w:before="0"/>
        <w:rPr>
          <w:highlight w:val="yellow"/>
        </w:rPr>
      </w:pPr>
      <w:r w:rsidRPr="00B47352">
        <w:rPr>
          <w:highlight w:val="yellow"/>
        </w:rPr>
        <w:t xml:space="preserve">Peter </w:t>
      </w:r>
      <w:proofErr w:type="spellStart"/>
      <w:r w:rsidRPr="00B47352">
        <w:rPr>
          <w:highlight w:val="yellow"/>
        </w:rPr>
        <w:t>Kummli</w:t>
      </w:r>
      <w:proofErr w:type="spellEnd"/>
      <w:r w:rsidRPr="00B47352">
        <w:rPr>
          <w:highlight w:val="yellow"/>
        </w:rPr>
        <w:t>, Revisionsleiter</w:t>
      </w:r>
    </w:p>
    <w:p w14:paraId="1D33CB35" w14:textId="77777777" w:rsidR="007F3599" w:rsidRPr="00B47352" w:rsidRDefault="007F3599" w:rsidP="00913BC9">
      <w:pPr>
        <w:pStyle w:val="Listenabsatz"/>
        <w:numPr>
          <w:ilvl w:val="0"/>
          <w:numId w:val="10"/>
        </w:numPr>
        <w:spacing w:before="0"/>
        <w:rPr>
          <w:highlight w:val="yellow"/>
        </w:rPr>
      </w:pPr>
      <w:r w:rsidRPr="00B47352">
        <w:rPr>
          <w:highlight w:val="yellow"/>
        </w:rPr>
        <w:t>Jürg Pfenninger</w:t>
      </w:r>
      <w:r w:rsidR="0099282C" w:rsidRPr="00B47352">
        <w:rPr>
          <w:highlight w:val="yellow"/>
        </w:rPr>
        <w:t>, Prüfungsexperte Bau und Beschaffungen</w:t>
      </w:r>
    </w:p>
    <w:p w14:paraId="67077DF4" w14:textId="77777777" w:rsidR="00B661FD" w:rsidRPr="00B47352" w:rsidRDefault="00B661FD" w:rsidP="00B661FD">
      <w:pPr>
        <w:spacing w:before="0"/>
        <w:rPr>
          <w:highlight w:val="yellow"/>
        </w:rPr>
      </w:pPr>
    </w:p>
    <w:p w14:paraId="2577E158" w14:textId="77777777" w:rsidR="002B7BD3" w:rsidRPr="00B47352" w:rsidRDefault="003D5673" w:rsidP="00C3005C">
      <w:pPr>
        <w:rPr>
          <w:highlight w:val="yellow"/>
        </w:rPr>
      </w:pPr>
      <w:r w:rsidRPr="00B47352">
        <w:rPr>
          <w:highlight w:val="yellow"/>
        </w:rPr>
        <w:t>Von den Ausführungen und Hinweisen wurde Kenntnis genommen.</w:t>
      </w:r>
    </w:p>
    <w:p w14:paraId="030CAF6F" w14:textId="77777777" w:rsidR="002B7BD3" w:rsidRPr="00B47352" w:rsidRDefault="002B7BD3" w:rsidP="00C3005C">
      <w:pPr>
        <w:rPr>
          <w:highlight w:val="yellow"/>
        </w:rPr>
      </w:pPr>
      <w:r w:rsidRPr="00B47352">
        <w:rPr>
          <w:highlight w:val="yellow"/>
        </w:rPr>
        <w:t>Die EFK dankt für die gewährte Unterstützung.</w:t>
      </w:r>
    </w:p>
    <w:p w14:paraId="18B2ED39" w14:textId="77777777" w:rsidR="004B0796" w:rsidRPr="00B47352" w:rsidRDefault="004B0796" w:rsidP="00C3005C">
      <w:pPr>
        <w:rPr>
          <w:highlight w:val="yellow"/>
        </w:rPr>
      </w:pPr>
    </w:p>
    <w:p w14:paraId="23436A85" w14:textId="77777777" w:rsidR="0010736F" w:rsidRPr="00B47352" w:rsidRDefault="0010736F" w:rsidP="00C3005C">
      <w:pPr>
        <w:rPr>
          <w:highlight w:val="yellow"/>
        </w:rPr>
      </w:pPr>
    </w:p>
    <w:p w14:paraId="6C5A2D61" w14:textId="77777777" w:rsidR="00B661FD" w:rsidRPr="00B47352" w:rsidRDefault="00B661FD" w:rsidP="00C3005C">
      <w:pPr>
        <w:rPr>
          <w:highlight w:val="yellow"/>
        </w:rPr>
      </w:pPr>
    </w:p>
    <w:p w14:paraId="5A8BE3DD" w14:textId="77777777" w:rsidR="001F5384" w:rsidRPr="00B47352" w:rsidRDefault="00AA4FE1" w:rsidP="00FD5812">
      <w:pPr>
        <w:pStyle w:val="FormatvorlageNach36Pt"/>
        <w:rPr>
          <w:highlight w:val="yellow"/>
        </w:rPr>
      </w:pPr>
      <w:r w:rsidRPr="00B47352">
        <w:rPr>
          <w:highlight w:val="yellow"/>
        </w:rPr>
        <w:t>EI</w:t>
      </w:r>
      <w:r w:rsidR="00E25BDC" w:rsidRPr="00B47352">
        <w:rPr>
          <w:highlight w:val="yellow"/>
        </w:rPr>
        <w:t>D</w:t>
      </w:r>
      <w:r w:rsidRPr="00B47352">
        <w:rPr>
          <w:highlight w:val="yellow"/>
        </w:rPr>
        <w:t>GENÖSSISCHE FINANZKONTROLLE</w:t>
      </w:r>
    </w:p>
    <w:p w14:paraId="43B1786A" w14:textId="77777777" w:rsidR="006F4A1C" w:rsidRDefault="007F3599" w:rsidP="000D40F0">
      <w:pPr>
        <w:tabs>
          <w:tab w:val="left" w:pos="4253"/>
        </w:tabs>
      </w:pPr>
      <w:r w:rsidRPr="00B47352">
        <w:rPr>
          <w:highlight w:val="yellow"/>
        </w:rPr>
        <w:t>Robert Scheidegger</w:t>
      </w:r>
      <w:r w:rsidR="00056CE7" w:rsidRPr="00B47352">
        <w:rPr>
          <w:highlight w:val="yellow"/>
        </w:rPr>
        <w:tab/>
      </w:r>
      <w:r w:rsidR="006029B7" w:rsidRPr="00B47352">
        <w:rPr>
          <w:highlight w:val="yellow"/>
        </w:rPr>
        <w:t xml:space="preserve">Peter </w:t>
      </w:r>
      <w:proofErr w:type="spellStart"/>
      <w:r w:rsidR="006029B7" w:rsidRPr="00B47352">
        <w:rPr>
          <w:highlight w:val="yellow"/>
        </w:rPr>
        <w:t>Kummli</w:t>
      </w:r>
      <w:proofErr w:type="spellEnd"/>
      <w:r w:rsidR="00056CE7" w:rsidRPr="00B47352">
        <w:rPr>
          <w:highlight w:val="yellow"/>
        </w:rPr>
        <w:br/>
      </w:r>
      <w:r w:rsidR="00F73577" w:rsidRPr="00B47352">
        <w:rPr>
          <w:highlight w:val="yellow"/>
        </w:rPr>
        <w:t>Mandatsleiter</w:t>
      </w:r>
      <w:r w:rsidR="00F73577" w:rsidRPr="00B47352">
        <w:rPr>
          <w:highlight w:val="yellow"/>
        </w:rPr>
        <w:tab/>
        <w:t>Revisionsleiter</w:t>
      </w:r>
      <w:r w:rsidR="00F73577">
        <w:br/>
      </w:r>
      <w:r w:rsidR="00190BC0">
        <w:br w:type="page"/>
      </w:r>
    </w:p>
    <w:p w14:paraId="0A656044" w14:textId="77777777" w:rsidR="00423A7F" w:rsidRPr="00B47352" w:rsidRDefault="00B005A6" w:rsidP="00682C5E">
      <w:pPr>
        <w:pStyle w:val="Anhangn"/>
        <w:spacing w:before="120"/>
        <w:ind w:left="782" w:hanging="357"/>
        <w:rPr>
          <w:highlight w:val="darkGray"/>
        </w:rPr>
      </w:pPr>
      <w:bookmarkStart w:id="329" w:name="_Toc356294723"/>
      <w:bookmarkStart w:id="330" w:name="_Toc141244004"/>
      <w:r w:rsidRPr="00B47352">
        <w:rPr>
          <w:highlight w:val="darkGray"/>
        </w:rPr>
        <w:lastRenderedPageBreak/>
        <w:t>Normative G</w:t>
      </w:r>
      <w:r w:rsidR="00423A7F" w:rsidRPr="00B47352">
        <w:rPr>
          <w:highlight w:val="darkGray"/>
        </w:rPr>
        <w:t>rundlagen</w:t>
      </w:r>
      <w:bookmarkEnd w:id="329"/>
    </w:p>
    <w:p w14:paraId="6E2AB770" w14:textId="77777777" w:rsidR="00320E82" w:rsidRPr="00B47352" w:rsidRDefault="00320E82" w:rsidP="00320E82">
      <w:pPr>
        <w:pStyle w:val="Aufzhlungszeichen"/>
        <w:numPr>
          <w:ilvl w:val="0"/>
          <w:numId w:val="0"/>
        </w:numPr>
        <w:spacing w:before="0"/>
        <w:rPr>
          <w:highlight w:val="darkGray"/>
        </w:rPr>
      </w:pPr>
    </w:p>
    <w:p w14:paraId="77CC405D" w14:textId="77777777" w:rsidR="00320E82" w:rsidRPr="00B47352" w:rsidRDefault="00320E82" w:rsidP="00320E82">
      <w:pPr>
        <w:pStyle w:val="Aufzhlungszeichen"/>
        <w:numPr>
          <w:ilvl w:val="0"/>
          <w:numId w:val="0"/>
        </w:numPr>
        <w:rPr>
          <w:highlight w:val="darkGray"/>
        </w:rPr>
      </w:pPr>
      <w:r w:rsidRPr="00B47352">
        <w:rPr>
          <w:highlight w:val="darkGray"/>
        </w:rPr>
        <w:t>Finanzhaushaltgesetz (FHG, SR 611.0)</w:t>
      </w:r>
    </w:p>
    <w:p w14:paraId="71CE3993" w14:textId="77777777" w:rsidR="00320E82" w:rsidRPr="00B47352" w:rsidRDefault="00320E82" w:rsidP="00320E82">
      <w:pPr>
        <w:pStyle w:val="Aufzhlungszeichen"/>
        <w:numPr>
          <w:ilvl w:val="0"/>
          <w:numId w:val="0"/>
        </w:numPr>
        <w:rPr>
          <w:highlight w:val="darkGray"/>
        </w:rPr>
      </w:pPr>
      <w:r w:rsidRPr="00B47352">
        <w:rPr>
          <w:highlight w:val="darkGray"/>
        </w:rPr>
        <w:t>Finanzhaushaltverordnung (FHV, SR 611.01)</w:t>
      </w:r>
    </w:p>
    <w:p w14:paraId="0F83BE1B" w14:textId="77777777" w:rsidR="00E03A68" w:rsidRPr="00B47352" w:rsidRDefault="00E03A68" w:rsidP="00E03A68">
      <w:pPr>
        <w:pStyle w:val="Aufzhlungszeichen"/>
        <w:numPr>
          <w:ilvl w:val="0"/>
          <w:numId w:val="0"/>
        </w:numPr>
        <w:rPr>
          <w:highlight w:val="darkGray"/>
        </w:rPr>
      </w:pPr>
      <w:r w:rsidRPr="00B47352">
        <w:rPr>
          <w:highlight w:val="darkGray"/>
        </w:rPr>
        <w:t>Finanzkontrollgesetz (</w:t>
      </w:r>
      <w:r w:rsidR="00D002F7" w:rsidRPr="00B47352">
        <w:rPr>
          <w:highlight w:val="darkGray"/>
        </w:rPr>
        <w:t xml:space="preserve">FKG, </w:t>
      </w:r>
      <w:r w:rsidRPr="00B47352">
        <w:rPr>
          <w:highlight w:val="darkGray"/>
        </w:rPr>
        <w:t>SR 614.0)</w:t>
      </w:r>
    </w:p>
    <w:p w14:paraId="4C20D578" w14:textId="77777777" w:rsidR="00A42BE5" w:rsidRPr="00B47352" w:rsidRDefault="00A42BE5" w:rsidP="00E03A68">
      <w:pPr>
        <w:pStyle w:val="Aufzhlungszeichen"/>
        <w:numPr>
          <w:ilvl w:val="0"/>
          <w:numId w:val="0"/>
        </w:numPr>
        <w:rPr>
          <w:highlight w:val="darkGray"/>
        </w:rPr>
      </w:pPr>
      <w:r w:rsidRPr="00B47352">
        <w:rPr>
          <w:highlight w:val="darkGray"/>
        </w:rPr>
        <w:t>Subventionsgesetz (</w:t>
      </w:r>
      <w:proofErr w:type="spellStart"/>
      <w:r w:rsidRPr="00B47352">
        <w:rPr>
          <w:highlight w:val="darkGray"/>
        </w:rPr>
        <w:t>SuG</w:t>
      </w:r>
      <w:proofErr w:type="spellEnd"/>
      <w:r w:rsidRPr="00B47352">
        <w:rPr>
          <w:highlight w:val="darkGray"/>
        </w:rPr>
        <w:t>, SR 616.1)</w:t>
      </w:r>
    </w:p>
    <w:p w14:paraId="22AA3742" w14:textId="77777777" w:rsidR="00D502CD" w:rsidRPr="00B47352" w:rsidRDefault="00D502CD" w:rsidP="00D502CD">
      <w:pPr>
        <w:rPr>
          <w:highlight w:val="darkGray"/>
        </w:rPr>
      </w:pPr>
      <w:r w:rsidRPr="00B47352">
        <w:rPr>
          <w:highlight w:val="darkGray"/>
        </w:rPr>
        <w:t>Org</w:t>
      </w:r>
      <w:r w:rsidR="00EF1DE5" w:rsidRPr="00B47352">
        <w:rPr>
          <w:highlight w:val="darkGray"/>
        </w:rPr>
        <w:t>anisationsverordnung für das UVEK (OV-UVEK, SR 172.217.1</w:t>
      </w:r>
      <w:r w:rsidRPr="00B47352">
        <w:rPr>
          <w:highlight w:val="darkGray"/>
        </w:rPr>
        <w:t>)</w:t>
      </w:r>
    </w:p>
    <w:p w14:paraId="7716B092" w14:textId="77777777" w:rsidR="00D502CD" w:rsidRPr="00B47352" w:rsidRDefault="00D502CD" w:rsidP="00D502CD">
      <w:pPr>
        <w:rPr>
          <w:highlight w:val="darkGray"/>
        </w:rPr>
      </w:pPr>
      <w:r w:rsidRPr="00B47352">
        <w:rPr>
          <w:highlight w:val="darkGray"/>
        </w:rPr>
        <w:t xml:space="preserve">Bundesgesetz über </w:t>
      </w:r>
      <w:r w:rsidR="001F4F37" w:rsidRPr="00B47352">
        <w:rPr>
          <w:highlight w:val="darkGray"/>
        </w:rPr>
        <w:t xml:space="preserve">den Umweltschutz </w:t>
      </w:r>
      <w:r w:rsidR="00320E82" w:rsidRPr="00B47352">
        <w:rPr>
          <w:highlight w:val="darkGray"/>
        </w:rPr>
        <w:t>(</w:t>
      </w:r>
      <w:r w:rsidR="001F4F37" w:rsidRPr="00B47352">
        <w:rPr>
          <w:highlight w:val="darkGray"/>
        </w:rPr>
        <w:t>USG, SR 814.01</w:t>
      </w:r>
      <w:r w:rsidR="00320E82" w:rsidRPr="00B47352">
        <w:rPr>
          <w:highlight w:val="darkGray"/>
        </w:rPr>
        <w:t>)</w:t>
      </w:r>
    </w:p>
    <w:p w14:paraId="3C80C9D3" w14:textId="77777777" w:rsidR="00D502CD" w:rsidRPr="00B47352" w:rsidRDefault="00D502CD" w:rsidP="00320E82">
      <w:pPr>
        <w:spacing w:line="240" w:lineRule="auto"/>
        <w:rPr>
          <w:highlight w:val="darkGray"/>
        </w:rPr>
      </w:pPr>
      <w:r w:rsidRPr="00B47352">
        <w:rPr>
          <w:highlight w:val="darkGray"/>
        </w:rPr>
        <w:t xml:space="preserve">Verordnung über die </w:t>
      </w:r>
      <w:r w:rsidR="00220AAA" w:rsidRPr="00B47352">
        <w:rPr>
          <w:highlight w:val="darkGray"/>
        </w:rPr>
        <w:t xml:space="preserve">Sanierung von belasteten Standorten </w:t>
      </w:r>
      <w:r w:rsidR="00320E82" w:rsidRPr="00B47352">
        <w:rPr>
          <w:highlight w:val="darkGray"/>
        </w:rPr>
        <w:t>(</w:t>
      </w:r>
      <w:proofErr w:type="spellStart"/>
      <w:r w:rsidR="00220AAA" w:rsidRPr="00B47352">
        <w:rPr>
          <w:highlight w:val="darkGray"/>
        </w:rPr>
        <w:t>AltlV</w:t>
      </w:r>
      <w:proofErr w:type="spellEnd"/>
      <w:r w:rsidR="00220AAA" w:rsidRPr="00B47352">
        <w:rPr>
          <w:highlight w:val="darkGray"/>
        </w:rPr>
        <w:t xml:space="preserve">, </w:t>
      </w:r>
      <w:r w:rsidRPr="00B47352">
        <w:rPr>
          <w:highlight w:val="darkGray"/>
        </w:rPr>
        <w:t xml:space="preserve">SR </w:t>
      </w:r>
      <w:r w:rsidR="00220AAA" w:rsidRPr="00B47352">
        <w:rPr>
          <w:highlight w:val="darkGray"/>
        </w:rPr>
        <w:t>814.680</w:t>
      </w:r>
      <w:r w:rsidR="00320E82" w:rsidRPr="00B47352">
        <w:rPr>
          <w:highlight w:val="darkGray"/>
        </w:rPr>
        <w:t>)</w:t>
      </w:r>
    </w:p>
    <w:p w14:paraId="33CB7600" w14:textId="77777777" w:rsidR="00D502CD" w:rsidRPr="00B47352" w:rsidRDefault="00220AAA" w:rsidP="00D502CD">
      <w:pPr>
        <w:rPr>
          <w:highlight w:val="darkGray"/>
        </w:rPr>
      </w:pPr>
      <w:r w:rsidRPr="00B47352">
        <w:rPr>
          <w:highlight w:val="darkGray"/>
        </w:rPr>
        <w:t>Verordnung über die Abgabe zur Sanierung von Altlasten</w:t>
      </w:r>
      <w:r w:rsidR="00D502CD" w:rsidRPr="00B47352">
        <w:rPr>
          <w:highlight w:val="darkGray"/>
        </w:rPr>
        <w:t xml:space="preserve"> </w:t>
      </w:r>
      <w:r w:rsidR="00320E82" w:rsidRPr="00B47352">
        <w:rPr>
          <w:highlight w:val="darkGray"/>
        </w:rPr>
        <w:t>(</w:t>
      </w:r>
      <w:r w:rsidRPr="00B47352">
        <w:rPr>
          <w:highlight w:val="darkGray"/>
        </w:rPr>
        <w:t>VASA, SR 814.681</w:t>
      </w:r>
      <w:r w:rsidR="00320E82" w:rsidRPr="00B47352">
        <w:rPr>
          <w:highlight w:val="darkGray"/>
        </w:rPr>
        <w:t>)</w:t>
      </w:r>
    </w:p>
    <w:p w14:paraId="1F7AA961" w14:textId="77777777" w:rsidR="00D502CD" w:rsidRPr="00B47352" w:rsidRDefault="00220AAA" w:rsidP="00D502CD">
      <w:pPr>
        <w:rPr>
          <w:highlight w:val="darkGray"/>
        </w:rPr>
      </w:pPr>
      <w:r w:rsidRPr="00B47352">
        <w:rPr>
          <w:highlight w:val="darkGray"/>
        </w:rPr>
        <w:t>Technische Verordnung über Abfälle (TVA</w:t>
      </w:r>
      <w:r w:rsidR="00320E82" w:rsidRPr="00B47352">
        <w:rPr>
          <w:highlight w:val="darkGray"/>
        </w:rPr>
        <w:t>,</w:t>
      </w:r>
      <w:r w:rsidRPr="00B47352">
        <w:rPr>
          <w:highlight w:val="darkGray"/>
        </w:rPr>
        <w:t xml:space="preserve"> SR 814.600</w:t>
      </w:r>
      <w:r w:rsidR="00320E82" w:rsidRPr="00B47352">
        <w:rPr>
          <w:highlight w:val="darkGray"/>
        </w:rPr>
        <w:t>)</w:t>
      </w:r>
    </w:p>
    <w:p w14:paraId="3FC0BDBD" w14:textId="77777777" w:rsidR="00997165" w:rsidRPr="00B47352" w:rsidRDefault="00997165" w:rsidP="00D502CD">
      <w:pPr>
        <w:rPr>
          <w:highlight w:val="darkGray"/>
        </w:rPr>
      </w:pPr>
      <w:r w:rsidRPr="00B47352">
        <w:rPr>
          <w:highlight w:val="darkGray"/>
        </w:rPr>
        <w:t>Verordnung über den Verkehr mit Abfällen (</w:t>
      </w:r>
      <w:proofErr w:type="spellStart"/>
      <w:r w:rsidRPr="00B47352">
        <w:rPr>
          <w:highlight w:val="darkGray"/>
        </w:rPr>
        <w:t>VeVA</w:t>
      </w:r>
      <w:proofErr w:type="spellEnd"/>
      <w:r w:rsidRPr="00B47352">
        <w:rPr>
          <w:highlight w:val="darkGray"/>
        </w:rPr>
        <w:t>, SR 814.610)</w:t>
      </w:r>
    </w:p>
    <w:p w14:paraId="603BCAC8" w14:textId="77777777" w:rsidR="00E03A68" w:rsidRPr="00B47352" w:rsidRDefault="00E03A68" w:rsidP="00662372">
      <w:pPr>
        <w:rPr>
          <w:highlight w:val="darkGray"/>
        </w:rPr>
      </w:pPr>
    </w:p>
    <w:p w14:paraId="70DF53AA" w14:textId="77777777" w:rsidR="00662372" w:rsidRPr="00B47352" w:rsidRDefault="00662372" w:rsidP="00EF5EAF">
      <w:pPr>
        <w:rPr>
          <w:highlight w:val="darkGray"/>
        </w:rPr>
      </w:pPr>
      <w:r w:rsidRPr="00B47352">
        <w:rPr>
          <w:highlight w:val="darkGray"/>
        </w:rPr>
        <w:br w:type="page"/>
      </w:r>
    </w:p>
    <w:p w14:paraId="42998802" w14:textId="77777777" w:rsidR="00662372" w:rsidRPr="00B47352" w:rsidRDefault="00662372" w:rsidP="00D05E11">
      <w:pPr>
        <w:pStyle w:val="Anhangn"/>
        <w:spacing w:before="0" w:line="240" w:lineRule="auto"/>
        <w:ind w:left="782" w:hanging="357"/>
        <w:rPr>
          <w:highlight w:val="darkGray"/>
        </w:rPr>
      </w:pPr>
      <w:bookmarkStart w:id="331" w:name="_Toc356294724"/>
      <w:r w:rsidRPr="00B47352">
        <w:rPr>
          <w:highlight w:val="darkGray"/>
        </w:rPr>
        <w:lastRenderedPageBreak/>
        <w:t>Abkürzungen</w:t>
      </w:r>
      <w:r w:rsidR="00352509" w:rsidRPr="00B47352">
        <w:rPr>
          <w:highlight w:val="darkGray"/>
        </w:rPr>
        <w:t>, Priorisierung der Empfehlungen der EFK</w:t>
      </w:r>
      <w:bookmarkEnd w:id="331"/>
    </w:p>
    <w:p w14:paraId="17039A42" w14:textId="77777777" w:rsidR="006F3CE1" w:rsidRPr="00B47352" w:rsidRDefault="006F3CE1" w:rsidP="00D05E11">
      <w:pPr>
        <w:spacing w:before="0" w:line="240" w:lineRule="atLeast"/>
        <w:rPr>
          <w:highlight w:val="darkGray"/>
        </w:rPr>
      </w:pPr>
    </w:p>
    <w:p w14:paraId="00418E2D" w14:textId="77777777" w:rsidR="006F3CE1" w:rsidRPr="00B47352" w:rsidRDefault="006F3CE1" w:rsidP="006F3CE1">
      <w:pPr>
        <w:rPr>
          <w:b/>
          <w:highlight w:val="darkGray"/>
        </w:rPr>
      </w:pPr>
      <w:r w:rsidRPr="00B47352">
        <w:rPr>
          <w:b/>
          <w:highlight w:val="darkGray"/>
        </w:rPr>
        <w:t>Abkürzungen:</w:t>
      </w:r>
    </w:p>
    <w:tbl>
      <w:tblPr>
        <w:tblW w:w="9142" w:type="dxa"/>
        <w:tblLayout w:type="fixed"/>
        <w:tblCellMar>
          <w:left w:w="70" w:type="dxa"/>
          <w:right w:w="70" w:type="dxa"/>
        </w:tblCellMar>
        <w:tblLook w:val="0000" w:firstRow="0" w:lastRow="0" w:firstColumn="0" w:lastColumn="0" w:noHBand="0" w:noVBand="0"/>
      </w:tblPr>
      <w:tblGrid>
        <w:gridCol w:w="1488"/>
        <w:gridCol w:w="7654"/>
      </w:tblGrid>
      <w:tr w:rsidR="00FE1450" w:rsidRPr="00B47352" w14:paraId="153B5607" w14:textId="77777777" w:rsidTr="00C4548C">
        <w:trPr>
          <w:trHeight w:val="340"/>
        </w:trPr>
        <w:tc>
          <w:tcPr>
            <w:tcW w:w="1488" w:type="dxa"/>
          </w:tcPr>
          <w:p w14:paraId="6DF810AA" w14:textId="77777777" w:rsidR="00FE1450" w:rsidRPr="00B47352" w:rsidRDefault="00FE1450" w:rsidP="00380F7F">
            <w:pPr>
              <w:widowControl w:val="0"/>
              <w:spacing w:before="120"/>
              <w:rPr>
                <w:rFonts w:cs="Arial"/>
                <w:highlight w:val="darkGray"/>
              </w:rPr>
            </w:pPr>
            <w:proofErr w:type="spellStart"/>
            <w:r w:rsidRPr="00B47352">
              <w:rPr>
                <w:rFonts w:cs="Arial"/>
                <w:highlight w:val="darkGray"/>
              </w:rPr>
              <w:t>AfU</w:t>
            </w:r>
            <w:proofErr w:type="spellEnd"/>
            <w:r w:rsidRPr="00B47352">
              <w:rPr>
                <w:rFonts w:cs="Arial"/>
                <w:highlight w:val="darkGray"/>
              </w:rPr>
              <w:t xml:space="preserve"> (AG)</w:t>
            </w:r>
          </w:p>
        </w:tc>
        <w:tc>
          <w:tcPr>
            <w:tcW w:w="7654" w:type="dxa"/>
          </w:tcPr>
          <w:p w14:paraId="60A42C10" w14:textId="77777777" w:rsidR="00FE1450" w:rsidRPr="00B47352" w:rsidRDefault="00FE1450" w:rsidP="00380F7F">
            <w:pPr>
              <w:widowControl w:val="0"/>
              <w:spacing w:before="120"/>
              <w:rPr>
                <w:rFonts w:cs="Arial"/>
                <w:highlight w:val="darkGray"/>
              </w:rPr>
            </w:pPr>
            <w:r w:rsidRPr="00B47352">
              <w:rPr>
                <w:rFonts w:cs="Arial"/>
                <w:highlight w:val="darkGray"/>
              </w:rPr>
              <w:t>Abteilung für Umwelt des Kantons Aargau</w:t>
            </w:r>
          </w:p>
        </w:tc>
      </w:tr>
      <w:tr w:rsidR="00FE1450" w:rsidRPr="00B47352" w14:paraId="0E83253D" w14:textId="77777777" w:rsidTr="00C4548C">
        <w:trPr>
          <w:trHeight w:val="340"/>
        </w:trPr>
        <w:tc>
          <w:tcPr>
            <w:tcW w:w="1488" w:type="dxa"/>
          </w:tcPr>
          <w:p w14:paraId="206019D2" w14:textId="77777777" w:rsidR="00FE1450" w:rsidRPr="00B47352" w:rsidRDefault="00FE1450" w:rsidP="00380F7F">
            <w:pPr>
              <w:widowControl w:val="0"/>
              <w:spacing w:before="120"/>
              <w:rPr>
                <w:rFonts w:cs="Arial"/>
                <w:highlight w:val="darkGray"/>
              </w:rPr>
            </w:pPr>
            <w:proofErr w:type="spellStart"/>
            <w:r w:rsidRPr="00B47352">
              <w:rPr>
                <w:rFonts w:cs="Arial"/>
                <w:highlight w:val="darkGray"/>
              </w:rPr>
              <w:t>AfU</w:t>
            </w:r>
            <w:proofErr w:type="spellEnd"/>
            <w:r w:rsidRPr="00B47352">
              <w:rPr>
                <w:rFonts w:cs="Arial"/>
                <w:highlight w:val="darkGray"/>
              </w:rPr>
              <w:t xml:space="preserve"> (SO)</w:t>
            </w:r>
          </w:p>
        </w:tc>
        <w:tc>
          <w:tcPr>
            <w:tcW w:w="7654" w:type="dxa"/>
          </w:tcPr>
          <w:p w14:paraId="21CB4783" w14:textId="77777777" w:rsidR="00FE1450" w:rsidRPr="00B47352" w:rsidRDefault="00FE1450" w:rsidP="00380F7F">
            <w:pPr>
              <w:widowControl w:val="0"/>
              <w:spacing w:before="120"/>
              <w:rPr>
                <w:rFonts w:cs="Arial"/>
                <w:highlight w:val="darkGray"/>
              </w:rPr>
            </w:pPr>
            <w:r w:rsidRPr="00B47352">
              <w:rPr>
                <w:rFonts w:cs="Arial"/>
                <w:highlight w:val="darkGray"/>
              </w:rPr>
              <w:t>Amt für Umwelt des Kantons Solothurn</w:t>
            </w:r>
          </w:p>
        </w:tc>
      </w:tr>
      <w:bookmarkEnd w:id="330"/>
      <w:tr w:rsidR="00320E82" w:rsidRPr="00B47352" w14:paraId="2D5EC1ED" w14:textId="77777777" w:rsidTr="00C4548C">
        <w:trPr>
          <w:trHeight w:val="340"/>
        </w:trPr>
        <w:tc>
          <w:tcPr>
            <w:tcW w:w="1488" w:type="dxa"/>
          </w:tcPr>
          <w:p w14:paraId="583854EC" w14:textId="77777777" w:rsidR="00320E82" w:rsidRPr="00B47352" w:rsidRDefault="00C81F2B" w:rsidP="00380F7F">
            <w:pPr>
              <w:widowControl w:val="0"/>
              <w:spacing w:before="120"/>
              <w:rPr>
                <w:rFonts w:cs="Arial"/>
                <w:highlight w:val="darkGray"/>
              </w:rPr>
            </w:pPr>
            <w:r w:rsidRPr="00B47352">
              <w:rPr>
                <w:rFonts w:cs="Arial"/>
                <w:highlight w:val="darkGray"/>
              </w:rPr>
              <w:t>BAFU</w:t>
            </w:r>
          </w:p>
        </w:tc>
        <w:tc>
          <w:tcPr>
            <w:tcW w:w="7654" w:type="dxa"/>
          </w:tcPr>
          <w:p w14:paraId="041ED1AE" w14:textId="77777777" w:rsidR="00320E82" w:rsidRPr="00B47352" w:rsidRDefault="00C81F2B" w:rsidP="00380F7F">
            <w:pPr>
              <w:widowControl w:val="0"/>
              <w:spacing w:before="120"/>
              <w:rPr>
                <w:rFonts w:cs="Arial"/>
                <w:highlight w:val="darkGray"/>
              </w:rPr>
            </w:pPr>
            <w:r w:rsidRPr="00B47352">
              <w:rPr>
                <w:rFonts w:cs="Arial"/>
                <w:highlight w:val="darkGray"/>
              </w:rPr>
              <w:t>Bundesamt für Umwelt</w:t>
            </w:r>
          </w:p>
        </w:tc>
      </w:tr>
      <w:tr w:rsidR="00B92923" w:rsidRPr="00B47352" w14:paraId="021BC491" w14:textId="77777777" w:rsidTr="00C4548C">
        <w:trPr>
          <w:trHeight w:val="340"/>
        </w:trPr>
        <w:tc>
          <w:tcPr>
            <w:tcW w:w="1488" w:type="dxa"/>
          </w:tcPr>
          <w:p w14:paraId="2742600A" w14:textId="77777777" w:rsidR="00B92923" w:rsidRPr="00B47352" w:rsidRDefault="00F633BA" w:rsidP="00380F7F">
            <w:pPr>
              <w:widowControl w:val="0"/>
              <w:spacing w:before="120"/>
              <w:rPr>
                <w:rFonts w:cs="Arial"/>
                <w:highlight w:val="darkGray"/>
              </w:rPr>
            </w:pPr>
            <w:r w:rsidRPr="00B47352">
              <w:rPr>
                <w:rFonts w:cs="Arial"/>
                <w:highlight w:val="darkGray"/>
              </w:rPr>
              <w:t>BAV</w:t>
            </w:r>
          </w:p>
        </w:tc>
        <w:tc>
          <w:tcPr>
            <w:tcW w:w="7654" w:type="dxa"/>
          </w:tcPr>
          <w:p w14:paraId="386B294A" w14:textId="77777777" w:rsidR="00B92923" w:rsidRPr="00B47352" w:rsidRDefault="005F4C00" w:rsidP="00380F7F">
            <w:pPr>
              <w:widowControl w:val="0"/>
              <w:spacing w:before="120"/>
              <w:rPr>
                <w:rFonts w:cs="Arial"/>
                <w:highlight w:val="darkGray"/>
              </w:rPr>
            </w:pPr>
            <w:r w:rsidRPr="00B47352">
              <w:rPr>
                <w:rFonts w:cs="Arial"/>
                <w:highlight w:val="darkGray"/>
              </w:rPr>
              <w:t>Bundesamt für Verkehr</w:t>
            </w:r>
          </w:p>
        </w:tc>
      </w:tr>
      <w:tr w:rsidR="00320E82" w:rsidRPr="00B47352" w14:paraId="7FE848DB" w14:textId="77777777" w:rsidTr="00C4548C">
        <w:trPr>
          <w:trHeight w:val="340"/>
        </w:trPr>
        <w:tc>
          <w:tcPr>
            <w:tcW w:w="1488" w:type="dxa"/>
          </w:tcPr>
          <w:p w14:paraId="7E50A97E" w14:textId="77777777" w:rsidR="00320E82" w:rsidRPr="00B47352" w:rsidRDefault="00F633BA" w:rsidP="00380F7F">
            <w:pPr>
              <w:widowControl w:val="0"/>
              <w:spacing w:before="120"/>
              <w:rPr>
                <w:rFonts w:cs="Arial"/>
                <w:highlight w:val="darkGray"/>
              </w:rPr>
            </w:pPr>
            <w:r w:rsidRPr="00B47352">
              <w:rPr>
                <w:rFonts w:cs="Arial"/>
                <w:highlight w:val="darkGray"/>
              </w:rPr>
              <w:t>BAZL</w:t>
            </w:r>
          </w:p>
        </w:tc>
        <w:tc>
          <w:tcPr>
            <w:tcW w:w="7654" w:type="dxa"/>
          </w:tcPr>
          <w:p w14:paraId="7783372A" w14:textId="77777777" w:rsidR="00320E82" w:rsidRPr="00B47352" w:rsidRDefault="005F4C00" w:rsidP="00C81F2B">
            <w:pPr>
              <w:widowControl w:val="0"/>
              <w:spacing w:before="120"/>
              <w:rPr>
                <w:rFonts w:cs="Arial"/>
                <w:highlight w:val="darkGray"/>
              </w:rPr>
            </w:pPr>
            <w:r w:rsidRPr="00B47352">
              <w:rPr>
                <w:rFonts w:cs="Arial"/>
                <w:highlight w:val="darkGray"/>
              </w:rPr>
              <w:t>Bundesamt für Zivilluftfahrt</w:t>
            </w:r>
          </w:p>
        </w:tc>
      </w:tr>
      <w:tr w:rsidR="00320E82" w:rsidRPr="00B47352" w14:paraId="3FD81C28" w14:textId="77777777" w:rsidTr="00C4548C">
        <w:trPr>
          <w:trHeight w:val="340"/>
        </w:trPr>
        <w:tc>
          <w:tcPr>
            <w:tcW w:w="1488" w:type="dxa"/>
          </w:tcPr>
          <w:p w14:paraId="0D3FEA7B" w14:textId="77777777" w:rsidR="00320E82" w:rsidRPr="00B47352" w:rsidRDefault="00502E67" w:rsidP="00380F7F">
            <w:pPr>
              <w:widowControl w:val="0"/>
              <w:spacing w:before="120"/>
              <w:rPr>
                <w:rFonts w:cs="Arial"/>
                <w:highlight w:val="darkGray"/>
              </w:rPr>
            </w:pPr>
            <w:r w:rsidRPr="00B47352">
              <w:rPr>
                <w:rFonts w:cs="Arial"/>
                <w:highlight w:val="darkGray"/>
              </w:rPr>
              <w:t>BAZO</w:t>
            </w:r>
          </w:p>
        </w:tc>
        <w:tc>
          <w:tcPr>
            <w:tcW w:w="7654" w:type="dxa"/>
          </w:tcPr>
          <w:p w14:paraId="681319F8" w14:textId="77777777" w:rsidR="00320E82" w:rsidRPr="00B47352" w:rsidRDefault="00502E67" w:rsidP="00380F7F">
            <w:pPr>
              <w:widowControl w:val="0"/>
              <w:spacing w:before="120"/>
              <w:rPr>
                <w:rFonts w:cs="Arial"/>
                <w:highlight w:val="darkGray"/>
              </w:rPr>
            </w:pPr>
            <w:r w:rsidRPr="00B47352">
              <w:rPr>
                <w:rFonts w:cs="Arial"/>
                <w:highlight w:val="darkGray"/>
              </w:rPr>
              <w:t>Bodenannahmezentrum Oberglatt</w:t>
            </w:r>
            <w:r w:rsidR="005C11F0" w:rsidRPr="00B47352">
              <w:rPr>
                <w:rFonts w:cs="Arial"/>
                <w:highlight w:val="darkGray"/>
              </w:rPr>
              <w:t xml:space="preserve"> der Eberhard Recycling AG</w:t>
            </w:r>
          </w:p>
        </w:tc>
      </w:tr>
      <w:tr w:rsidR="00502E67" w:rsidRPr="00B47352" w14:paraId="37AEE8FD" w14:textId="77777777" w:rsidTr="00C4548C">
        <w:trPr>
          <w:trHeight w:val="340"/>
        </w:trPr>
        <w:tc>
          <w:tcPr>
            <w:tcW w:w="1488" w:type="dxa"/>
          </w:tcPr>
          <w:p w14:paraId="60BCF4EF" w14:textId="77777777" w:rsidR="00502E67" w:rsidRPr="00B47352" w:rsidRDefault="00502E67" w:rsidP="00A13A13">
            <w:pPr>
              <w:widowControl w:val="0"/>
              <w:spacing w:before="120"/>
              <w:rPr>
                <w:rFonts w:cs="Arial"/>
                <w:highlight w:val="darkGray"/>
              </w:rPr>
            </w:pPr>
            <w:r w:rsidRPr="00B47352">
              <w:rPr>
                <w:rFonts w:cs="Arial"/>
                <w:highlight w:val="darkGray"/>
              </w:rPr>
              <w:t>EFK</w:t>
            </w:r>
          </w:p>
        </w:tc>
        <w:tc>
          <w:tcPr>
            <w:tcW w:w="7654" w:type="dxa"/>
          </w:tcPr>
          <w:p w14:paraId="4C0D5CD3" w14:textId="77777777" w:rsidR="00502E67" w:rsidRPr="00B47352" w:rsidRDefault="00502E67" w:rsidP="00A13A13">
            <w:pPr>
              <w:widowControl w:val="0"/>
              <w:spacing w:before="120"/>
              <w:rPr>
                <w:rFonts w:cs="Arial"/>
                <w:highlight w:val="darkGray"/>
              </w:rPr>
            </w:pPr>
            <w:r w:rsidRPr="00B47352">
              <w:rPr>
                <w:rFonts w:cs="Arial"/>
                <w:highlight w:val="darkGray"/>
              </w:rPr>
              <w:t>Eidgenössische Finanzkontrolle</w:t>
            </w:r>
          </w:p>
        </w:tc>
      </w:tr>
      <w:tr w:rsidR="00502E67" w:rsidRPr="00B47352" w14:paraId="10D6EE3B" w14:textId="77777777" w:rsidTr="00C4548C">
        <w:trPr>
          <w:trHeight w:val="340"/>
        </w:trPr>
        <w:tc>
          <w:tcPr>
            <w:tcW w:w="1488" w:type="dxa"/>
          </w:tcPr>
          <w:p w14:paraId="4C2CFFAF" w14:textId="77777777" w:rsidR="00502E67" w:rsidRPr="00B47352" w:rsidRDefault="00501DFF" w:rsidP="00A13A13">
            <w:pPr>
              <w:widowControl w:val="0"/>
              <w:spacing w:before="120"/>
              <w:rPr>
                <w:rFonts w:cs="Arial"/>
                <w:highlight w:val="darkGray"/>
              </w:rPr>
            </w:pPr>
            <w:r w:rsidRPr="00B47352">
              <w:rPr>
                <w:rFonts w:cs="Arial"/>
                <w:highlight w:val="darkGray"/>
              </w:rPr>
              <w:t>ESAR</w:t>
            </w:r>
          </w:p>
        </w:tc>
        <w:tc>
          <w:tcPr>
            <w:tcW w:w="7654" w:type="dxa"/>
          </w:tcPr>
          <w:p w14:paraId="7559CB3E" w14:textId="77777777" w:rsidR="00502E67" w:rsidRPr="00B47352" w:rsidRDefault="00501DFF" w:rsidP="005C11F0">
            <w:pPr>
              <w:widowControl w:val="0"/>
              <w:spacing w:before="120"/>
              <w:rPr>
                <w:rFonts w:cs="Arial"/>
                <w:highlight w:val="darkGray"/>
              </w:rPr>
            </w:pPr>
            <w:r w:rsidRPr="00B47352">
              <w:rPr>
                <w:rFonts w:cs="Arial"/>
                <w:highlight w:val="darkGray"/>
              </w:rPr>
              <w:t xml:space="preserve">Bodenwaschanlage ESAR </w:t>
            </w:r>
            <w:r w:rsidR="005C11F0" w:rsidRPr="00B47352">
              <w:rPr>
                <w:rFonts w:cs="Arial"/>
                <w:highlight w:val="darkGray"/>
              </w:rPr>
              <w:t xml:space="preserve">Rümlang </w:t>
            </w:r>
            <w:r w:rsidRPr="00B47352">
              <w:rPr>
                <w:rFonts w:cs="Arial"/>
                <w:highlight w:val="darkGray"/>
              </w:rPr>
              <w:t>der Eberhard Recycling AG</w:t>
            </w:r>
          </w:p>
        </w:tc>
      </w:tr>
      <w:tr w:rsidR="00501DFF" w:rsidRPr="00B47352" w14:paraId="2BE0C1D2" w14:textId="77777777" w:rsidTr="00C4548C">
        <w:trPr>
          <w:trHeight w:val="340"/>
        </w:trPr>
        <w:tc>
          <w:tcPr>
            <w:tcW w:w="1488" w:type="dxa"/>
          </w:tcPr>
          <w:p w14:paraId="207E05B5" w14:textId="77777777" w:rsidR="00501DFF" w:rsidRPr="00B47352" w:rsidRDefault="00501DFF" w:rsidP="00A13A13">
            <w:pPr>
              <w:widowControl w:val="0"/>
              <w:spacing w:before="120"/>
              <w:rPr>
                <w:rFonts w:cs="Arial"/>
                <w:highlight w:val="darkGray"/>
              </w:rPr>
            </w:pPr>
            <w:r w:rsidRPr="00B47352">
              <w:rPr>
                <w:rFonts w:cs="Arial"/>
                <w:highlight w:val="darkGray"/>
              </w:rPr>
              <w:t>CKW</w:t>
            </w:r>
          </w:p>
        </w:tc>
        <w:tc>
          <w:tcPr>
            <w:tcW w:w="7654" w:type="dxa"/>
          </w:tcPr>
          <w:p w14:paraId="1DADB40B" w14:textId="77777777" w:rsidR="00501DFF" w:rsidRPr="00B47352" w:rsidRDefault="00501DFF" w:rsidP="00A13A13">
            <w:pPr>
              <w:widowControl w:val="0"/>
              <w:spacing w:before="120"/>
              <w:rPr>
                <w:rFonts w:cs="Arial"/>
                <w:highlight w:val="darkGray"/>
              </w:rPr>
            </w:pPr>
            <w:r w:rsidRPr="00B47352">
              <w:rPr>
                <w:rFonts w:cs="Arial"/>
                <w:highlight w:val="darkGray"/>
              </w:rPr>
              <w:t>chlorierte Kohlenwasserstoffe</w:t>
            </w:r>
          </w:p>
        </w:tc>
      </w:tr>
      <w:tr w:rsidR="00501DFF" w:rsidRPr="00B47352" w14:paraId="5B9CA2B9" w14:textId="77777777" w:rsidTr="00C4548C">
        <w:trPr>
          <w:trHeight w:val="340"/>
        </w:trPr>
        <w:tc>
          <w:tcPr>
            <w:tcW w:w="1488" w:type="dxa"/>
          </w:tcPr>
          <w:p w14:paraId="68785520" w14:textId="77777777" w:rsidR="00501DFF" w:rsidRPr="00B47352" w:rsidRDefault="00501DFF" w:rsidP="00380F7F">
            <w:pPr>
              <w:widowControl w:val="0"/>
              <w:spacing w:before="120"/>
              <w:rPr>
                <w:rFonts w:cs="Arial"/>
                <w:highlight w:val="darkGray"/>
              </w:rPr>
            </w:pPr>
            <w:r w:rsidRPr="00B47352">
              <w:rPr>
                <w:rFonts w:cs="Arial"/>
                <w:highlight w:val="darkGray"/>
              </w:rPr>
              <w:t>KVA</w:t>
            </w:r>
          </w:p>
        </w:tc>
        <w:tc>
          <w:tcPr>
            <w:tcW w:w="7654" w:type="dxa"/>
          </w:tcPr>
          <w:p w14:paraId="6B66A389" w14:textId="77777777" w:rsidR="00501DFF" w:rsidRPr="00B47352" w:rsidRDefault="00501DFF" w:rsidP="00D05E11">
            <w:pPr>
              <w:widowControl w:val="0"/>
              <w:spacing w:before="120"/>
              <w:rPr>
                <w:rFonts w:cs="Arial"/>
                <w:highlight w:val="darkGray"/>
              </w:rPr>
            </w:pPr>
            <w:r w:rsidRPr="00B47352">
              <w:rPr>
                <w:rFonts w:cs="Arial"/>
                <w:highlight w:val="darkGray"/>
              </w:rPr>
              <w:t>Kehrichtverbrennungsanlage</w:t>
            </w:r>
          </w:p>
        </w:tc>
      </w:tr>
      <w:tr w:rsidR="00501DFF" w:rsidRPr="00B47352" w14:paraId="29D535CE" w14:textId="77777777" w:rsidTr="00C4548C">
        <w:trPr>
          <w:trHeight w:val="340"/>
        </w:trPr>
        <w:tc>
          <w:tcPr>
            <w:tcW w:w="1488" w:type="dxa"/>
          </w:tcPr>
          <w:p w14:paraId="231B7909" w14:textId="77777777" w:rsidR="00501DFF" w:rsidRPr="00B47352" w:rsidRDefault="00AE089F" w:rsidP="00380F7F">
            <w:pPr>
              <w:widowControl w:val="0"/>
              <w:spacing w:before="120"/>
              <w:rPr>
                <w:rFonts w:cs="Arial"/>
                <w:highlight w:val="darkGray"/>
              </w:rPr>
            </w:pPr>
            <w:r w:rsidRPr="00B47352">
              <w:rPr>
                <w:rFonts w:cs="Arial"/>
                <w:highlight w:val="darkGray"/>
              </w:rPr>
              <w:t>RE1 (</w:t>
            </w:r>
            <w:r w:rsidR="00AD2FF3" w:rsidRPr="00B47352">
              <w:rPr>
                <w:rFonts w:cs="Arial"/>
                <w:highlight w:val="darkGray"/>
              </w:rPr>
              <w:t>RE</w:t>
            </w:r>
            <w:r w:rsidRPr="00B47352">
              <w:rPr>
                <w:rFonts w:cs="Arial"/>
                <w:highlight w:val="darkGray"/>
              </w:rPr>
              <w:t>2)</w:t>
            </w:r>
          </w:p>
        </w:tc>
        <w:tc>
          <w:tcPr>
            <w:tcW w:w="7654" w:type="dxa"/>
          </w:tcPr>
          <w:p w14:paraId="6FFF2256" w14:textId="77777777" w:rsidR="00501DFF" w:rsidRPr="00B47352" w:rsidRDefault="00AE089F" w:rsidP="003B4A2C">
            <w:pPr>
              <w:widowControl w:val="0"/>
              <w:spacing w:before="120"/>
              <w:rPr>
                <w:rFonts w:cs="Arial"/>
                <w:highlight w:val="darkGray"/>
              </w:rPr>
            </w:pPr>
            <w:r w:rsidRPr="00B47352">
              <w:rPr>
                <w:rFonts w:cs="Arial"/>
                <w:highlight w:val="darkGray"/>
              </w:rPr>
              <w:t>Rückbauetappe 1 bzw. Rückbauetappe 2</w:t>
            </w:r>
          </w:p>
        </w:tc>
      </w:tr>
      <w:tr w:rsidR="00501DFF" w:rsidRPr="00B47352" w14:paraId="5A2CF409" w14:textId="77777777" w:rsidTr="00C4548C">
        <w:trPr>
          <w:trHeight w:val="340"/>
        </w:trPr>
        <w:tc>
          <w:tcPr>
            <w:tcW w:w="1488" w:type="dxa"/>
          </w:tcPr>
          <w:p w14:paraId="737DDD59" w14:textId="77777777" w:rsidR="00501DFF" w:rsidRPr="00B47352" w:rsidRDefault="00501DFF" w:rsidP="00380F7F">
            <w:pPr>
              <w:widowControl w:val="0"/>
              <w:spacing w:before="120"/>
              <w:rPr>
                <w:rFonts w:cs="Arial"/>
                <w:highlight w:val="darkGray"/>
              </w:rPr>
            </w:pPr>
            <w:r w:rsidRPr="00B47352">
              <w:rPr>
                <w:rFonts w:cs="Arial"/>
                <w:highlight w:val="darkGray"/>
              </w:rPr>
              <w:t>SMDK</w:t>
            </w:r>
          </w:p>
        </w:tc>
        <w:tc>
          <w:tcPr>
            <w:tcW w:w="7654" w:type="dxa"/>
          </w:tcPr>
          <w:p w14:paraId="3EA1A468" w14:textId="77777777" w:rsidR="00501DFF" w:rsidRPr="00B47352" w:rsidRDefault="00501DFF" w:rsidP="00380F7F">
            <w:pPr>
              <w:widowControl w:val="0"/>
              <w:spacing w:before="120"/>
              <w:rPr>
                <w:rFonts w:cs="Arial"/>
                <w:highlight w:val="darkGray"/>
              </w:rPr>
            </w:pPr>
            <w:r w:rsidRPr="00B47352">
              <w:rPr>
                <w:rFonts w:cs="Arial"/>
                <w:highlight w:val="darkGray"/>
              </w:rPr>
              <w:t>Sondermülldeponie Kölliken</w:t>
            </w:r>
          </w:p>
        </w:tc>
      </w:tr>
      <w:tr w:rsidR="00501DFF" w:rsidRPr="00B47352" w14:paraId="05EE5B89" w14:textId="77777777" w:rsidTr="00C4548C">
        <w:trPr>
          <w:trHeight w:val="340"/>
        </w:trPr>
        <w:tc>
          <w:tcPr>
            <w:tcW w:w="1488" w:type="dxa"/>
          </w:tcPr>
          <w:p w14:paraId="099AD756" w14:textId="77777777" w:rsidR="00501DFF" w:rsidRPr="00B47352" w:rsidRDefault="00501DFF" w:rsidP="00FE284C">
            <w:pPr>
              <w:widowControl w:val="0"/>
              <w:spacing w:before="120"/>
              <w:rPr>
                <w:rFonts w:cs="Arial"/>
                <w:highlight w:val="darkGray"/>
              </w:rPr>
            </w:pPr>
            <w:r w:rsidRPr="00B47352">
              <w:rPr>
                <w:rFonts w:cs="Arial"/>
                <w:highlight w:val="darkGray"/>
              </w:rPr>
              <w:t>UVEK</w:t>
            </w:r>
          </w:p>
        </w:tc>
        <w:tc>
          <w:tcPr>
            <w:tcW w:w="7654" w:type="dxa"/>
          </w:tcPr>
          <w:p w14:paraId="1443BE75" w14:textId="77777777" w:rsidR="00501DFF" w:rsidRPr="00B47352" w:rsidRDefault="00501DFF" w:rsidP="00FE284C">
            <w:pPr>
              <w:widowControl w:val="0"/>
              <w:spacing w:before="120"/>
              <w:rPr>
                <w:rFonts w:cs="Arial"/>
                <w:highlight w:val="darkGray"/>
              </w:rPr>
            </w:pPr>
            <w:r w:rsidRPr="00B47352">
              <w:rPr>
                <w:rFonts w:cs="Arial"/>
                <w:highlight w:val="darkGray"/>
              </w:rPr>
              <w:t>Eidgenössisches Departement für Umwelt, Verkehr, Energie und Kommunikation</w:t>
            </w:r>
          </w:p>
        </w:tc>
      </w:tr>
      <w:tr w:rsidR="00501DFF" w:rsidRPr="00B47352" w14:paraId="21E872A6" w14:textId="77777777" w:rsidTr="00C4548C">
        <w:trPr>
          <w:trHeight w:val="340"/>
        </w:trPr>
        <w:tc>
          <w:tcPr>
            <w:tcW w:w="1488" w:type="dxa"/>
          </w:tcPr>
          <w:p w14:paraId="243A3FC2" w14:textId="77777777" w:rsidR="00501DFF" w:rsidRPr="00B47352" w:rsidRDefault="00501DFF" w:rsidP="00FE284C">
            <w:pPr>
              <w:widowControl w:val="0"/>
              <w:spacing w:before="120"/>
              <w:rPr>
                <w:rFonts w:cs="Arial"/>
                <w:highlight w:val="darkGray"/>
              </w:rPr>
            </w:pPr>
            <w:r w:rsidRPr="00B47352">
              <w:rPr>
                <w:rFonts w:cs="Arial"/>
                <w:highlight w:val="darkGray"/>
              </w:rPr>
              <w:t>VASA</w:t>
            </w:r>
          </w:p>
        </w:tc>
        <w:tc>
          <w:tcPr>
            <w:tcW w:w="7654" w:type="dxa"/>
          </w:tcPr>
          <w:p w14:paraId="69ACB6A9" w14:textId="77777777" w:rsidR="00501DFF" w:rsidRPr="00B47352" w:rsidRDefault="00501DFF" w:rsidP="00FE284C">
            <w:pPr>
              <w:widowControl w:val="0"/>
              <w:spacing w:before="120"/>
              <w:rPr>
                <w:rFonts w:cs="Arial"/>
                <w:highlight w:val="darkGray"/>
              </w:rPr>
            </w:pPr>
            <w:r w:rsidRPr="00B47352">
              <w:rPr>
                <w:rFonts w:cs="Arial"/>
                <w:highlight w:val="darkGray"/>
              </w:rPr>
              <w:t>Verordnung über die Abgabe zur Sanierung von Altlasten</w:t>
            </w:r>
          </w:p>
        </w:tc>
      </w:tr>
      <w:tr w:rsidR="00501DFF" w:rsidRPr="00B47352" w14:paraId="13BE5E81" w14:textId="77777777" w:rsidTr="00C4548C">
        <w:trPr>
          <w:trHeight w:val="340"/>
        </w:trPr>
        <w:tc>
          <w:tcPr>
            <w:tcW w:w="1488" w:type="dxa"/>
          </w:tcPr>
          <w:p w14:paraId="6D830A71" w14:textId="77777777" w:rsidR="00501DFF" w:rsidRPr="00B47352" w:rsidRDefault="00501DFF" w:rsidP="00380F7F">
            <w:pPr>
              <w:widowControl w:val="0"/>
              <w:spacing w:before="120"/>
              <w:rPr>
                <w:rFonts w:cs="Arial"/>
                <w:highlight w:val="darkGray"/>
              </w:rPr>
            </w:pPr>
            <w:r w:rsidRPr="00B47352">
              <w:rPr>
                <w:rFonts w:cs="Arial"/>
                <w:highlight w:val="darkGray"/>
              </w:rPr>
              <w:t>VASABI</w:t>
            </w:r>
          </w:p>
        </w:tc>
        <w:tc>
          <w:tcPr>
            <w:tcW w:w="7654" w:type="dxa"/>
          </w:tcPr>
          <w:p w14:paraId="57347D79" w14:textId="77777777" w:rsidR="00501DFF" w:rsidRPr="00B47352" w:rsidRDefault="00501DFF" w:rsidP="005F4C00">
            <w:pPr>
              <w:widowControl w:val="0"/>
              <w:spacing w:before="120"/>
              <w:rPr>
                <w:rFonts w:cs="Arial"/>
                <w:highlight w:val="darkGray"/>
              </w:rPr>
            </w:pPr>
            <w:r w:rsidRPr="00B47352">
              <w:rPr>
                <w:rFonts w:cs="Arial"/>
                <w:highlight w:val="darkGray"/>
                <w:u w:val="single"/>
              </w:rPr>
              <w:t>Vas</w:t>
            </w:r>
            <w:r w:rsidRPr="00B47352">
              <w:rPr>
                <w:rFonts w:cs="Arial"/>
                <w:highlight w:val="darkGray"/>
              </w:rPr>
              <w:t xml:space="preserve">a und </w:t>
            </w:r>
            <w:r w:rsidRPr="00B47352">
              <w:rPr>
                <w:rFonts w:cs="Arial"/>
                <w:highlight w:val="darkGray"/>
                <w:u w:val="single"/>
              </w:rPr>
              <w:t>Ab</w:t>
            </w:r>
            <w:r w:rsidRPr="00B47352">
              <w:rPr>
                <w:rFonts w:cs="Arial"/>
                <w:highlight w:val="darkGray"/>
              </w:rPr>
              <w:t xml:space="preserve">fall </w:t>
            </w:r>
            <w:proofErr w:type="spellStart"/>
            <w:r w:rsidRPr="00B47352">
              <w:rPr>
                <w:rFonts w:cs="Arial"/>
                <w:highlight w:val="darkGray"/>
                <w:u w:val="single"/>
              </w:rPr>
              <w:t>I</w:t>
            </w:r>
            <w:r w:rsidRPr="00B47352">
              <w:rPr>
                <w:rFonts w:cs="Arial"/>
                <w:highlight w:val="darkGray"/>
              </w:rPr>
              <w:t>nfotool</w:t>
            </w:r>
            <w:proofErr w:type="spellEnd"/>
            <w:r w:rsidRPr="00B47352">
              <w:rPr>
                <w:rFonts w:cs="Arial"/>
                <w:highlight w:val="darkGray"/>
              </w:rPr>
              <w:t xml:space="preserve"> (Datenbank des BAFU)</w:t>
            </w:r>
          </w:p>
        </w:tc>
      </w:tr>
      <w:tr w:rsidR="00501DFF" w:rsidRPr="00B47352" w14:paraId="06BE428E" w14:textId="77777777" w:rsidTr="00C4548C">
        <w:trPr>
          <w:trHeight w:val="340"/>
        </w:trPr>
        <w:tc>
          <w:tcPr>
            <w:tcW w:w="1488" w:type="dxa"/>
          </w:tcPr>
          <w:p w14:paraId="093C42A6" w14:textId="77777777" w:rsidR="00501DFF" w:rsidRPr="00B47352" w:rsidRDefault="00501DFF" w:rsidP="00380F7F">
            <w:pPr>
              <w:widowControl w:val="0"/>
              <w:spacing w:before="120"/>
              <w:rPr>
                <w:rFonts w:cs="Arial"/>
                <w:highlight w:val="darkGray"/>
              </w:rPr>
            </w:pPr>
            <w:r w:rsidRPr="00B47352">
              <w:rPr>
                <w:rFonts w:cs="Arial"/>
                <w:highlight w:val="darkGray"/>
              </w:rPr>
              <w:t>VBS</w:t>
            </w:r>
          </w:p>
        </w:tc>
        <w:tc>
          <w:tcPr>
            <w:tcW w:w="7654" w:type="dxa"/>
          </w:tcPr>
          <w:p w14:paraId="67D58E3A" w14:textId="77777777" w:rsidR="00501DFF" w:rsidRPr="00B47352" w:rsidRDefault="00501DFF" w:rsidP="005F4C00">
            <w:pPr>
              <w:widowControl w:val="0"/>
              <w:spacing w:before="120"/>
              <w:rPr>
                <w:rFonts w:cs="Arial"/>
                <w:highlight w:val="darkGray"/>
              </w:rPr>
            </w:pPr>
            <w:r w:rsidRPr="00B47352">
              <w:rPr>
                <w:rFonts w:cs="Arial"/>
                <w:highlight w:val="darkGray"/>
              </w:rPr>
              <w:t>Eidgenössisches Departement für Verteidigung, Bevölkerungsschutz und Sport</w:t>
            </w:r>
          </w:p>
        </w:tc>
      </w:tr>
    </w:tbl>
    <w:p w14:paraId="4C0C0240" w14:textId="77777777" w:rsidR="00190BC0" w:rsidRPr="00B47352" w:rsidRDefault="00190BC0" w:rsidP="00D05E11">
      <w:pPr>
        <w:spacing w:before="0" w:line="240" w:lineRule="atLeast"/>
        <w:rPr>
          <w:highlight w:val="darkGray"/>
        </w:rPr>
      </w:pPr>
    </w:p>
    <w:p w14:paraId="03BF21BA" w14:textId="77777777" w:rsidR="00C63DE1" w:rsidRPr="00B47352" w:rsidRDefault="00C63DE1" w:rsidP="00D05E11">
      <w:pPr>
        <w:spacing w:before="0" w:line="240" w:lineRule="atLeast"/>
        <w:rPr>
          <w:highlight w:val="darkGray"/>
        </w:rPr>
      </w:pPr>
    </w:p>
    <w:p w14:paraId="567D9331" w14:textId="77777777" w:rsidR="00F40BAC" w:rsidRPr="00B47352" w:rsidRDefault="00F40BAC" w:rsidP="00D05E11">
      <w:pPr>
        <w:spacing w:before="0" w:line="240" w:lineRule="atLeast"/>
        <w:rPr>
          <w:highlight w:val="darkGray"/>
        </w:rPr>
      </w:pPr>
    </w:p>
    <w:p w14:paraId="2A84A89A" w14:textId="77777777" w:rsidR="00A853A7" w:rsidRPr="00B47352" w:rsidRDefault="00A853A7" w:rsidP="00D05E11">
      <w:pPr>
        <w:spacing w:before="0" w:line="240" w:lineRule="atLeast"/>
        <w:rPr>
          <w:highlight w:val="darkGray"/>
        </w:rPr>
      </w:pPr>
    </w:p>
    <w:p w14:paraId="3E44E1B4" w14:textId="77777777" w:rsidR="00A853A7" w:rsidRPr="00B47352" w:rsidRDefault="00A853A7" w:rsidP="00D05E11">
      <w:pPr>
        <w:spacing w:before="0" w:line="240" w:lineRule="atLeast"/>
        <w:rPr>
          <w:highlight w:val="darkGray"/>
        </w:rPr>
      </w:pPr>
    </w:p>
    <w:p w14:paraId="73939459" w14:textId="77777777" w:rsidR="00A853A7" w:rsidRPr="00B47352" w:rsidRDefault="00A853A7" w:rsidP="00D05E11">
      <w:pPr>
        <w:spacing w:before="0" w:line="240" w:lineRule="atLeast"/>
        <w:rPr>
          <w:highlight w:val="darkGray"/>
        </w:rPr>
      </w:pPr>
    </w:p>
    <w:p w14:paraId="7FAF11FD" w14:textId="77777777" w:rsidR="00352509" w:rsidRPr="00B47352" w:rsidRDefault="00352509" w:rsidP="00352509">
      <w:pPr>
        <w:rPr>
          <w:b/>
          <w:highlight w:val="darkGray"/>
        </w:rPr>
      </w:pPr>
      <w:bookmarkStart w:id="332" w:name="_Toc63493203"/>
      <w:bookmarkStart w:id="333" w:name="_Toc70393339"/>
      <w:bookmarkStart w:id="334" w:name="_Toc70394780"/>
      <w:bookmarkStart w:id="335" w:name="_Toc79390172"/>
      <w:bookmarkStart w:id="336" w:name="_Toc79390322"/>
      <w:bookmarkStart w:id="337" w:name="_Toc79390335"/>
      <w:bookmarkStart w:id="338" w:name="_Toc79390386"/>
      <w:bookmarkStart w:id="339" w:name="_Toc79392009"/>
      <w:bookmarkStart w:id="340" w:name="_Toc80068318"/>
      <w:bookmarkStart w:id="341" w:name="_Toc80068400"/>
      <w:bookmarkStart w:id="342" w:name="_Toc80068526"/>
      <w:bookmarkStart w:id="343" w:name="_Toc80467576"/>
      <w:bookmarkStart w:id="344" w:name="_Toc81181734"/>
      <w:bookmarkStart w:id="345" w:name="_Toc81571146"/>
      <w:bookmarkStart w:id="346" w:name="_Toc81571167"/>
      <w:bookmarkStart w:id="347" w:name="_Toc141248396"/>
      <w:bookmarkStart w:id="348" w:name="_Toc141248439"/>
      <w:bookmarkStart w:id="349" w:name="_Toc141249053"/>
      <w:bookmarkStart w:id="350" w:name="_Toc141249066"/>
      <w:bookmarkStart w:id="351" w:name="_Toc141249080"/>
      <w:bookmarkStart w:id="352" w:name="_Toc141249094"/>
      <w:bookmarkStart w:id="353" w:name="_Toc141249108"/>
      <w:bookmarkStart w:id="354" w:name="_Toc141249122"/>
      <w:bookmarkStart w:id="355" w:name="_Toc141249136"/>
      <w:bookmarkStart w:id="356" w:name="_Toc141249150"/>
      <w:bookmarkStart w:id="357" w:name="_Toc141249164"/>
      <w:bookmarkStart w:id="358" w:name="_Toc141249178"/>
      <w:bookmarkStart w:id="359" w:name="_Toc141249192"/>
      <w:bookmarkStart w:id="360" w:name="_Toc141249206"/>
      <w:bookmarkStart w:id="361" w:name="_Toc141249220"/>
      <w:bookmarkStart w:id="362" w:name="_Toc141249234"/>
      <w:bookmarkStart w:id="363" w:name="_Toc141249248"/>
      <w:bookmarkStart w:id="364" w:name="_Toc141249262"/>
      <w:bookmarkStart w:id="365" w:name="_Toc141249276"/>
      <w:bookmarkStart w:id="366" w:name="_Toc141249290"/>
      <w:bookmarkStart w:id="367" w:name="_Toc141249304"/>
      <w:bookmarkStart w:id="368" w:name="_Toc141249318"/>
      <w:bookmarkStart w:id="369" w:name="_Toc141249332"/>
      <w:bookmarkStart w:id="370" w:name="_Toc141249346"/>
      <w:bookmarkStart w:id="371" w:name="_Toc141249360"/>
      <w:bookmarkStart w:id="372" w:name="_Toc141249374"/>
      <w:bookmarkStart w:id="373" w:name="_Toc141249388"/>
      <w:bookmarkStart w:id="374" w:name="_Toc141249402"/>
      <w:bookmarkStart w:id="375" w:name="_Toc141249416"/>
      <w:bookmarkStart w:id="376" w:name="_Toc141249430"/>
      <w:bookmarkStart w:id="377" w:name="_Toc141249444"/>
      <w:bookmarkStart w:id="378" w:name="_Toc141249458"/>
      <w:bookmarkStart w:id="379" w:name="_Toc141249472"/>
      <w:bookmarkStart w:id="380" w:name="_Toc141249486"/>
      <w:bookmarkStart w:id="381" w:name="_Toc141249500"/>
      <w:bookmarkStart w:id="382" w:name="_Toc141249694"/>
      <w:bookmarkStart w:id="383" w:name="_Toc141249707"/>
      <w:bookmarkStart w:id="384" w:name="_Toc221598028"/>
      <w:r w:rsidRPr="00B47352">
        <w:rPr>
          <w:b/>
          <w:highlight w:val="darkGray"/>
        </w:rPr>
        <w:t>Priorisierung der Empfehlungen der EFK</w:t>
      </w:r>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r w:rsidRPr="00B47352">
        <w:rPr>
          <w:b/>
          <w:highlight w:val="darkGray"/>
        </w:rPr>
        <w:t>:</w:t>
      </w:r>
    </w:p>
    <w:p w14:paraId="7A521A42" w14:textId="77777777" w:rsidR="002820F0" w:rsidRDefault="00352509" w:rsidP="00666A3A">
      <w:pPr>
        <w:spacing w:before="120"/>
      </w:pPr>
      <w:r w:rsidRPr="00B47352">
        <w:rPr>
          <w:highlight w:val="darkGray"/>
        </w:rPr>
        <w:t>Aus der Sicht des Prüfauftrages beurteilt die EFK die Wesentlichkeit der Empfehlungen und Bemerkungen nach Prioritäten (1 = hoch, 2 = mittel, 3 = klein). Sowohl der Faktor Risiko [z.B. Höhe der finanziellen Auswirkung bzw. Bedeutung der Feststellung; Wahrscheinlichkeit eines Schadeneintrittes; Häufigkeit des Mangels (Einzelfall, mehrere Fälle, generell) und Wiederholungen; usw.], als auch der Faktor Dringlichkeit der Umsetzung (kurzfristig, mittelfristig, langfristig) werden berücksichtigt.</w:t>
      </w:r>
    </w:p>
    <w:sectPr w:rsidR="002820F0" w:rsidSect="00631CAB">
      <w:headerReference w:type="even" r:id="rId17"/>
      <w:headerReference w:type="default" r:id="rId18"/>
      <w:footerReference w:type="default" r:id="rId19"/>
      <w:headerReference w:type="first" r:id="rId20"/>
      <w:pgSz w:w="11906" w:h="16838" w:code="9"/>
      <w:pgMar w:top="2091" w:right="1558" w:bottom="1134" w:left="1843" w:header="709" w:footer="75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E9B1F" w14:textId="77777777" w:rsidR="00A3473D" w:rsidRDefault="00A3473D">
      <w:r>
        <w:separator/>
      </w:r>
    </w:p>
  </w:endnote>
  <w:endnote w:type="continuationSeparator" w:id="0">
    <w:p w14:paraId="2CDCDFE3" w14:textId="77777777" w:rsidR="00A3473D" w:rsidRDefault="00A347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EYInterstate">
    <w:altName w:val="EYInterstate"/>
    <w:panose1 w:val="00000000000000000000"/>
    <w:charset w:val="00"/>
    <w:family w:val="swiss"/>
    <w:notTrueType/>
    <w:pitch w:val="default"/>
    <w:sig w:usb0="00000003" w:usb1="00000000" w:usb2="00000000" w:usb3="00000000" w:csb0="00000001" w:csb1="00000000"/>
  </w:font>
  <w:font w:name="Frutiger-Roman">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796F5" w14:textId="77777777" w:rsidR="00A3473D" w:rsidRPr="001F77F1" w:rsidRDefault="00CE1617" w:rsidP="00A339E5">
    <w:fldSimple w:instr=" FILENAME   \* MERGEFORMAT ">
      <w:r w:rsidR="00FB4B41">
        <w:rPr>
          <w:noProof/>
        </w:rPr>
        <w:t>12406BE_AL-Sanierung.docx</w:t>
      </w:r>
    </w:fldSimple>
    <w:r w:rsidR="00A3473D" w:rsidRPr="001F77F1">
      <w:tab/>
    </w:r>
    <w:r w:rsidR="00A3473D">
      <w:fldChar w:fldCharType="begin"/>
    </w:r>
    <w:r w:rsidR="00A3473D">
      <w:instrText xml:space="preserve"> PAGE  \* MERGEFORMAT </w:instrText>
    </w:r>
    <w:r w:rsidR="00A3473D">
      <w:fldChar w:fldCharType="separate"/>
    </w:r>
    <w:r w:rsidR="00A3473D">
      <w:rPr>
        <w:noProof/>
      </w:rPr>
      <w:t>2</w:t>
    </w:r>
    <w:r w:rsidR="00A3473D">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8C998" w14:textId="77777777" w:rsidR="00A3473D" w:rsidRPr="00A13F5D" w:rsidRDefault="00A3473D" w:rsidP="00AC711C">
    <w:pPr>
      <w:pStyle w:val="Fuzeile"/>
      <w:rPr>
        <w:sz w:val="16"/>
        <w:szCs w:val="16"/>
      </w:rPr>
    </w:pPr>
    <w:r w:rsidRPr="00A13F5D">
      <w:rPr>
        <w:sz w:val="16"/>
        <w:szCs w:val="16"/>
      </w:rPr>
      <w:tab/>
    </w:r>
    <w:r w:rsidRPr="00A13F5D">
      <w:rPr>
        <w:sz w:val="16"/>
        <w:szCs w:val="16"/>
      </w:rPr>
      <w:tab/>
    </w:r>
    <w:r w:rsidRPr="00A13F5D">
      <w:rPr>
        <w:sz w:val="16"/>
        <w:szCs w:val="16"/>
      </w:rPr>
      <w:fldChar w:fldCharType="begin"/>
    </w:r>
    <w:r w:rsidRPr="00A13F5D">
      <w:rPr>
        <w:sz w:val="16"/>
        <w:szCs w:val="16"/>
      </w:rPr>
      <w:instrText xml:space="preserve"> PAGE    \* MERGEFORMAT </w:instrText>
    </w:r>
    <w:r w:rsidRPr="00A13F5D">
      <w:rPr>
        <w:sz w:val="16"/>
        <w:szCs w:val="16"/>
      </w:rPr>
      <w:fldChar w:fldCharType="separate"/>
    </w:r>
    <w:r w:rsidR="009E625A">
      <w:rPr>
        <w:noProof/>
        <w:sz w:val="16"/>
        <w:szCs w:val="16"/>
      </w:rPr>
      <w:t>6</w:t>
    </w:r>
    <w:r w:rsidRPr="00A13F5D">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45A05" w14:textId="77777777" w:rsidR="00A3473D" w:rsidRDefault="00A3473D">
      <w:r>
        <w:separator/>
      </w:r>
    </w:p>
  </w:footnote>
  <w:footnote w:type="continuationSeparator" w:id="0">
    <w:p w14:paraId="1D3DCEC7" w14:textId="77777777" w:rsidR="00A3473D" w:rsidRDefault="00A3473D">
      <w:r>
        <w:continuationSeparator/>
      </w:r>
    </w:p>
  </w:footnote>
  <w:footnote w:id="1">
    <w:p w14:paraId="38F67577" w14:textId="77777777" w:rsidR="00A3473D" w:rsidRPr="00DB5EAA" w:rsidRDefault="00A3473D">
      <w:pPr>
        <w:pStyle w:val="Funotentext"/>
        <w:rPr>
          <w:sz w:val="16"/>
          <w:szCs w:val="16"/>
        </w:rPr>
      </w:pPr>
      <w:r w:rsidRPr="00DB5EAA">
        <w:rPr>
          <w:rStyle w:val="Funotenzeichen"/>
          <w:sz w:val="16"/>
          <w:szCs w:val="16"/>
        </w:rPr>
        <w:footnoteRef/>
      </w:r>
      <w:r w:rsidRPr="00DB5EAA">
        <w:rPr>
          <w:sz w:val="16"/>
          <w:szCs w:val="16"/>
        </w:rPr>
        <w:t xml:space="preserve"> </w:t>
      </w:r>
      <w:r>
        <w:rPr>
          <w:sz w:val="16"/>
          <w:szCs w:val="16"/>
        </w:rPr>
        <w:t>c</w:t>
      </w:r>
      <w:r w:rsidRPr="00DB5EAA">
        <w:rPr>
          <w:sz w:val="16"/>
          <w:szCs w:val="16"/>
        </w:rPr>
        <w:t>hlorierte Kohlenwasserstoffe</w:t>
      </w:r>
    </w:p>
  </w:footnote>
  <w:footnote w:id="2">
    <w:p w14:paraId="620525E1" w14:textId="77777777" w:rsidR="00A3473D" w:rsidRPr="00663F73" w:rsidRDefault="00A3473D">
      <w:pPr>
        <w:pStyle w:val="Funotentext"/>
        <w:rPr>
          <w:sz w:val="16"/>
          <w:szCs w:val="16"/>
        </w:rPr>
      </w:pPr>
      <w:r>
        <w:rPr>
          <w:rStyle w:val="Funotenzeichen"/>
        </w:rPr>
        <w:footnoteRef/>
      </w:r>
      <w:r>
        <w:t xml:space="preserve"> </w:t>
      </w:r>
      <w:r w:rsidRPr="00663F73">
        <w:rPr>
          <w:sz w:val="16"/>
          <w:szCs w:val="16"/>
        </w:rPr>
        <w:t>Nach dem Brand von Magnesiumspänen im Deponiebereich der Manipulationshalle vom 26.6.2008 musste der Rückbau zeitweise eingestellt werden.</w:t>
      </w:r>
    </w:p>
  </w:footnote>
  <w:footnote w:id="3">
    <w:p w14:paraId="7A8B05CC" w14:textId="77777777" w:rsidR="00A3473D" w:rsidRDefault="00A3473D">
      <w:pPr>
        <w:pStyle w:val="Funotentext"/>
      </w:pPr>
      <w:r>
        <w:rPr>
          <w:rStyle w:val="Funotenzeichen"/>
        </w:rPr>
        <w:footnoteRef/>
      </w:r>
      <w:r w:rsidRPr="00A24E0E">
        <w:rPr>
          <w:sz w:val="16"/>
          <w:szCs w:val="16"/>
        </w:rPr>
        <w:t xml:space="preserve"> </w:t>
      </w:r>
      <w:r>
        <w:rPr>
          <w:sz w:val="16"/>
          <w:szCs w:val="16"/>
        </w:rPr>
        <w:t xml:space="preserve">Gutachterliche Stellungnahme: Fachlich-wissenschaftliche Unterstützung des BAFU bei der Beurteilung des Nachtragsgesuchs zur Zusicherung von VASA-Mitteln für die Sanierung der Sondermülldeponie Kölliken vom Juni 2012 der LFA (Lehr- und Forschungsgebiet Abfallwirtschaft) der RWTH Aachen University; </w:t>
      </w:r>
      <w:r>
        <w:rPr>
          <w:sz w:val="16"/>
          <w:szCs w:val="16"/>
        </w:rPr>
        <w:br/>
        <w:t xml:space="preserve">Gutachter: Universitätsprofessor Dr.-Ing. Peter Doetsch, Dipl.-Ing. </w:t>
      </w:r>
      <w:proofErr w:type="spellStart"/>
      <w:r>
        <w:rPr>
          <w:sz w:val="16"/>
          <w:szCs w:val="16"/>
        </w:rPr>
        <w:t>Heio</w:t>
      </w:r>
      <w:proofErr w:type="spellEnd"/>
      <w:r>
        <w:rPr>
          <w:sz w:val="16"/>
          <w:szCs w:val="16"/>
        </w:rPr>
        <w:t xml:space="preserve"> van Norden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01057" w14:textId="77777777" w:rsidR="00A3473D" w:rsidRDefault="00A3473D" w:rsidP="00E672C2">
    <w:r w:rsidRPr="00EE2F8B">
      <w:rPr>
        <w:noProof/>
        <w:lang w:eastAsia="de-CH"/>
      </w:rPr>
      <w:drawing>
        <wp:inline distT="0" distB="0" distL="0" distR="0" wp14:anchorId="29313D78" wp14:editId="610FF630">
          <wp:extent cx="5579745" cy="615761"/>
          <wp:effectExtent l="19050" t="0" r="1905" b="0"/>
          <wp:docPr id="2" name="Bild 2" descr="L:\Support\Betrieb\Vorlagen_Logo\Logos\2010\091209 dfie_pruefbericht.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Support\Betrieb\Vorlagen_Logo\Logos\2010\091209 dfie_pruefbericht.tif"/>
                  <pic:cNvPicPr>
                    <a:picLocks noChangeAspect="1" noChangeArrowheads="1"/>
                  </pic:cNvPicPr>
                </pic:nvPicPr>
                <pic:blipFill>
                  <a:blip r:embed="rId1" cstate="print"/>
                  <a:srcRect/>
                  <a:stretch>
                    <a:fillRect/>
                  </a:stretch>
                </pic:blipFill>
                <pic:spPr bwMode="auto">
                  <a:xfrm>
                    <a:off x="0" y="0"/>
                    <a:ext cx="5579745" cy="615761"/>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FCCC2" w14:textId="77777777" w:rsidR="00A3473D" w:rsidRDefault="00A3473D">
    <w:r w:rsidRPr="00614D2A">
      <w:rPr>
        <w:noProof/>
        <w:lang w:eastAsia="de-CH"/>
      </w:rPr>
      <w:drawing>
        <wp:inline distT="0" distB="0" distL="0" distR="0" wp14:anchorId="3C648839" wp14:editId="77CAC50D">
          <wp:extent cx="5579745" cy="615761"/>
          <wp:effectExtent l="19050" t="0" r="1905" b="0"/>
          <wp:docPr id="4" name="Bild 2" descr="L:\Support\Betrieb\Vorlagen_Logo\Logos\2010\091209 dfie_pruefbericht.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Support\Betrieb\Vorlagen_Logo\Logos\2010\091209 dfie_pruefbericht.tif"/>
                  <pic:cNvPicPr>
                    <a:picLocks noChangeAspect="1" noChangeArrowheads="1"/>
                  </pic:cNvPicPr>
                </pic:nvPicPr>
                <pic:blipFill>
                  <a:blip r:embed="rId1" cstate="print"/>
                  <a:srcRect/>
                  <a:stretch>
                    <a:fillRect/>
                  </a:stretch>
                </pic:blipFill>
                <pic:spPr bwMode="auto">
                  <a:xfrm>
                    <a:off x="0" y="0"/>
                    <a:ext cx="5579745" cy="615761"/>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0AF69" w14:textId="77777777" w:rsidR="00A3473D" w:rsidRDefault="00A3473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7AE2E" w14:textId="77777777" w:rsidR="00A3473D" w:rsidRPr="00E672C2" w:rsidRDefault="00A3473D" w:rsidP="00E672C2">
    <w:r w:rsidRPr="00E672C2">
      <w:t>EFK</w:t>
    </w:r>
    <w:r>
      <w:t>-</w:t>
    </w:r>
    <w:r w:rsidRPr="00E672C2">
      <w:t>Bericht Nr</w:t>
    </w:r>
    <w:r>
      <w:t xml:space="preserve">. </w:t>
    </w:r>
    <w:sdt>
      <w:sdtPr>
        <w:alias w:val="Berichtsnummer"/>
        <w:tag w:val="BNUM"/>
        <w:id w:val="25597857"/>
        <w:lock w:val="sdtLocked"/>
        <w:placeholder>
          <w:docPart w:val="A06DE46687DF442792C88003598942BD"/>
        </w:placeholder>
      </w:sdtPr>
      <w:sdtEndPr/>
      <w:sdtContent>
        <w:r>
          <w:t>1.12406.810.00297.03</w:t>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15ADF" w14:textId="77777777" w:rsidR="00A3473D" w:rsidRDefault="00A347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4EA2"/>
    <w:multiLevelType w:val="multilevel"/>
    <w:tmpl w:val="FD2405E2"/>
    <w:lvl w:ilvl="0">
      <w:start w:val="1"/>
      <w:numFmt w:val="decimal"/>
      <w:pStyle w:val="Anhangn"/>
      <w:lvlText w:val="Anhang %1:"/>
      <w:lvlJc w:val="left"/>
      <w:pPr>
        <w:ind w:left="1211" w:hanging="360"/>
      </w:pPr>
      <w:rPr>
        <w:rFonts w:ascii="Arial Black" w:hAnsi="Arial Black" w:hint="default"/>
        <w:color w:val="auto"/>
        <w:sz w:val="22"/>
      </w:rPr>
    </w:lvl>
    <w:lvl w:ilvl="1">
      <w:start w:val="1"/>
      <w:numFmt w:val="decimalZero"/>
      <w:isLgl/>
      <w:lvlText w:val="Abschnitt %1.%2"/>
      <w:lvlJc w:val="left"/>
      <w:pPr>
        <w:ind w:left="851" w:firstLine="0"/>
      </w:pPr>
    </w:lvl>
    <w:lvl w:ilvl="2">
      <w:start w:val="1"/>
      <w:numFmt w:val="lowerLetter"/>
      <w:lvlText w:val="(%3)"/>
      <w:lvlJc w:val="left"/>
      <w:pPr>
        <w:ind w:left="1571" w:hanging="432"/>
      </w:pPr>
    </w:lvl>
    <w:lvl w:ilvl="3">
      <w:start w:val="1"/>
      <w:numFmt w:val="lowerRoman"/>
      <w:lvlText w:val="(%4)"/>
      <w:lvlJc w:val="right"/>
      <w:pPr>
        <w:ind w:left="1715" w:hanging="144"/>
      </w:pPr>
    </w:lvl>
    <w:lvl w:ilvl="4">
      <w:start w:val="1"/>
      <w:numFmt w:val="decimal"/>
      <w:lvlText w:val="%5)"/>
      <w:lvlJc w:val="left"/>
      <w:pPr>
        <w:ind w:left="1859" w:hanging="432"/>
      </w:pPr>
    </w:lvl>
    <w:lvl w:ilvl="5">
      <w:start w:val="1"/>
      <w:numFmt w:val="lowerLetter"/>
      <w:lvlText w:val="%6)"/>
      <w:lvlJc w:val="left"/>
      <w:pPr>
        <w:ind w:left="2003" w:hanging="432"/>
      </w:pPr>
    </w:lvl>
    <w:lvl w:ilvl="6">
      <w:start w:val="1"/>
      <w:numFmt w:val="lowerRoman"/>
      <w:lvlText w:val="%7)"/>
      <w:lvlJc w:val="right"/>
      <w:pPr>
        <w:ind w:left="2147" w:hanging="288"/>
      </w:pPr>
    </w:lvl>
    <w:lvl w:ilvl="7">
      <w:start w:val="1"/>
      <w:numFmt w:val="lowerLetter"/>
      <w:lvlText w:val="%8."/>
      <w:lvlJc w:val="left"/>
      <w:pPr>
        <w:ind w:left="2291" w:hanging="432"/>
      </w:pPr>
    </w:lvl>
    <w:lvl w:ilvl="8">
      <w:start w:val="1"/>
      <w:numFmt w:val="lowerRoman"/>
      <w:lvlText w:val="%9."/>
      <w:lvlJc w:val="right"/>
      <w:pPr>
        <w:ind w:left="2435" w:hanging="144"/>
      </w:pPr>
    </w:lvl>
  </w:abstractNum>
  <w:abstractNum w:abstractNumId="1" w15:restartNumberingAfterBreak="0">
    <w:nsid w:val="03452229"/>
    <w:multiLevelType w:val="multilevel"/>
    <w:tmpl w:val="08070005"/>
    <w:styleLink w:val="AufgezhltWingdings"/>
    <w:lvl w:ilvl="0">
      <w:start w:val="1"/>
      <w:numFmt w:val="bullet"/>
      <w:lvlText w:val=""/>
      <w:lvlJc w:val="left"/>
      <w:pPr>
        <w:ind w:left="720" w:hanging="360"/>
      </w:pPr>
      <w:rPr>
        <w:rFonts w:ascii="Wingdings" w:hAnsi="Wingdings"/>
        <w:color w:val="00B050"/>
        <w:sz w:val="3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BD15C9A"/>
    <w:multiLevelType w:val="hybridMultilevel"/>
    <w:tmpl w:val="4F667F42"/>
    <w:lvl w:ilvl="0" w:tplc="08070001">
      <w:start w:val="1"/>
      <w:numFmt w:val="bullet"/>
      <w:lvlText w:val=""/>
      <w:lvlJc w:val="left"/>
      <w:pPr>
        <w:ind w:left="360" w:hanging="360"/>
      </w:pPr>
      <w:rPr>
        <w:rFonts w:ascii="Symbol" w:hAnsi="Symbol"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 w15:restartNumberingAfterBreak="0">
    <w:nsid w:val="233E4564"/>
    <w:multiLevelType w:val="hybridMultilevel"/>
    <w:tmpl w:val="97DEB98C"/>
    <w:lvl w:ilvl="0" w:tplc="0FA238F4">
      <w:start w:val="1"/>
      <w:numFmt w:val="bullet"/>
      <w:pStyle w:val="Auf-Zhlung"/>
      <w:lvlText w:val=""/>
      <w:lvlJc w:val="left"/>
      <w:pPr>
        <w:ind w:left="360" w:hanging="360"/>
      </w:pPr>
      <w:rPr>
        <w:rFonts w:ascii="Wingdings" w:hAnsi="Wingdings" w:hint="default"/>
        <w:sz w:val="30"/>
        <w:u w:color="7030A0"/>
      </w:rPr>
    </w:lvl>
    <w:lvl w:ilvl="1" w:tplc="61DCB046" w:tentative="1">
      <w:start w:val="1"/>
      <w:numFmt w:val="bullet"/>
      <w:lvlText w:val="o"/>
      <w:lvlJc w:val="left"/>
      <w:pPr>
        <w:ind w:left="1440" w:hanging="360"/>
      </w:pPr>
      <w:rPr>
        <w:rFonts w:ascii="Courier New" w:hAnsi="Courier New" w:cs="Courier New" w:hint="default"/>
      </w:rPr>
    </w:lvl>
    <w:lvl w:ilvl="2" w:tplc="FC12F31A" w:tentative="1">
      <w:start w:val="1"/>
      <w:numFmt w:val="bullet"/>
      <w:lvlText w:val=""/>
      <w:lvlJc w:val="left"/>
      <w:pPr>
        <w:ind w:left="2160" w:hanging="360"/>
      </w:pPr>
      <w:rPr>
        <w:rFonts w:ascii="Wingdings" w:hAnsi="Wingdings" w:hint="default"/>
      </w:rPr>
    </w:lvl>
    <w:lvl w:ilvl="3" w:tplc="F738CED6" w:tentative="1">
      <w:start w:val="1"/>
      <w:numFmt w:val="bullet"/>
      <w:lvlText w:val=""/>
      <w:lvlJc w:val="left"/>
      <w:pPr>
        <w:ind w:left="2880" w:hanging="360"/>
      </w:pPr>
      <w:rPr>
        <w:rFonts w:ascii="Symbol" w:hAnsi="Symbol" w:hint="default"/>
      </w:rPr>
    </w:lvl>
    <w:lvl w:ilvl="4" w:tplc="9F9A677C" w:tentative="1">
      <w:start w:val="1"/>
      <w:numFmt w:val="bullet"/>
      <w:lvlText w:val="o"/>
      <w:lvlJc w:val="left"/>
      <w:pPr>
        <w:ind w:left="3600" w:hanging="360"/>
      </w:pPr>
      <w:rPr>
        <w:rFonts w:ascii="Courier New" w:hAnsi="Courier New" w:cs="Courier New" w:hint="default"/>
      </w:rPr>
    </w:lvl>
    <w:lvl w:ilvl="5" w:tplc="8490FFC6" w:tentative="1">
      <w:start w:val="1"/>
      <w:numFmt w:val="bullet"/>
      <w:lvlText w:val=""/>
      <w:lvlJc w:val="left"/>
      <w:pPr>
        <w:ind w:left="4320" w:hanging="360"/>
      </w:pPr>
      <w:rPr>
        <w:rFonts w:ascii="Wingdings" w:hAnsi="Wingdings" w:hint="default"/>
      </w:rPr>
    </w:lvl>
    <w:lvl w:ilvl="6" w:tplc="FE0C9BFA" w:tentative="1">
      <w:start w:val="1"/>
      <w:numFmt w:val="bullet"/>
      <w:lvlText w:val=""/>
      <w:lvlJc w:val="left"/>
      <w:pPr>
        <w:ind w:left="5040" w:hanging="360"/>
      </w:pPr>
      <w:rPr>
        <w:rFonts w:ascii="Symbol" w:hAnsi="Symbol" w:hint="default"/>
      </w:rPr>
    </w:lvl>
    <w:lvl w:ilvl="7" w:tplc="4DC6F852" w:tentative="1">
      <w:start w:val="1"/>
      <w:numFmt w:val="bullet"/>
      <w:lvlText w:val="o"/>
      <w:lvlJc w:val="left"/>
      <w:pPr>
        <w:ind w:left="5760" w:hanging="360"/>
      </w:pPr>
      <w:rPr>
        <w:rFonts w:ascii="Courier New" w:hAnsi="Courier New" w:cs="Courier New" w:hint="default"/>
      </w:rPr>
    </w:lvl>
    <w:lvl w:ilvl="8" w:tplc="1A628194" w:tentative="1">
      <w:start w:val="1"/>
      <w:numFmt w:val="bullet"/>
      <w:lvlText w:val=""/>
      <w:lvlJc w:val="left"/>
      <w:pPr>
        <w:ind w:left="6480" w:hanging="360"/>
      </w:pPr>
      <w:rPr>
        <w:rFonts w:ascii="Wingdings" w:hAnsi="Wingdings" w:hint="default"/>
      </w:rPr>
    </w:lvl>
  </w:abstractNum>
  <w:abstractNum w:abstractNumId="4" w15:restartNumberingAfterBreak="0">
    <w:nsid w:val="25F14407"/>
    <w:multiLevelType w:val="multilevel"/>
    <w:tmpl w:val="D7C8C51A"/>
    <w:styleLink w:val="Aufgezhlt"/>
    <w:lvl w:ilvl="0">
      <w:start w:val="1"/>
      <w:numFmt w:val="bullet"/>
      <w:lvlText w:val=""/>
      <w:lvlJc w:val="left"/>
      <w:pPr>
        <w:ind w:left="720" w:hanging="360"/>
      </w:pPr>
      <w:rPr>
        <w:rFonts w:ascii="Wingdings" w:hAnsi="Wingdings"/>
        <w:sz w:val="3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C153759"/>
    <w:multiLevelType w:val="hybridMultilevel"/>
    <w:tmpl w:val="22F69582"/>
    <w:lvl w:ilvl="0" w:tplc="C450A6A4">
      <w:start w:val="1"/>
      <w:numFmt w:val="bullet"/>
      <w:lvlText w:val="•"/>
      <w:lvlJc w:val="left"/>
      <w:pPr>
        <w:ind w:left="360" w:hanging="360"/>
      </w:pPr>
      <w:rPr>
        <w:rFonts w:ascii="Times New Roman" w:hAnsi="Times New Roman" w:hint="default"/>
      </w:rPr>
    </w:lvl>
    <w:lvl w:ilvl="1" w:tplc="4FB8DD00" w:tentative="1">
      <w:start w:val="1"/>
      <w:numFmt w:val="bullet"/>
      <w:lvlText w:val="o"/>
      <w:lvlJc w:val="left"/>
      <w:pPr>
        <w:ind w:left="1080" w:hanging="360"/>
      </w:pPr>
      <w:rPr>
        <w:rFonts w:ascii="Courier New" w:hAnsi="Courier New" w:cs="Courier New" w:hint="default"/>
      </w:rPr>
    </w:lvl>
    <w:lvl w:ilvl="2" w:tplc="FB00BE26" w:tentative="1">
      <w:start w:val="1"/>
      <w:numFmt w:val="bullet"/>
      <w:lvlText w:val=""/>
      <w:lvlJc w:val="left"/>
      <w:pPr>
        <w:ind w:left="1800" w:hanging="360"/>
      </w:pPr>
      <w:rPr>
        <w:rFonts w:ascii="Wingdings" w:hAnsi="Wingdings" w:hint="default"/>
      </w:rPr>
    </w:lvl>
    <w:lvl w:ilvl="3" w:tplc="64D49F26" w:tentative="1">
      <w:start w:val="1"/>
      <w:numFmt w:val="bullet"/>
      <w:lvlText w:val=""/>
      <w:lvlJc w:val="left"/>
      <w:pPr>
        <w:ind w:left="2520" w:hanging="360"/>
      </w:pPr>
      <w:rPr>
        <w:rFonts w:ascii="Symbol" w:hAnsi="Symbol" w:hint="default"/>
      </w:rPr>
    </w:lvl>
    <w:lvl w:ilvl="4" w:tplc="07DE2FFE" w:tentative="1">
      <w:start w:val="1"/>
      <w:numFmt w:val="bullet"/>
      <w:lvlText w:val="o"/>
      <w:lvlJc w:val="left"/>
      <w:pPr>
        <w:ind w:left="3240" w:hanging="360"/>
      </w:pPr>
      <w:rPr>
        <w:rFonts w:ascii="Courier New" w:hAnsi="Courier New" w:cs="Courier New" w:hint="default"/>
      </w:rPr>
    </w:lvl>
    <w:lvl w:ilvl="5" w:tplc="6FF441E2" w:tentative="1">
      <w:start w:val="1"/>
      <w:numFmt w:val="bullet"/>
      <w:lvlText w:val=""/>
      <w:lvlJc w:val="left"/>
      <w:pPr>
        <w:ind w:left="3960" w:hanging="360"/>
      </w:pPr>
      <w:rPr>
        <w:rFonts w:ascii="Wingdings" w:hAnsi="Wingdings" w:hint="default"/>
      </w:rPr>
    </w:lvl>
    <w:lvl w:ilvl="6" w:tplc="DDF4619C" w:tentative="1">
      <w:start w:val="1"/>
      <w:numFmt w:val="bullet"/>
      <w:lvlText w:val=""/>
      <w:lvlJc w:val="left"/>
      <w:pPr>
        <w:ind w:left="4680" w:hanging="360"/>
      </w:pPr>
      <w:rPr>
        <w:rFonts w:ascii="Symbol" w:hAnsi="Symbol" w:hint="default"/>
      </w:rPr>
    </w:lvl>
    <w:lvl w:ilvl="7" w:tplc="22069E60" w:tentative="1">
      <w:start w:val="1"/>
      <w:numFmt w:val="bullet"/>
      <w:lvlText w:val="o"/>
      <w:lvlJc w:val="left"/>
      <w:pPr>
        <w:ind w:left="5400" w:hanging="360"/>
      </w:pPr>
      <w:rPr>
        <w:rFonts w:ascii="Courier New" w:hAnsi="Courier New" w:cs="Courier New" w:hint="default"/>
      </w:rPr>
    </w:lvl>
    <w:lvl w:ilvl="8" w:tplc="3036FCCC" w:tentative="1">
      <w:start w:val="1"/>
      <w:numFmt w:val="bullet"/>
      <w:lvlText w:val=""/>
      <w:lvlJc w:val="left"/>
      <w:pPr>
        <w:ind w:left="6120" w:hanging="360"/>
      </w:pPr>
      <w:rPr>
        <w:rFonts w:ascii="Wingdings" w:hAnsi="Wingdings" w:hint="default"/>
      </w:rPr>
    </w:lvl>
  </w:abstractNum>
  <w:abstractNum w:abstractNumId="6" w15:restartNumberingAfterBreak="0">
    <w:nsid w:val="44814D1B"/>
    <w:multiLevelType w:val="multilevel"/>
    <w:tmpl w:val="BBA41620"/>
    <w:lvl w:ilvl="0">
      <w:start w:val="1"/>
      <w:numFmt w:val="decimal"/>
      <w:pStyle w:val="berschrift1"/>
      <w:lvlText w:val="%1"/>
      <w:lvlJc w:val="left"/>
      <w:pPr>
        <w:ind w:left="6669"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7" w15:restartNumberingAfterBreak="0">
    <w:nsid w:val="47497079"/>
    <w:multiLevelType w:val="hybridMultilevel"/>
    <w:tmpl w:val="5A70FB66"/>
    <w:lvl w:ilvl="0" w:tplc="2BD01A88">
      <w:start w:val="1"/>
      <w:numFmt w:val="bullet"/>
      <w:pStyle w:val="Aufzhlungszeichen"/>
      <w:lvlText w:val=""/>
      <w:lvlJc w:val="left"/>
      <w:pPr>
        <w:tabs>
          <w:tab w:val="num" w:pos="360"/>
        </w:tabs>
        <w:ind w:left="284" w:hanging="284"/>
      </w:pPr>
      <w:rPr>
        <w:rFonts w:ascii="Wingdings" w:hAnsi="Wingdings" w:hint="default"/>
        <w:sz w:val="30"/>
        <w:szCs w:val="30"/>
      </w:rPr>
    </w:lvl>
    <w:lvl w:ilvl="1" w:tplc="46B287AE" w:tentative="1">
      <w:start w:val="1"/>
      <w:numFmt w:val="bullet"/>
      <w:lvlText w:val="o"/>
      <w:lvlJc w:val="left"/>
      <w:pPr>
        <w:tabs>
          <w:tab w:val="num" w:pos="1440"/>
        </w:tabs>
        <w:ind w:left="1440" w:hanging="360"/>
      </w:pPr>
      <w:rPr>
        <w:rFonts w:ascii="Courier New" w:hAnsi="Courier New" w:hint="default"/>
      </w:rPr>
    </w:lvl>
    <w:lvl w:ilvl="2" w:tplc="B4C0CCF6" w:tentative="1">
      <w:start w:val="1"/>
      <w:numFmt w:val="bullet"/>
      <w:lvlText w:val=""/>
      <w:lvlJc w:val="left"/>
      <w:pPr>
        <w:tabs>
          <w:tab w:val="num" w:pos="2160"/>
        </w:tabs>
        <w:ind w:left="2160" w:hanging="360"/>
      </w:pPr>
      <w:rPr>
        <w:rFonts w:ascii="Wingdings" w:hAnsi="Wingdings" w:hint="default"/>
      </w:rPr>
    </w:lvl>
    <w:lvl w:ilvl="3" w:tplc="83A27176" w:tentative="1">
      <w:start w:val="1"/>
      <w:numFmt w:val="bullet"/>
      <w:lvlText w:val=""/>
      <w:lvlJc w:val="left"/>
      <w:pPr>
        <w:tabs>
          <w:tab w:val="num" w:pos="2880"/>
        </w:tabs>
        <w:ind w:left="2880" w:hanging="360"/>
      </w:pPr>
      <w:rPr>
        <w:rFonts w:ascii="Symbol" w:hAnsi="Symbol" w:hint="default"/>
      </w:rPr>
    </w:lvl>
    <w:lvl w:ilvl="4" w:tplc="2A7E78D0" w:tentative="1">
      <w:start w:val="1"/>
      <w:numFmt w:val="bullet"/>
      <w:lvlText w:val="o"/>
      <w:lvlJc w:val="left"/>
      <w:pPr>
        <w:tabs>
          <w:tab w:val="num" w:pos="3600"/>
        </w:tabs>
        <w:ind w:left="3600" w:hanging="360"/>
      </w:pPr>
      <w:rPr>
        <w:rFonts w:ascii="Courier New" w:hAnsi="Courier New" w:hint="default"/>
      </w:rPr>
    </w:lvl>
    <w:lvl w:ilvl="5" w:tplc="6A1A0856" w:tentative="1">
      <w:start w:val="1"/>
      <w:numFmt w:val="bullet"/>
      <w:lvlText w:val=""/>
      <w:lvlJc w:val="left"/>
      <w:pPr>
        <w:tabs>
          <w:tab w:val="num" w:pos="4320"/>
        </w:tabs>
        <w:ind w:left="4320" w:hanging="360"/>
      </w:pPr>
      <w:rPr>
        <w:rFonts w:ascii="Wingdings" w:hAnsi="Wingdings" w:hint="default"/>
      </w:rPr>
    </w:lvl>
    <w:lvl w:ilvl="6" w:tplc="2C60E2D2" w:tentative="1">
      <w:start w:val="1"/>
      <w:numFmt w:val="bullet"/>
      <w:lvlText w:val=""/>
      <w:lvlJc w:val="left"/>
      <w:pPr>
        <w:tabs>
          <w:tab w:val="num" w:pos="5040"/>
        </w:tabs>
        <w:ind w:left="5040" w:hanging="360"/>
      </w:pPr>
      <w:rPr>
        <w:rFonts w:ascii="Symbol" w:hAnsi="Symbol" w:hint="default"/>
      </w:rPr>
    </w:lvl>
    <w:lvl w:ilvl="7" w:tplc="4B26553E" w:tentative="1">
      <w:start w:val="1"/>
      <w:numFmt w:val="bullet"/>
      <w:lvlText w:val="o"/>
      <w:lvlJc w:val="left"/>
      <w:pPr>
        <w:tabs>
          <w:tab w:val="num" w:pos="5760"/>
        </w:tabs>
        <w:ind w:left="5760" w:hanging="360"/>
      </w:pPr>
      <w:rPr>
        <w:rFonts w:ascii="Courier New" w:hAnsi="Courier New" w:hint="default"/>
      </w:rPr>
    </w:lvl>
    <w:lvl w:ilvl="8" w:tplc="AB6863B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E92021D"/>
    <w:multiLevelType w:val="hybridMultilevel"/>
    <w:tmpl w:val="6BC8625A"/>
    <w:lvl w:ilvl="0" w:tplc="208E5040">
      <w:start w:val="1"/>
      <w:numFmt w:val="bullet"/>
      <w:lvlText w:val="•"/>
      <w:lvlJc w:val="left"/>
      <w:pPr>
        <w:ind w:left="360" w:hanging="360"/>
      </w:pPr>
      <w:rPr>
        <w:rFonts w:ascii="Times New Roman" w:hAnsi="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541D206D"/>
    <w:multiLevelType w:val="hybridMultilevel"/>
    <w:tmpl w:val="568CBE9A"/>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0" w15:restartNumberingAfterBreak="0">
    <w:nsid w:val="56E1407C"/>
    <w:multiLevelType w:val="hybridMultilevel"/>
    <w:tmpl w:val="6F1AA1A2"/>
    <w:lvl w:ilvl="0" w:tplc="3F527786">
      <w:start w:val="1"/>
      <w:numFmt w:val="decimal"/>
      <w:pStyle w:val="Empfehlung-n"/>
      <w:lvlText w:val="Empfehlung %1 (Priorität 1):"/>
      <w:lvlJc w:val="left"/>
      <w:pPr>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70003" w:tentative="1">
      <w:start w:val="1"/>
      <w:numFmt w:val="lowerLetter"/>
      <w:lvlText w:val="%2."/>
      <w:lvlJc w:val="left"/>
      <w:pPr>
        <w:ind w:left="1080" w:hanging="360"/>
      </w:pPr>
    </w:lvl>
    <w:lvl w:ilvl="2" w:tplc="04070005" w:tentative="1">
      <w:start w:val="1"/>
      <w:numFmt w:val="lowerRoman"/>
      <w:lvlText w:val="%3."/>
      <w:lvlJc w:val="right"/>
      <w:pPr>
        <w:ind w:left="1800" w:hanging="180"/>
      </w:pPr>
    </w:lvl>
    <w:lvl w:ilvl="3" w:tplc="04070001" w:tentative="1">
      <w:start w:val="1"/>
      <w:numFmt w:val="decimal"/>
      <w:lvlText w:val="%4."/>
      <w:lvlJc w:val="left"/>
      <w:pPr>
        <w:ind w:left="2520" w:hanging="360"/>
      </w:pPr>
    </w:lvl>
    <w:lvl w:ilvl="4" w:tplc="04070003" w:tentative="1">
      <w:start w:val="1"/>
      <w:numFmt w:val="lowerLetter"/>
      <w:lvlText w:val="%5."/>
      <w:lvlJc w:val="left"/>
      <w:pPr>
        <w:ind w:left="3240" w:hanging="360"/>
      </w:pPr>
    </w:lvl>
    <w:lvl w:ilvl="5" w:tplc="04070005" w:tentative="1">
      <w:start w:val="1"/>
      <w:numFmt w:val="lowerRoman"/>
      <w:lvlText w:val="%6."/>
      <w:lvlJc w:val="right"/>
      <w:pPr>
        <w:ind w:left="3960" w:hanging="180"/>
      </w:pPr>
    </w:lvl>
    <w:lvl w:ilvl="6" w:tplc="04070001" w:tentative="1">
      <w:start w:val="1"/>
      <w:numFmt w:val="decimal"/>
      <w:lvlText w:val="%7."/>
      <w:lvlJc w:val="left"/>
      <w:pPr>
        <w:ind w:left="4680" w:hanging="360"/>
      </w:pPr>
    </w:lvl>
    <w:lvl w:ilvl="7" w:tplc="04070003" w:tentative="1">
      <w:start w:val="1"/>
      <w:numFmt w:val="lowerLetter"/>
      <w:lvlText w:val="%8."/>
      <w:lvlJc w:val="left"/>
      <w:pPr>
        <w:ind w:left="5400" w:hanging="360"/>
      </w:pPr>
    </w:lvl>
    <w:lvl w:ilvl="8" w:tplc="04070005" w:tentative="1">
      <w:start w:val="1"/>
      <w:numFmt w:val="lowerRoman"/>
      <w:lvlText w:val="%9."/>
      <w:lvlJc w:val="right"/>
      <w:pPr>
        <w:ind w:left="6120" w:hanging="180"/>
      </w:pPr>
    </w:lvl>
  </w:abstractNum>
  <w:abstractNum w:abstractNumId="11" w15:restartNumberingAfterBreak="0">
    <w:nsid w:val="6E5B5D4A"/>
    <w:multiLevelType w:val="hybridMultilevel"/>
    <w:tmpl w:val="35406438"/>
    <w:lvl w:ilvl="0" w:tplc="C196172A">
      <w:start w:val="1"/>
      <w:numFmt w:val="bullet"/>
      <w:lvlText w:val=""/>
      <w:lvlJc w:val="left"/>
      <w:pPr>
        <w:ind w:left="720" w:hanging="360"/>
      </w:pPr>
      <w:rPr>
        <w:rFonts w:ascii="Wingdings" w:hAnsi="Wingdings" w:hint="default"/>
      </w:rPr>
    </w:lvl>
    <w:lvl w:ilvl="1" w:tplc="08070019" w:tentative="1">
      <w:start w:val="1"/>
      <w:numFmt w:val="bullet"/>
      <w:lvlText w:val="o"/>
      <w:lvlJc w:val="left"/>
      <w:pPr>
        <w:ind w:left="1440" w:hanging="360"/>
      </w:pPr>
      <w:rPr>
        <w:rFonts w:ascii="Courier New" w:hAnsi="Courier New" w:cs="Courier New" w:hint="default"/>
      </w:rPr>
    </w:lvl>
    <w:lvl w:ilvl="2" w:tplc="0807001B" w:tentative="1">
      <w:start w:val="1"/>
      <w:numFmt w:val="bullet"/>
      <w:lvlText w:val=""/>
      <w:lvlJc w:val="left"/>
      <w:pPr>
        <w:ind w:left="2160" w:hanging="360"/>
      </w:pPr>
      <w:rPr>
        <w:rFonts w:ascii="Wingdings" w:hAnsi="Wingdings" w:hint="default"/>
      </w:rPr>
    </w:lvl>
    <w:lvl w:ilvl="3" w:tplc="0807000F" w:tentative="1">
      <w:start w:val="1"/>
      <w:numFmt w:val="bullet"/>
      <w:lvlText w:val=""/>
      <w:lvlJc w:val="left"/>
      <w:pPr>
        <w:ind w:left="2880" w:hanging="360"/>
      </w:pPr>
      <w:rPr>
        <w:rFonts w:ascii="Symbol" w:hAnsi="Symbol" w:hint="default"/>
      </w:rPr>
    </w:lvl>
    <w:lvl w:ilvl="4" w:tplc="08070019" w:tentative="1">
      <w:start w:val="1"/>
      <w:numFmt w:val="bullet"/>
      <w:lvlText w:val="o"/>
      <w:lvlJc w:val="left"/>
      <w:pPr>
        <w:ind w:left="3600" w:hanging="360"/>
      </w:pPr>
      <w:rPr>
        <w:rFonts w:ascii="Courier New" w:hAnsi="Courier New" w:cs="Courier New" w:hint="default"/>
      </w:rPr>
    </w:lvl>
    <w:lvl w:ilvl="5" w:tplc="0807001B" w:tentative="1">
      <w:start w:val="1"/>
      <w:numFmt w:val="bullet"/>
      <w:lvlText w:val=""/>
      <w:lvlJc w:val="left"/>
      <w:pPr>
        <w:ind w:left="4320" w:hanging="360"/>
      </w:pPr>
      <w:rPr>
        <w:rFonts w:ascii="Wingdings" w:hAnsi="Wingdings" w:hint="default"/>
      </w:rPr>
    </w:lvl>
    <w:lvl w:ilvl="6" w:tplc="0807000F" w:tentative="1">
      <w:start w:val="1"/>
      <w:numFmt w:val="bullet"/>
      <w:lvlText w:val=""/>
      <w:lvlJc w:val="left"/>
      <w:pPr>
        <w:ind w:left="5040" w:hanging="360"/>
      </w:pPr>
      <w:rPr>
        <w:rFonts w:ascii="Symbol" w:hAnsi="Symbol" w:hint="default"/>
      </w:rPr>
    </w:lvl>
    <w:lvl w:ilvl="7" w:tplc="08070019" w:tentative="1">
      <w:start w:val="1"/>
      <w:numFmt w:val="bullet"/>
      <w:lvlText w:val="o"/>
      <w:lvlJc w:val="left"/>
      <w:pPr>
        <w:ind w:left="5760" w:hanging="360"/>
      </w:pPr>
      <w:rPr>
        <w:rFonts w:ascii="Courier New" w:hAnsi="Courier New" w:cs="Courier New" w:hint="default"/>
      </w:rPr>
    </w:lvl>
    <w:lvl w:ilvl="8" w:tplc="0807001B" w:tentative="1">
      <w:start w:val="1"/>
      <w:numFmt w:val="bullet"/>
      <w:lvlText w:val=""/>
      <w:lvlJc w:val="left"/>
      <w:pPr>
        <w:ind w:left="6480" w:hanging="360"/>
      </w:pPr>
      <w:rPr>
        <w:rFonts w:ascii="Wingdings" w:hAnsi="Wingdings" w:hint="default"/>
      </w:rPr>
    </w:lvl>
  </w:abstractNum>
  <w:abstractNum w:abstractNumId="12" w15:restartNumberingAfterBreak="0">
    <w:nsid w:val="6FF83EE7"/>
    <w:multiLevelType w:val="hybridMultilevel"/>
    <w:tmpl w:val="AFCCB080"/>
    <w:lvl w:ilvl="0" w:tplc="C450A6A4">
      <w:start w:val="1"/>
      <w:numFmt w:val="bullet"/>
      <w:lvlText w:val="•"/>
      <w:lvlJc w:val="left"/>
      <w:pPr>
        <w:ind w:left="720" w:hanging="360"/>
      </w:pPr>
      <w:rPr>
        <w:rFonts w:ascii="Times New Roman" w:hAnsi="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10"/>
  </w:num>
  <w:num w:numId="6">
    <w:abstractNumId w:val="6"/>
  </w:num>
  <w:num w:numId="7">
    <w:abstractNumId w:val="7"/>
  </w:num>
  <w:num w:numId="8">
    <w:abstractNumId w:val="11"/>
  </w:num>
  <w:num w:numId="9">
    <w:abstractNumId w:val="5"/>
  </w:num>
  <w:num w:numId="10">
    <w:abstractNumId w:val="8"/>
  </w:num>
  <w:num w:numId="11">
    <w:abstractNumId w:val="12"/>
  </w:num>
  <w:num w:numId="12">
    <w:abstractNumId w:val="2"/>
  </w:num>
  <w:num w:numId="13">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activeWritingStyle w:appName="MSWord" w:lang="de-CH" w:vendorID="64" w:dllVersion="6" w:nlCheck="1" w:checkStyle="0"/>
  <w:activeWritingStyle w:appName="MSWord" w:lang="de-DE" w:vendorID="64" w:dllVersion="6" w:nlCheck="1" w:checkStyle="1"/>
  <w:activeWritingStyle w:appName="MSWord" w:lang="en-US" w:vendorID="64" w:dllVersion="6" w:nlCheck="1" w:checkStyle="1"/>
  <w:activeWritingStyle w:appName="MSWord" w:lang="de-CH" w:vendorID="64" w:dllVersion="4096" w:nlCheck="1" w:checkStyle="0"/>
  <w:activeWritingStyle w:appName="MSWord" w:lang="de-DE" w:vendorID="64" w:dllVersion="4096" w:nlCheck="1" w:checkStyle="0"/>
  <w:proofState w:spelling="clean" w:grammar="clean"/>
  <w:stylePaneFormatFilter w:val="B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1"/>
  <w:defaultTabStop w:val="284"/>
  <w:autoHyphenation/>
  <w:hyphenationZone w:val="425"/>
  <w:drawingGridHorizontalSpacing w:val="284"/>
  <w:drawingGridVerticalSpacing w:val="284"/>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8F0"/>
    <w:rsid w:val="00001358"/>
    <w:rsid w:val="00003988"/>
    <w:rsid w:val="000052BB"/>
    <w:rsid w:val="00006C11"/>
    <w:rsid w:val="00011990"/>
    <w:rsid w:val="00012582"/>
    <w:rsid w:val="00012758"/>
    <w:rsid w:val="0001287B"/>
    <w:rsid w:val="00012D72"/>
    <w:rsid w:val="000149AA"/>
    <w:rsid w:val="00014D5E"/>
    <w:rsid w:val="00020680"/>
    <w:rsid w:val="00021420"/>
    <w:rsid w:val="00021E83"/>
    <w:rsid w:val="00022544"/>
    <w:rsid w:val="00022DDD"/>
    <w:rsid w:val="00022FA2"/>
    <w:rsid w:val="00025804"/>
    <w:rsid w:val="00025A09"/>
    <w:rsid w:val="00025C86"/>
    <w:rsid w:val="00026295"/>
    <w:rsid w:val="000271BC"/>
    <w:rsid w:val="00027B4A"/>
    <w:rsid w:val="00030E64"/>
    <w:rsid w:val="000323F5"/>
    <w:rsid w:val="00033603"/>
    <w:rsid w:val="0003414A"/>
    <w:rsid w:val="00034270"/>
    <w:rsid w:val="000416B6"/>
    <w:rsid w:val="00041855"/>
    <w:rsid w:val="00042A9A"/>
    <w:rsid w:val="000432C3"/>
    <w:rsid w:val="0004713F"/>
    <w:rsid w:val="0005126A"/>
    <w:rsid w:val="0005391C"/>
    <w:rsid w:val="00055574"/>
    <w:rsid w:val="00055664"/>
    <w:rsid w:val="00055CD2"/>
    <w:rsid w:val="00055D78"/>
    <w:rsid w:val="000568C4"/>
    <w:rsid w:val="00056CE7"/>
    <w:rsid w:val="000578F2"/>
    <w:rsid w:val="000600C7"/>
    <w:rsid w:val="00063A67"/>
    <w:rsid w:val="00067BE6"/>
    <w:rsid w:val="00071290"/>
    <w:rsid w:val="000739F9"/>
    <w:rsid w:val="00075159"/>
    <w:rsid w:val="00075B44"/>
    <w:rsid w:val="0007696D"/>
    <w:rsid w:val="000800CA"/>
    <w:rsid w:val="000809FE"/>
    <w:rsid w:val="000818C4"/>
    <w:rsid w:val="00082C73"/>
    <w:rsid w:val="000833C5"/>
    <w:rsid w:val="00083FA6"/>
    <w:rsid w:val="00084A23"/>
    <w:rsid w:val="000853DD"/>
    <w:rsid w:val="0008690B"/>
    <w:rsid w:val="00093363"/>
    <w:rsid w:val="00093717"/>
    <w:rsid w:val="00096649"/>
    <w:rsid w:val="000A03A8"/>
    <w:rsid w:val="000A30C1"/>
    <w:rsid w:val="000A36C8"/>
    <w:rsid w:val="000A6F22"/>
    <w:rsid w:val="000A72D3"/>
    <w:rsid w:val="000B100C"/>
    <w:rsid w:val="000B16B1"/>
    <w:rsid w:val="000B26BD"/>
    <w:rsid w:val="000B2F85"/>
    <w:rsid w:val="000B39DE"/>
    <w:rsid w:val="000B40C6"/>
    <w:rsid w:val="000B460D"/>
    <w:rsid w:val="000B49E3"/>
    <w:rsid w:val="000B5B2D"/>
    <w:rsid w:val="000C0199"/>
    <w:rsid w:val="000C0DF5"/>
    <w:rsid w:val="000C2AC6"/>
    <w:rsid w:val="000C2BDA"/>
    <w:rsid w:val="000C2C1A"/>
    <w:rsid w:val="000C2E00"/>
    <w:rsid w:val="000C31B3"/>
    <w:rsid w:val="000C3E2F"/>
    <w:rsid w:val="000C6FF7"/>
    <w:rsid w:val="000C79CA"/>
    <w:rsid w:val="000D1E01"/>
    <w:rsid w:val="000D2354"/>
    <w:rsid w:val="000D35A4"/>
    <w:rsid w:val="000D40F0"/>
    <w:rsid w:val="000D5394"/>
    <w:rsid w:val="000D7298"/>
    <w:rsid w:val="000E01F4"/>
    <w:rsid w:val="000E2D3C"/>
    <w:rsid w:val="000E4847"/>
    <w:rsid w:val="000E59A5"/>
    <w:rsid w:val="000E6CE2"/>
    <w:rsid w:val="000E7160"/>
    <w:rsid w:val="000E7990"/>
    <w:rsid w:val="000E7CEA"/>
    <w:rsid w:val="000F0252"/>
    <w:rsid w:val="000F07E2"/>
    <w:rsid w:val="000F1284"/>
    <w:rsid w:val="000F27C1"/>
    <w:rsid w:val="000F2C26"/>
    <w:rsid w:val="000F30F0"/>
    <w:rsid w:val="000F3E26"/>
    <w:rsid w:val="000F4464"/>
    <w:rsid w:val="000F4481"/>
    <w:rsid w:val="000F754A"/>
    <w:rsid w:val="001006DC"/>
    <w:rsid w:val="001019E6"/>
    <w:rsid w:val="001019E7"/>
    <w:rsid w:val="0010218D"/>
    <w:rsid w:val="00102330"/>
    <w:rsid w:val="00102D46"/>
    <w:rsid w:val="00105963"/>
    <w:rsid w:val="0010677E"/>
    <w:rsid w:val="0010736F"/>
    <w:rsid w:val="00107470"/>
    <w:rsid w:val="00110A86"/>
    <w:rsid w:val="0011535D"/>
    <w:rsid w:val="00115D4A"/>
    <w:rsid w:val="00117676"/>
    <w:rsid w:val="00121DA8"/>
    <w:rsid w:val="00122566"/>
    <w:rsid w:val="00124050"/>
    <w:rsid w:val="0012754C"/>
    <w:rsid w:val="00127C92"/>
    <w:rsid w:val="001320D3"/>
    <w:rsid w:val="00132D07"/>
    <w:rsid w:val="001356B9"/>
    <w:rsid w:val="00135A64"/>
    <w:rsid w:val="00136D21"/>
    <w:rsid w:val="00137E31"/>
    <w:rsid w:val="00141142"/>
    <w:rsid w:val="001416B1"/>
    <w:rsid w:val="00143A02"/>
    <w:rsid w:val="00143D7D"/>
    <w:rsid w:val="00144A37"/>
    <w:rsid w:val="00145F74"/>
    <w:rsid w:val="00146DC6"/>
    <w:rsid w:val="001476A5"/>
    <w:rsid w:val="00147E6F"/>
    <w:rsid w:val="00151F48"/>
    <w:rsid w:val="001525F0"/>
    <w:rsid w:val="00152852"/>
    <w:rsid w:val="00153617"/>
    <w:rsid w:val="00155724"/>
    <w:rsid w:val="0015629D"/>
    <w:rsid w:val="00156883"/>
    <w:rsid w:val="00160BD9"/>
    <w:rsid w:val="00163362"/>
    <w:rsid w:val="00164463"/>
    <w:rsid w:val="00165CCB"/>
    <w:rsid w:val="00166A66"/>
    <w:rsid w:val="00167EB6"/>
    <w:rsid w:val="00170BB1"/>
    <w:rsid w:val="00170C51"/>
    <w:rsid w:val="00171DCB"/>
    <w:rsid w:val="0017333A"/>
    <w:rsid w:val="0017591F"/>
    <w:rsid w:val="00175DB5"/>
    <w:rsid w:val="00175E30"/>
    <w:rsid w:val="0018445D"/>
    <w:rsid w:val="001855D7"/>
    <w:rsid w:val="0018646F"/>
    <w:rsid w:val="00187E00"/>
    <w:rsid w:val="001909CC"/>
    <w:rsid w:val="00190BC0"/>
    <w:rsid w:val="00191BF2"/>
    <w:rsid w:val="001939FB"/>
    <w:rsid w:val="00195BA7"/>
    <w:rsid w:val="00196258"/>
    <w:rsid w:val="001976C9"/>
    <w:rsid w:val="001A348C"/>
    <w:rsid w:val="001A41CC"/>
    <w:rsid w:val="001A4793"/>
    <w:rsid w:val="001A513D"/>
    <w:rsid w:val="001B088C"/>
    <w:rsid w:val="001B21CB"/>
    <w:rsid w:val="001B2B01"/>
    <w:rsid w:val="001B2CCB"/>
    <w:rsid w:val="001B3A19"/>
    <w:rsid w:val="001B4B54"/>
    <w:rsid w:val="001B5148"/>
    <w:rsid w:val="001B5BFD"/>
    <w:rsid w:val="001B6702"/>
    <w:rsid w:val="001C280C"/>
    <w:rsid w:val="001C3F22"/>
    <w:rsid w:val="001C4648"/>
    <w:rsid w:val="001C47B5"/>
    <w:rsid w:val="001C555D"/>
    <w:rsid w:val="001C5F84"/>
    <w:rsid w:val="001C660A"/>
    <w:rsid w:val="001C691F"/>
    <w:rsid w:val="001C6E70"/>
    <w:rsid w:val="001D1513"/>
    <w:rsid w:val="001D1A69"/>
    <w:rsid w:val="001D2193"/>
    <w:rsid w:val="001D240A"/>
    <w:rsid w:val="001D2469"/>
    <w:rsid w:val="001D40AA"/>
    <w:rsid w:val="001D4C56"/>
    <w:rsid w:val="001D5B0A"/>
    <w:rsid w:val="001D6001"/>
    <w:rsid w:val="001D7343"/>
    <w:rsid w:val="001E0A12"/>
    <w:rsid w:val="001E11AC"/>
    <w:rsid w:val="001E2312"/>
    <w:rsid w:val="001E2932"/>
    <w:rsid w:val="001E2E40"/>
    <w:rsid w:val="001E590C"/>
    <w:rsid w:val="001F34E9"/>
    <w:rsid w:val="001F4F37"/>
    <w:rsid w:val="001F5384"/>
    <w:rsid w:val="001F5606"/>
    <w:rsid w:val="001F56C7"/>
    <w:rsid w:val="001F5834"/>
    <w:rsid w:val="001F73D4"/>
    <w:rsid w:val="001F77F1"/>
    <w:rsid w:val="0020048F"/>
    <w:rsid w:val="0020135A"/>
    <w:rsid w:val="002019CF"/>
    <w:rsid w:val="00201D3B"/>
    <w:rsid w:val="00203644"/>
    <w:rsid w:val="00203679"/>
    <w:rsid w:val="00204A3F"/>
    <w:rsid w:val="00204D05"/>
    <w:rsid w:val="002055B4"/>
    <w:rsid w:val="002075A1"/>
    <w:rsid w:val="00207BC1"/>
    <w:rsid w:val="002115A5"/>
    <w:rsid w:val="00211CE0"/>
    <w:rsid w:val="00211D03"/>
    <w:rsid w:val="00212EA6"/>
    <w:rsid w:val="00213157"/>
    <w:rsid w:val="00213A5B"/>
    <w:rsid w:val="00214AF3"/>
    <w:rsid w:val="00215385"/>
    <w:rsid w:val="00216B52"/>
    <w:rsid w:val="00217A48"/>
    <w:rsid w:val="00220AAA"/>
    <w:rsid w:val="002242B9"/>
    <w:rsid w:val="00225291"/>
    <w:rsid w:val="0022543B"/>
    <w:rsid w:val="00226627"/>
    <w:rsid w:val="00227B24"/>
    <w:rsid w:val="00227D28"/>
    <w:rsid w:val="00233931"/>
    <w:rsid w:val="0023632A"/>
    <w:rsid w:val="00236F7E"/>
    <w:rsid w:val="00243317"/>
    <w:rsid w:val="00244887"/>
    <w:rsid w:val="00246874"/>
    <w:rsid w:val="0024702A"/>
    <w:rsid w:val="00247E56"/>
    <w:rsid w:val="002508C4"/>
    <w:rsid w:val="00250D2D"/>
    <w:rsid w:val="00251AA2"/>
    <w:rsid w:val="0025284F"/>
    <w:rsid w:val="0025328F"/>
    <w:rsid w:val="002538F3"/>
    <w:rsid w:val="002542FC"/>
    <w:rsid w:val="0025497D"/>
    <w:rsid w:val="002554A0"/>
    <w:rsid w:val="00256B7C"/>
    <w:rsid w:val="002574B1"/>
    <w:rsid w:val="002576FD"/>
    <w:rsid w:val="0026064D"/>
    <w:rsid w:val="00263D42"/>
    <w:rsid w:val="00263EBF"/>
    <w:rsid w:val="00264A3A"/>
    <w:rsid w:val="00264CE0"/>
    <w:rsid w:val="002672D1"/>
    <w:rsid w:val="00272704"/>
    <w:rsid w:val="00272707"/>
    <w:rsid w:val="00272E91"/>
    <w:rsid w:val="00275FED"/>
    <w:rsid w:val="002772CE"/>
    <w:rsid w:val="002802BC"/>
    <w:rsid w:val="002805D5"/>
    <w:rsid w:val="00280BBE"/>
    <w:rsid w:val="002814FE"/>
    <w:rsid w:val="00281B53"/>
    <w:rsid w:val="002820F0"/>
    <w:rsid w:val="002821AC"/>
    <w:rsid w:val="0028431E"/>
    <w:rsid w:val="00284870"/>
    <w:rsid w:val="002855A8"/>
    <w:rsid w:val="00285B3F"/>
    <w:rsid w:val="002863A1"/>
    <w:rsid w:val="002869F0"/>
    <w:rsid w:val="00290739"/>
    <w:rsid w:val="00290E02"/>
    <w:rsid w:val="00291486"/>
    <w:rsid w:val="00291EC7"/>
    <w:rsid w:val="00293673"/>
    <w:rsid w:val="00293C55"/>
    <w:rsid w:val="0029618D"/>
    <w:rsid w:val="00296F2B"/>
    <w:rsid w:val="0029713F"/>
    <w:rsid w:val="002A5152"/>
    <w:rsid w:val="002A52DC"/>
    <w:rsid w:val="002A703F"/>
    <w:rsid w:val="002A7EAE"/>
    <w:rsid w:val="002B3345"/>
    <w:rsid w:val="002B4895"/>
    <w:rsid w:val="002B502D"/>
    <w:rsid w:val="002B7BD3"/>
    <w:rsid w:val="002C0F2D"/>
    <w:rsid w:val="002C1888"/>
    <w:rsid w:val="002C3127"/>
    <w:rsid w:val="002C3632"/>
    <w:rsid w:val="002C36B1"/>
    <w:rsid w:val="002C5708"/>
    <w:rsid w:val="002C65EE"/>
    <w:rsid w:val="002C6D7E"/>
    <w:rsid w:val="002C7E14"/>
    <w:rsid w:val="002D0231"/>
    <w:rsid w:val="002D1C44"/>
    <w:rsid w:val="002D352C"/>
    <w:rsid w:val="002D43E9"/>
    <w:rsid w:val="002D7F9D"/>
    <w:rsid w:val="002E2148"/>
    <w:rsid w:val="002E2A3E"/>
    <w:rsid w:val="002E374A"/>
    <w:rsid w:val="002E4AB0"/>
    <w:rsid w:val="002E5D4D"/>
    <w:rsid w:val="002E5F99"/>
    <w:rsid w:val="002E64FB"/>
    <w:rsid w:val="002E6F89"/>
    <w:rsid w:val="002F0681"/>
    <w:rsid w:val="002F1684"/>
    <w:rsid w:val="002F1783"/>
    <w:rsid w:val="002F2461"/>
    <w:rsid w:val="002F3792"/>
    <w:rsid w:val="002F46B9"/>
    <w:rsid w:val="00300186"/>
    <w:rsid w:val="00300833"/>
    <w:rsid w:val="003008EC"/>
    <w:rsid w:val="003009E7"/>
    <w:rsid w:val="00300E49"/>
    <w:rsid w:val="00302053"/>
    <w:rsid w:val="00302496"/>
    <w:rsid w:val="00302D14"/>
    <w:rsid w:val="003032A4"/>
    <w:rsid w:val="0030362C"/>
    <w:rsid w:val="00303B4A"/>
    <w:rsid w:val="00303B6D"/>
    <w:rsid w:val="00305CB5"/>
    <w:rsid w:val="003073AD"/>
    <w:rsid w:val="00307F9D"/>
    <w:rsid w:val="003100F0"/>
    <w:rsid w:val="00310265"/>
    <w:rsid w:val="00311536"/>
    <w:rsid w:val="00311C99"/>
    <w:rsid w:val="00312A60"/>
    <w:rsid w:val="003136F8"/>
    <w:rsid w:val="00314EB7"/>
    <w:rsid w:val="003151AA"/>
    <w:rsid w:val="00315555"/>
    <w:rsid w:val="003159F4"/>
    <w:rsid w:val="00315B01"/>
    <w:rsid w:val="00317E38"/>
    <w:rsid w:val="00317F0F"/>
    <w:rsid w:val="00320D21"/>
    <w:rsid w:val="00320E82"/>
    <w:rsid w:val="00321582"/>
    <w:rsid w:val="00321FFB"/>
    <w:rsid w:val="00322D5D"/>
    <w:rsid w:val="0032376A"/>
    <w:rsid w:val="003237C5"/>
    <w:rsid w:val="00326074"/>
    <w:rsid w:val="00327CF5"/>
    <w:rsid w:val="00330971"/>
    <w:rsid w:val="00330C1D"/>
    <w:rsid w:val="003312A0"/>
    <w:rsid w:val="003327BC"/>
    <w:rsid w:val="0034111F"/>
    <w:rsid w:val="00341E09"/>
    <w:rsid w:val="00342936"/>
    <w:rsid w:val="0034301B"/>
    <w:rsid w:val="00343CFF"/>
    <w:rsid w:val="00343F8D"/>
    <w:rsid w:val="00344438"/>
    <w:rsid w:val="00344523"/>
    <w:rsid w:val="0034512F"/>
    <w:rsid w:val="00345994"/>
    <w:rsid w:val="003462A2"/>
    <w:rsid w:val="00347A73"/>
    <w:rsid w:val="003505EA"/>
    <w:rsid w:val="003509BC"/>
    <w:rsid w:val="00351703"/>
    <w:rsid w:val="00351A85"/>
    <w:rsid w:val="00352509"/>
    <w:rsid w:val="00354C77"/>
    <w:rsid w:val="00354CF4"/>
    <w:rsid w:val="003551E1"/>
    <w:rsid w:val="003552F7"/>
    <w:rsid w:val="00355301"/>
    <w:rsid w:val="003558CC"/>
    <w:rsid w:val="00356CA7"/>
    <w:rsid w:val="00357DE4"/>
    <w:rsid w:val="00360C77"/>
    <w:rsid w:val="00361C2F"/>
    <w:rsid w:val="0036203F"/>
    <w:rsid w:val="00362DA1"/>
    <w:rsid w:val="00363520"/>
    <w:rsid w:val="0036390B"/>
    <w:rsid w:val="00364B6E"/>
    <w:rsid w:val="00364FF5"/>
    <w:rsid w:val="0036558D"/>
    <w:rsid w:val="00366796"/>
    <w:rsid w:val="00366F93"/>
    <w:rsid w:val="00371BC8"/>
    <w:rsid w:val="00372081"/>
    <w:rsid w:val="00372452"/>
    <w:rsid w:val="00372503"/>
    <w:rsid w:val="00372787"/>
    <w:rsid w:val="003754DF"/>
    <w:rsid w:val="003756F5"/>
    <w:rsid w:val="0037677B"/>
    <w:rsid w:val="00376E6D"/>
    <w:rsid w:val="003800B9"/>
    <w:rsid w:val="00380F7F"/>
    <w:rsid w:val="003813D6"/>
    <w:rsid w:val="003820E8"/>
    <w:rsid w:val="003821F5"/>
    <w:rsid w:val="003848C9"/>
    <w:rsid w:val="0038568B"/>
    <w:rsid w:val="0038694E"/>
    <w:rsid w:val="003917C5"/>
    <w:rsid w:val="00393729"/>
    <w:rsid w:val="00393E85"/>
    <w:rsid w:val="003942A6"/>
    <w:rsid w:val="00394FAD"/>
    <w:rsid w:val="003959C5"/>
    <w:rsid w:val="00395BD5"/>
    <w:rsid w:val="0039649D"/>
    <w:rsid w:val="00397C27"/>
    <w:rsid w:val="003A258D"/>
    <w:rsid w:val="003A25EC"/>
    <w:rsid w:val="003A2907"/>
    <w:rsid w:val="003A2AE4"/>
    <w:rsid w:val="003A6B4B"/>
    <w:rsid w:val="003A7C8A"/>
    <w:rsid w:val="003B0AFD"/>
    <w:rsid w:val="003B0C33"/>
    <w:rsid w:val="003B118E"/>
    <w:rsid w:val="003B2227"/>
    <w:rsid w:val="003B39FF"/>
    <w:rsid w:val="003B4A2C"/>
    <w:rsid w:val="003B739C"/>
    <w:rsid w:val="003C1012"/>
    <w:rsid w:val="003C119E"/>
    <w:rsid w:val="003C1389"/>
    <w:rsid w:val="003C21E7"/>
    <w:rsid w:val="003C3442"/>
    <w:rsid w:val="003C44F4"/>
    <w:rsid w:val="003C50D4"/>
    <w:rsid w:val="003C5331"/>
    <w:rsid w:val="003C57E7"/>
    <w:rsid w:val="003C60EE"/>
    <w:rsid w:val="003C64A0"/>
    <w:rsid w:val="003D2131"/>
    <w:rsid w:val="003D3E12"/>
    <w:rsid w:val="003D5673"/>
    <w:rsid w:val="003D5E22"/>
    <w:rsid w:val="003D6710"/>
    <w:rsid w:val="003E1755"/>
    <w:rsid w:val="003E206A"/>
    <w:rsid w:val="003E2C16"/>
    <w:rsid w:val="003E6905"/>
    <w:rsid w:val="003F0982"/>
    <w:rsid w:val="003F0F64"/>
    <w:rsid w:val="003F21AF"/>
    <w:rsid w:val="003F25CC"/>
    <w:rsid w:val="004017C2"/>
    <w:rsid w:val="004027A3"/>
    <w:rsid w:val="00402BAB"/>
    <w:rsid w:val="00403477"/>
    <w:rsid w:val="004079C6"/>
    <w:rsid w:val="00410615"/>
    <w:rsid w:val="00411719"/>
    <w:rsid w:val="0041234A"/>
    <w:rsid w:val="0041333C"/>
    <w:rsid w:val="00414071"/>
    <w:rsid w:val="00415051"/>
    <w:rsid w:val="00415473"/>
    <w:rsid w:val="00415542"/>
    <w:rsid w:val="00421B3C"/>
    <w:rsid w:val="004230B6"/>
    <w:rsid w:val="004233D2"/>
    <w:rsid w:val="00423921"/>
    <w:rsid w:val="00423A7F"/>
    <w:rsid w:val="00424458"/>
    <w:rsid w:val="0042494F"/>
    <w:rsid w:val="00425264"/>
    <w:rsid w:val="0042541D"/>
    <w:rsid w:val="00425FCE"/>
    <w:rsid w:val="00426FCD"/>
    <w:rsid w:val="0043093C"/>
    <w:rsid w:val="00430A4B"/>
    <w:rsid w:val="00433A5A"/>
    <w:rsid w:val="0043550E"/>
    <w:rsid w:val="00435A25"/>
    <w:rsid w:val="00436692"/>
    <w:rsid w:val="004369EB"/>
    <w:rsid w:val="00436A72"/>
    <w:rsid w:val="0044317A"/>
    <w:rsid w:val="00444D33"/>
    <w:rsid w:val="00452A89"/>
    <w:rsid w:val="004542A4"/>
    <w:rsid w:val="00454ED0"/>
    <w:rsid w:val="00455112"/>
    <w:rsid w:val="004572B3"/>
    <w:rsid w:val="0046025C"/>
    <w:rsid w:val="00461DFF"/>
    <w:rsid w:val="00463002"/>
    <w:rsid w:val="0046433E"/>
    <w:rsid w:val="00465B87"/>
    <w:rsid w:val="0047299E"/>
    <w:rsid w:val="004730B6"/>
    <w:rsid w:val="00477AA9"/>
    <w:rsid w:val="004807D9"/>
    <w:rsid w:val="004826E5"/>
    <w:rsid w:val="00484112"/>
    <w:rsid w:val="0048592E"/>
    <w:rsid w:val="00486BCF"/>
    <w:rsid w:val="00487947"/>
    <w:rsid w:val="00487E75"/>
    <w:rsid w:val="00490530"/>
    <w:rsid w:val="00490DD5"/>
    <w:rsid w:val="00493458"/>
    <w:rsid w:val="0049536C"/>
    <w:rsid w:val="00495BFE"/>
    <w:rsid w:val="00496456"/>
    <w:rsid w:val="00497580"/>
    <w:rsid w:val="00497922"/>
    <w:rsid w:val="004A04AD"/>
    <w:rsid w:val="004A1B08"/>
    <w:rsid w:val="004A2146"/>
    <w:rsid w:val="004A25EB"/>
    <w:rsid w:val="004A322D"/>
    <w:rsid w:val="004A372A"/>
    <w:rsid w:val="004A38C1"/>
    <w:rsid w:val="004A4C5E"/>
    <w:rsid w:val="004A51F7"/>
    <w:rsid w:val="004A6B04"/>
    <w:rsid w:val="004A7A53"/>
    <w:rsid w:val="004B0796"/>
    <w:rsid w:val="004B4159"/>
    <w:rsid w:val="004B7F70"/>
    <w:rsid w:val="004C0D8D"/>
    <w:rsid w:val="004C18B6"/>
    <w:rsid w:val="004C37F0"/>
    <w:rsid w:val="004C38B0"/>
    <w:rsid w:val="004C3F65"/>
    <w:rsid w:val="004C5006"/>
    <w:rsid w:val="004C5A41"/>
    <w:rsid w:val="004C5E38"/>
    <w:rsid w:val="004C5E69"/>
    <w:rsid w:val="004C71B9"/>
    <w:rsid w:val="004D1D13"/>
    <w:rsid w:val="004D276A"/>
    <w:rsid w:val="004D3B5F"/>
    <w:rsid w:val="004D4217"/>
    <w:rsid w:val="004D4704"/>
    <w:rsid w:val="004D61D1"/>
    <w:rsid w:val="004D7225"/>
    <w:rsid w:val="004D7E95"/>
    <w:rsid w:val="004E0A05"/>
    <w:rsid w:val="004E1265"/>
    <w:rsid w:val="004E12AC"/>
    <w:rsid w:val="004E2621"/>
    <w:rsid w:val="004E2DC2"/>
    <w:rsid w:val="004E2E78"/>
    <w:rsid w:val="004E34CA"/>
    <w:rsid w:val="004E38BB"/>
    <w:rsid w:val="004E39C2"/>
    <w:rsid w:val="004E4B8A"/>
    <w:rsid w:val="004E7105"/>
    <w:rsid w:val="004E7B5A"/>
    <w:rsid w:val="004F0CFD"/>
    <w:rsid w:val="004F1BFC"/>
    <w:rsid w:val="004F2B1E"/>
    <w:rsid w:val="004F33D9"/>
    <w:rsid w:val="004F40EE"/>
    <w:rsid w:val="004F44DB"/>
    <w:rsid w:val="004F4AF3"/>
    <w:rsid w:val="004F538E"/>
    <w:rsid w:val="004F5D4F"/>
    <w:rsid w:val="00501BFE"/>
    <w:rsid w:val="00501DFF"/>
    <w:rsid w:val="00501EE5"/>
    <w:rsid w:val="00501F14"/>
    <w:rsid w:val="00502148"/>
    <w:rsid w:val="00502E67"/>
    <w:rsid w:val="00504173"/>
    <w:rsid w:val="00507812"/>
    <w:rsid w:val="00507CE6"/>
    <w:rsid w:val="00514A88"/>
    <w:rsid w:val="00514C0E"/>
    <w:rsid w:val="00515249"/>
    <w:rsid w:val="005171F9"/>
    <w:rsid w:val="00517578"/>
    <w:rsid w:val="00520776"/>
    <w:rsid w:val="005221E7"/>
    <w:rsid w:val="005243AE"/>
    <w:rsid w:val="00524B13"/>
    <w:rsid w:val="00525CCD"/>
    <w:rsid w:val="00530799"/>
    <w:rsid w:val="00531C08"/>
    <w:rsid w:val="00533BAB"/>
    <w:rsid w:val="00534EB4"/>
    <w:rsid w:val="005353B3"/>
    <w:rsid w:val="00541350"/>
    <w:rsid w:val="00541F5B"/>
    <w:rsid w:val="00543330"/>
    <w:rsid w:val="00543766"/>
    <w:rsid w:val="00544AEF"/>
    <w:rsid w:val="00544FF4"/>
    <w:rsid w:val="00545AF2"/>
    <w:rsid w:val="005462EC"/>
    <w:rsid w:val="00547D6A"/>
    <w:rsid w:val="00552285"/>
    <w:rsid w:val="0055502D"/>
    <w:rsid w:val="00556FC2"/>
    <w:rsid w:val="00561002"/>
    <w:rsid w:val="00561265"/>
    <w:rsid w:val="0056153C"/>
    <w:rsid w:val="0056275E"/>
    <w:rsid w:val="005640B1"/>
    <w:rsid w:val="00564FA5"/>
    <w:rsid w:val="00570006"/>
    <w:rsid w:val="005703DF"/>
    <w:rsid w:val="00570DF3"/>
    <w:rsid w:val="0057131F"/>
    <w:rsid w:val="00572443"/>
    <w:rsid w:val="00572EBA"/>
    <w:rsid w:val="00573223"/>
    <w:rsid w:val="00574495"/>
    <w:rsid w:val="0057453C"/>
    <w:rsid w:val="00574B46"/>
    <w:rsid w:val="005750A7"/>
    <w:rsid w:val="00576B90"/>
    <w:rsid w:val="00577ECC"/>
    <w:rsid w:val="00580003"/>
    <w:rsid w:val="005854D6"/>
    <w:rsid w:val="00585E68"/>
    <w:rsid w:val="00587620"/>
    <w:rsid w:val="0059019F"/>
    <w:rsid w:val="005909E7"/>
    <w:rsid w:val="00590CF0"/>
    <w:rsid w:val="00590D9A"/>
    <w:rsid w:val="00593709"/>
    <w:rsid w:val="00594297"/>
    <w:rsid w:val="0059449D"/>
    <w:rsid w:val="00594E1A"/>
    <w:rsid w:val="00595A17"/>
    <w:rsid w:val="00596293"/>
    <w:rsid w:val="00596D4A"/>
    <w:rsid w:val="00597C4B"/>
    <w:rsid w:val="005A1343"/>
    <w:rsid w:val="005A213A"/>
    <w:rsid w:val="005A2AF9"/>
    <w:rsid w:val="005A3667"/>
    <w:rsid w:val="005A3A54"/>
    <w:rsid w:val="005A4B10"/>
    <w:rsid w:val="005A5244"/>
    <w:rsid w:val="005A5246"/>
    <w:rsid w:val="005A5A3D"/>
    <w:rsid w:val="005A6A97"/>
    <w:rsid w:val="005B0410"/>
    <w:rsid w:val="005B3947"/>
    <w:rsid w:val="005B3E6C"/>
    <w:rsid w:val="005B4044"/>
    <w:rsid w:val="005B4F46"/>
    <w:rsid w:val="005C11F0"/>
    <w:rsid w:val="005C1C5A"/>
    <w:rsid w:val="005C3966"/>
    <w:rsid w:val="005C3D56"/>
    <w:rsid w:val="005C4826"/>
    <w:rsid w:val="005C5C23"/>
    <w:rsid w:val="005C7D1E"/>
    <w:rsid w:val="005D1384"/>
    <w:rsid w:val="005D139E"/>
    <w:rsid w:val="005D153E"/>
    <w:rsid w:val="005D25AC"/>
    <w:rsid w:val="005D4840"/>
    <w:rsid w:val="005D6DA8"/>
    <w:rsid w:val="005D7071"/>
    <w:rsid w:val="005E0029"/>
    <w:rsid w:val="005E1D12"/>
    <w:rsid w:val="005E3159"/>
    <w:rsid w:val="005E39B8"/>
    <w:rsid w:val="005E5059"/>
    <w:rsid w:val="005E555F"/>
    <w:rsid w:val="005F20E1"/>
    <w:rsid w:val="005F329F"/>
    <w:rsid w:val="005F4C00"/>
    <w:rsid w:val="005F73D4"/>
    <w:rsid w:val="005F7868"/>
    <w:rsid w:val="006029B7"/>
    <w:rsid w:val="00602D32"/>
    <w:rsid w:val="00603104"/>
    <w:rsid w:val="00603979"/>
    <w:rsid w:val="00604321"/>
    <w:rsid w:val="00604C55"/>
    <w:rsid w:val="006056FC"/>
    <w:rsid w:val="0060588C"/>
    <w:rsid w:val="00605CF7"/>
    <w:rsid w:val="006101AD"/>
    <w:rsid w:val="00610316"/>
    <w:rsid w:val="006141FE"/>
    <w:rsid w:val="00614D2A"/>
    <w:rsid w:val="00616136"/>
    <w:rsid w:val="006172FE"/>
    <w:rsid w:val="006173B8"/>
    <w:rsid w:val="00620EED"/>
    <w:rsid w:val="00621026"/>
    <w:rsid w:val="00623B82"/>
    <w:rsid w:val="0062419B"/>
    <w:rsid w:val="0062455F"/>
    <w:rsid w:val="00630454"/>
    <w:rsid w:val="00630CC2"/>
    <w:rsid w:val="00631B24"/>
    <w:rsid w:val="00631B65"/>
    <w:rsid w:val="00631CAB"/>
    <w:rsid w:val="00632334"/>
    <w:rsid w:val="006325E0"/>
    <w:rsid w:val="00632A38"/>
    <w:rsid w:val="00632AC9"/>
    <w:rsid w:val="00635DDB"/>
    <w:rsid w:val="006407F0"/>
    <w:rsid w:val="00641F80"/>
    <w:rsid w:val="006428C1"/>
    <w:rsid w:val="0064362D"/>
    <w:rsid w:val="0064443E"/>
    <w:rsid w:val="00644AED"/>
    <w:rsid w:val="0064570C"/>
    <w:rsid w:val="0064642C"/>
    <w:rsid w:val="0064646D"/>
    <w:rsid w:val="006524E0"/>
    <w:rsid w:val="00654C57"/>
    <w:rsid w:val="00655417"/>
    <w:rsid w:val="00656A16"/>
    <w:rsid w:val="0065719C"/>
    <w:rsid w:val="00657C8F"/>
    <w:rsid w:val="00660330"/>
    <w:rsid w:val="00661716"/>
    <w:rsid w:val="00662372"/>
    <w:rsid w:val="006635CB"/>
    <w:rsid w:val="00663903"/>
    <w:rsid w:val="00663F73"/>
    <w:rsid w:val="00664FB2"/>
    <w:rsid w:val="006654A2"/>
    <w:rsid w:val="00665988"/>
    <w:rsid w:val="0066672F"/>
    <w:rsid w:val="00666742"/>
    <w:rsid w:val="00666A3A"/>
    <w:rsid w:val="00666E6C"/>
    <w:rsid w:val="00667CD7"/>
    <w:rsid w:val="00670E73"/>
    <w:rsid w:val="00675264"/>
    <w:rsid w:val="0067645E"/>
    <w:rsid w:val="006765A4"/>
    <w:rsid w:val="006768D2"/>
    <w:rsid w:val="00676F10"/>
    <w:rsid w:val="006770AA"/>
    <w:rsid w:val="00681DA3"/>
    <w:rsid w:val="00682C5E"/>
    <w:rsid w:val="00683346"/>
    <w:rsid w:val="006851B5"/>
    <w:rsid w:val="00685A59"/>
    <w:rsid w:val="00685AA0"/>
    <w:rsid w:val="00685C90"/>
    <w:rsid w:val="00686589"/>
    <w:rsid w:val="006867D1"/>
    <w:rsid w:val="00686A56"/>
    <w:rsid w:val="00686E06"/>
    <w:rsid w:val="00690355"/>
    <w:rsid w:val="006905C7"/>
    <w:rsid w:val="00691B3E"/>
    <w:rsid w:val="00691B5B"/>
    <w:rsid w:val="006920C8"/>
    <w:rsid w:val="006924FB"/>
    <w:rsid w:val="00692886"/>
    <w:rsid w:val="00692E88"/>
    <w:rsid w:val="00693582"/>
    <w:rsid w:val="0069421B"/>
    <w:rsid w:val="00694685"/>
    <w:rsid w:val="00694C9A"/>
    <w:rsid w:val="00697480"/>
    <w:rsid w:val="00697A82"/>
    <w:rsid w:val="006A0EE3"/>
    <w:rsid w:val="006A5C66"/>
    <w:rsid w:val="006A5F11"/>
    <w:rsid w:val="006A62E1"/>
    <w:rsid w:val="006A63D5"/>
    <w:rsid w:val="006A709F"/>
    <w:rsid w:val="006A7715"/>
    <w:rsid w:val="006A7D44"/>
    <w:rsid w:val="006B0B21"/>
    <w:rsid w:val="006B0E83"/>
    <w:rsid w:val="006B345F"/>
    <w:rsid w:val="006B5B1E"/>
    <w:rsid w:val="006B681F"/>
    <w:rsid w:val="006B6E7B"/>
    <w:rsid w:val="006B78F4"/>
    <w:rsid w:val="006C06D9"/>
    <w:rsid w:val="006C394A"/>
    <w:rsid w:val="006C4748"/>
    <w:rsid w:val="006C49A8"/>
    <w:rsid w:val="006C5534"/>
    <w:rsid w:val="006C55FA"/>
    <w:rsid w:val="006C5B3F"/>
    <w:rsid w:val="006C616F"/>
    <w:rsid w:val="006D069C"/>
    <w:rsid w:val="006D08DF"/>
    <w:rsid w:val="006D2845"/>
    <w:rsid w:val="006D4783"/>
    <w:rsid w:val="006D4CDB"/>
    <w:rsid w:val="006D4EB7"/>
    <w:rsid w:val="006D6D1F"/>
    <w:rsid w:val="006E09D4"/>
    <w:rsid w:val="006E1D68"/>
    <w:rsid w:val="006E1F46"/>
    <w:rsid w:val="006E223F"/>
    <w:rsid w:val="006E31D6"/>
    <w:rsid w:val="006E6954"/>
    <w:rsid w:val="006E78A3"/>
    <w:rsid w:val="006F140D"/>
    <w:rsid w:val="006F3CE1"/>
    <w:rsid w:val="006F431A"/>
    <w:rsid w:val="006F4501"/>
    <w:rsid w:val="006F4768"/>
    <w:rsid w:val="006F4A1C"/>
    <w:rsid w:val="006F4B34"/>
    <w:rsid w:val="006F6751"/>
    <w:rsid w:val="00700F85"/>
    <w:rsid w:val="0070539F"/>
    <w:rsid w:val="00706B96"/>
    <w:rsid w:val="00706E39"/>
    <w:rsid w:val="00707E36"/>
    <w:rsid w:val="00710556"/>
    <w:rsid w:val="00710E27"/>
    <w:rsid w:val="00711494"/>
    <w:rsid w:val="0071243D"/>
    <w:rsid w:val="007131BB"/>
    <w:rsid w:val="0071446D"/>
    <w:rsid w:val="00720421"/>
    <w:rsid w:val="00720791"/>
    <w:rsid w:val="00721166"/>
    <w:rsid w:val="00722184"/>
    <w:rsid w:val="00722840"/>
    <w:rsid w:val="00724F2C"/>
    <w:rsid w:val="00726BF3"/>
    <w:rsid w:val="007303D8"/>
    <w:rsid w:val="007306E9"/>
    <w:rsid w:val="007307A0"/>
    <w:rsid w:val="00730D78"/>
    <w:rsid w:val="00730FEC"/>
    <w:rsid w:val="00732C4B"/>
    <w:rsid w:val="00734A8A"/>
    <w:rsid w:val="00735684"/>
    <w:rsid w:val="00735694"/>
    <w:rsid w:val="00735CAC"/>
    <w:rsid w:val="00735CE9"/>
    <w:rsid w:val="007366D3"/>
    <w:rsid w:val="0074117F"/>
    <w:rsid w:val="0074268B"/>
    <w:rsid w:val="00743B1B"/>
    <w:rsid w:val="00743F5F"/>
    <w:rsid w:val="0074529F"/>
    <w:rsid w:val="00745BB9"/>
    <w:rsid w:val="007501E5"/>
    <w:rsid w:val="00753BC6"/>
    <w:rsid w:val="007606AF"/>
    <w:rsid w:val="00763767"/>
    <w:rsid w:val="007652FD"/>
    <w:rsid w:val="0076568D"/>
    <w:rsid w:val="00765F11"/>
    <w:rsid w:val="0076620A"/>
    <w:rsid w:val="00770090"/>
    <w:rsid w:val="0077107D"/>
    <w:rsid w:val="00771BAE"/>
    <w:rsid w:val="00773631"/>
    <w:rsid w:val="00776ADD"/>
    <w:rsid w:val="0077718D"/>
    <w:rsid w:val="00784AA8"/>
    <w:rsid w:val="007861B8"/>
    <w:rsid w:val="007879F5"/>
    <w:rsid w:val="007903EA"/>
    <w:rsid w:val="00790A82"/>
    <w:rsid w:val="00791A4D"/>
    <w:rsid w:val="00791CB1"/>
    <w:rsid w:val="007921A0"/>
    <w:rsid w:val="007923C7"/>
    <w:rsid w:val="00794E9B"/>
    <w:rsid w:val="00795000"/>
    <w:rsid w:val="00796213"/>
    <w:rsid w:val="00797379"/>
    <w:rsid w:val="00797C8D"/>
    <w:rsid w:val="007A04B8"/>
    <w:rsid w:val="007A2838"/>
    <w:rsid w:val="007A3DBE"/>
    <w:rsid w:val="007A4CE3"/>
    <w:rsid w:val="007A5695"/>
    <w:rsid w:val="007A7E9C"/>
    <w:rsid w:val="007B161B"/>
    <w:rsid w:val="007B2149"/>
    <w:rsid w:val="007B2D55"/>
    <w:rsid w:val="007B45B8"/>
    <w:rsid w:val="007B76CE"/>
    <w:rsid w:val="007C14C5"/>
    <w:rsid w:val="007C1CB2"/>
    <w:rsid w:val="007C28AE"/>
    <w:rsid w:val="007C3511"/>
    <w:rsid w:val="007C3F41"/>
    <w:rsid w:val="007C51CD"/>
    <w:rsid w:val="007C63BB"/>
    <w:rsid w:val="007D0FBF"/>
    <w:rsid w:val="007D2608"/>
    <w:rsid w:val="007D27D0"/>
    <w:rsid w:val="007D2BA3"/>
    <w:rsid w:val="007D361E"/>
    <w:rsid w:val="007D5678"/>
    <w:rsid w:val="007D78A4"/>
    <w:rsid w:val="007D78C2"/>
    <w:rsid w:val="007E0585"/>
    <w:rsid w:val="007E2222"/>
    <w:rsid w:val="007E47DE"/>
    <w:rsid w:val="007E6BDE"/>
    <w:rsid w:val="007F0115"/>
    <w:rsid w:val="007F0F7E"/>
    <w:rsid w:val="007F32A0"/>
    <w:rsid w:val="007F34DE"/>
    <w:rsid w:val="007F3599"/>
    <w:rsid w:val="007F3C04"/>
    <w:rsid w:val="007F46DC"/>
    <w:rsid w:val="007F4779"/>
    <w:rsid w:val="007F4A89"/>
    <w:rsid w:val="007F6334"/>
    <w:rsid w:val="007F7A1A"/>
    <w:rsid w:val="00800614"/>
    <w:rsid w:val="008010F2"/>
    <w:rsid w:val="0080290A"/>
    <w:rsid w:val="00804930"/>
    <w:rsid w:val="008059FC"/>
    <w:rsid w:val="00805FF7"/>
    <w:rsid w:val="00806830"/>
    <w:rsid w:val="0081118A"/>
    <w:rsid w:val="00813646"/>
    <w:rsid w:val="008137CF"/>
    <w:rsid w:val="00813F8B"/>
    <w:rsid w:val="00814FDE"/>
    <w:rsid w:val="00816541"/>
    <w:rsid w:val="0082004E"/>
    <w:rsid w:val="00820677"/>
    <w:rsid w:val="00824341"/>
    <w:rsid w:val="008259ED"/>
    <w:rsid w:val="0082620E"/>
    <w:rsid w:val="00832087"/>
    <w:rsid w:val="00833FBF"/>
    <w:rsid w:val="00837941"/>
    <w:rsid w:val="00840814"/>
    <w:rsid w:val="00841F09"/>
    <w:rsid w:val="008456DE"/>
    <w:rsid w:val="00845961"/>
    <w:rsid w:val="008513A0"/>
    <w:rsid w:val="00851EBA"/>
    <w:rsid w:val="00853496"/>
    <w:rsid w:val="008534FC"/>
    <w:rsid w:val="00853EB2"/>
    <w:rsid w:val="00856375"/>
    <w:rsid w:val="00856467"/>
    <w:rsid w:val="008622A3"/>
    <w:rsid w:val="00862C53"/>
    <w:rsid w:val="00863746"/>
    <w:rsid w:val="008643CD"/>
    <w:rsid w:val="00864AD0"/>
    <w:rsid w:val="008653EC"/>
    <w:rsid w:val="0086544F"/>
    <w:rsid w:val="0086583C"/>
    <w:rsid w:val="00865AF1"/>
    <w:rsid w:val="00865B36"/>
    <w:rsid w:val="008673A9"/>
    <w:rsid w:val="00870A42"/>
    <w:rsid w:val="008743CD"/>
    <w:rsid w:val="0087490F"/>
    <w:rsid w:val="008758F7"/>
    <w:rsid w:val="00876700"/>
    <w:rsid w:val="00877543"/>
    <w:rsid w:val="00877E2E"/>
    <w:rsid w:val="00882CF4"/>
    <w:rsid w:val="00885DC4"/>
    <w:rsid w:val="008865BB"/>
    <w:rsid w:val="00890E54"/>
    <w:rsid w:val="0089285E"/>
    <w:rsid w:val="00892E2C"/>
    <w:rsid w:val="00894372"/>
    <w:rsid w:val="00895706"/>
    <w:rsid w:val="00895EC4"/>
    <w:rsid w:val="008963B4"/>
    <w:rsid w:val="00896A55"/>
    <w:rsid w:val="00897962"/>
    <w:rsid w:val="00897A49"/>
    <w:rsid w:val="008A0CA5"/>
    <w:rsid w:val="008A3647"/>
    <w:rsid w:val="008A3D39"/>
    <w:rsid w:val="008A58C7"/>
    <w:rsid w:val="008A6D83"/>
    <w:rsid w:val="008A77F8"/>
    <w:rsid w:val="008B020A"/>
    <w:rsid w:val="008B4618"/>
    <w:rsid w:val="008C116D"/>
    <w:rsid w:val="008C2A9B"/>
    <w:rsid w:val="008C3246"/>
    <w:rsid w:val="008C44BF"/>
    <w:rsid w:val="008C450D"/>
    <w:rsid w:val="008D089D"/>
    <w:rsid w:val="008D2CDB"/>
    <w:rsid w:val="008D3010"/>
    <w:rsid w:val="008D3515"/>
    <w:rsid w:val="008D39BB"/>
    <w:rsid w:val="008D5900"/>
    <w:rsid w:val="008E0DF1"/>
    <w:rsid w:val="008E1419"/>
    <w:rsid w:val="008E1773"/>
    <w:rsid w:val="008E1F55"/>
    <w:rsid w:val="008E2254"/>
    <w:rsid w:val="008E23A2"/>
    <w:rsid w:val="008E5E81"/>
    <w:rsid w:val="008E7532"/>
    <w:rsid w:val="008E79DB"/>
    <w:rsid w:val="008E7C80"/>
    <w:rsid w:val="008E7F49"/>
    <w:rsid w:val="008F0E95"/>
    <w:rsid w:val="008F552A"/>
    <w:rsid w:val="008F7A5B"/>
    <w:rsid w:val="00901107"/>
    <w:rsid w:val="00901713"/>
    <w:rsid w:val="00903C8A"/>
    <w:rsid w:val="00904B42"/>
    <w:rsid w:val="00905569"/>
    <w:rsid w:val="0091076B"/>
    <w:rsid w:val="00911DAD"/>
    <w:rsid w:val="00911EDF"/>
    <w:rsid w:val="009128D3"/>
    <w:rsid w:val="00913BC9"/>
    <w:rsid w:val="00916271"/>
    <w:rsid w:val="00917EA9"/>
    <w:rsid w:val="009219AE"/>
    <w:rsid w:val="009247AC"/>
    <w:rsid w:val="00926A4C"/>
    <w:rsid w:val="00930461"/>
    <w:rsid w:val="00930764"/>
    <w:rsid w:val="009314F0"/>
    <w:rsid w:val="0093223A"/>
    <w:rsid w:val="00934820"/>
    <w:rsid w:val="0093543B"/>
    <w:rsid w:val="00935985"/>
    <w:rsid w:val="00935CE2"/>
    <w:rsid w:val="0093647E"/>
    <w:rsid w:val="009409EC"/>
    <w:rsid w:val="00941B56"/>
    <w:rsid w:val="00942724"/>
    <w:rsid w:val="00943C88"/>
    <w:rsid w:val="00943D11"/>
    <w:rsid w:val="0094552D"/>
    <w:rsid w:val="009455AD"/>
    <w:rsid w:val="00947445"/>
    <w:rsid w:val="009510FC"/>
    <w:rsid w:val="009521A0"/>
    <w:rsid w:val="00953610"/>
    <w:rsid w:val="009557A8"/>
    <w:rsid w:val="009558E0"/>
    <w:rsid w:val="009561E9"/>
    <w:rsid w:val="009563A9"/>
    <w:rsid w:val="00956414"/>
    <w:rsid w:val="00957296"/>
    <w:rsid w:val="00957977"/>
    <w:rsid w:val="00957A11"/>
    <w:rsid w:val="00960082"/>
    <w:rsid w:val="009607EF"/>
    <w:rsid w:val="00960ABA"/>
    <w:rsid w:val="00962A24"/>
    <w:rsid w:val="009631BD"/>
    <w:rsid w:val="0096446A"/>
    <w:rsid w:val="009644D2"/>
    <w:rsid w:val="009658FB"/>
    <w:rsid w:val="00975131"/>
    <w:rsid w:val="00976CED"/>
    <w:rsid w:val="00980BCE"/>
    <w:rsid w:val="0098199C"/>
    <w:rsid w:val="00981EB0"/>
    <w:rsid w:val="009827B8"/>
    <w:rsid w:val="00982C52"/>
    <w:rsid w:val="00984092"/>
    <w:rsid w:val="00984C94"/>
    <w:rsid w:val="0098569E"/>
    <w:rsid w:val="00985EEC"/>
    <w:rsid w:val="009867D3"/>
    <w:rsid w:val="009874A8"/>
    <w:rsid w:val="00987A8A"/>
    <w:rsid w:val="0099282C"/>
    <w:rsid w:val="009934BB"/>
    <w:rsid w:val="009941E2"/>
    <w:rsid w:val="00996E5F"/>
    <w:rsid w:val="00997162"/>
    <w:rsid w:val="00997165"/>
    <w:rsid w:val="009A2094"/>
    <w:rsid w:val="009A2CC6"/>
    <w:rsid w:val="009A4157"/>
    <w:rsid w:val="009A474D"/>
    <w:rsid w:val="009A5977"/>
    <w:rsid w:val="009B1B56"/>
    <w:rsid w:val="009B1D3F"/>
    <w:rsid w:val="009B215D"/>
    <w:rsid w:val="009B2606"/>
    <w:rsid w:val="009B3074"/>
    <w:rsid w:val="009B5296"/>
    <w:rsid w:val="009B5B78"/>
    <w:rsid w:val="009B61C2"/>
    <w:rsid w:val="009C02F2"/>
    <w:rsid w:val="009C195E"/>
    <w:rsid w:val="009C232A"/>
    <w:rsid w:val="009C29E9"/>
    <w:rsid w:val="009C5AD2"/>
    <w:rsid w:val="009D1449"/>
    <w:rsid w:val="009D2379"/>
    <w:rsid w:val="009D244F"/>
    <w:rsid w:val="009D26AC"/>
    <w:rsid w:val="009D2F0A"/>
    <w:rsid w:val="009D3B53"/>
    <w:rsid w:val="009D55C8"/>
    <w:rsid w:val="009D68C1"/>
    <w:rsid w:val="009D76D9"/>
    <w:rsid w:val="009E625A"/>
    <w:rsid w:val="009F0575"/>
    <w:rsid w:val="009F0723"/>
    <w:rsid w:val="009F2341"/>
    <w:rsid w:val="009F7813"/>
    <w:rsid w:val="00A004B7"/>
    <w:rsid w:val="00A02C3B"/>
    <w:rsid w:val="00A034D1"/>
    <w:rsid w:val="00A044D0"/>
    <w:rsid w:val="00A049EB"/>
    <w:rsid w:val="00A06BEF"/>
    <w:rsid w:val="00A0762F"/>
    <w:rsid w:val="00A07AAF"/>
    <w:rsid w:val="00A10523"/>
    <w:rsid w:val="00A1099E"/>
    <w:rsid w:val="00A10BFD"/>
    <w:rsid w:val="00A12502"/>
    <w:rsid w:val="00A13A13"/>
    <w:rsid w:val="00A13CD3"/>
    <w:rsid w:val="00A13F5D"/>
    <w:rsid w:val="00A15982"/>
    <w:rsid w:val="00A239FE"/>
    <w:rsid w:val="00A24C75"/>
    <w:rsid w:val="00A24E0E"/>
    <w:rsid w:val="00A264B7"/>
    <w:rsid w:val="00A26A03"/>
    <w:rsid w:val="00A26A7D"/>
    <w:rsid w:val="00A26D5E"/>
    <w:rsid w:val="00A27946"/>
    <w:rsid w:val="00A31DBE"/>
    <w:rsid w:val="00A33519"/>
    <w:rsid w:val="00A339E5"/>
    <w:rsid w:val="00A3473D"/>
    <w:rsid w:val="00A34A6A"/>
    <w:rsid w:val="00A35CEA"/>
    <w:rsid w:val="00A3675F"/>
    <w:rsid w:val="00A37215"/>
    <w:rsid w:val="00A419B1"/>
    <w:rsid w:val="00A429AE"/>
    <w:rsid w:val="00A42BE5"/>
    <w:rsid w:val="00A44ADD"/>
    <w:rsid w:val="00A45D95"/>
    <w:rsid w:val="00A46FF1"/>
    <w:rsid w:val="00A47933"/>
    <w:rsid w:val="00A514CF"/>
    <w:rsid w:val="00A52262"/>
    <w:rsid w:val="00A528C0"/>
    <w:rsid w:val="00A53434"/>
    <w:rsid w:val="00A568C4"/>
    <w:rsid w:val="00A602F4"/>
    <w:rsid w:val="00A61187"/>
    <w:rsid w:val="00A61946"/>
    <w:rsid w:val="00A61B09"/>
    <w:rsid w:val="00A61D66"/>
    <w:rsid w:val="00A62494"/>
    <w:rsid w:val="00A6260F"/>
    <w:rsid w:val="00A64D4D"/>
    <w:rsid w:val="00A66811"/>
    <w:rsid w:val="00A66A72"/>
    <w:rsid w:val="00A703CA"/>
    <w:rsid w:val="00A71331"/>
    <w:rsid w:val="00A71AFE"/>
    <w:rsid w:val="00A723ED"/>
    <w:rsid w:val="00A72A37"/>
    <w:rsid w:val="00A72FA0"/>
    <w:rsid w:val="00A752C6"/>
    <w:rsid w:val="00A764A8"/>
    <w:rsid w:val="00A771AA"/>
    <w:rsid w:val="00A77DE2"/>
    <w:rsid w:val="00A84300"/>
    <w:rsid w:val="00A84AC7"/>
    <w:rsid w:val="00A84BDD"/>
    <w:rsid w:val="00A8517E"/>
    <w:rsid w:val="00A853A7"/>
    <w:rsid w:val="00A85B15"/>
    <w:rsid w:val="00A877AE"/>
    <w:rsid w:val="00A92CEE"/>
    <w:rsid w:val="00A92D8C"/>
    <w:rsid w:val="00A932EA"/>
    <w:rsid w:val="00A936AE"/>
    <w:rsid w:val="00A944A6"/>
    <w:rsid w:val="00A94D7F"/>
    <w:rsid w:val="00A94E6D"/>
    <w:rsid w:val="00A94E89"/>
    <w:rsid w:val="00A9527B"/>
    <w:rsid w:val="00A9584C"/>
    <w:rsid w:val="00A96CA1"/>
    <w:rsid w:val="00A971B5"/>
    <w:rsid w:val="00AA34C3"/>
    <w:rsid w:val="00AA3DBE"/>
    <w:rsid w:val="00AA4FE1"/>
    <w:rsid w:val="00AA69BE"/>
    <w:rsid w:val="00AA6D14"/>
    <w:rsid w:val="00AB0005"/>
    <w:rsid w:val="00AB0976"/>
    <w:rsid w:val="00AB1277"/>
    <w:rsid w:val="00AB1347"/>
    <w:rsid w:val="00AB27FF"/>
    <w:rsid w:val="00AB361D"/>
    <w:rsid w:val="00AB3D46"/>
    <w:rsid w:val="00AB47BE"/>
    <w:rsid w:val="00AB7693"/>
    <w:rsid w:val="00AB7FEA"/>
    <w:rsid w:val="00AC051B"/>
    <w:rsid w:val="00AC0E03"/>
    <w:rsid w:val="00AC2E77"/>
    <w:rsid w:val="00AC508D"/>
    <w:rsid w:val="00AC5106"/>
    <w:rsid w:val="00AC711C"/>
    <w:rsid w:val="00AD2FF3"/>
    <w:rsid w:val="00AD35ED"/>
    <w:rsid w:val="00AD396C"/>
    <w:rsid w:val="00AD4E2D"/>
    <w:rsid w:val="00AD5339"/>
    <w:rsid w:val="00AD65ED"/>
    <w:rsid w:val="00AD7857"/>
    <w:rsid w:val="00AE07BC"/>
    <w:rsid w:val="00AE089F"/>
    <w:rsid w:val="00AE0F12"/>
    <w:rsid w:val="00AE2175"/>
    <w:rsid w:val="00AE36EF"/>
    <w:rsid w:val="00AE3FE6"/>
    <w:rsid w:val="00AE50E6"/>
    <w:rsid w:val="00AE5B41"/>
    <w:rsid w:val="00AE6EF1"/>
    <w:rsid w:val="00AF1F2C"/>
    <w:rsid w:val="00AF209F"/>
    <w:rsid w:val="00AF254E"/>
    <w:rsid w:val="00AF2928"/>
    <w:rsid w:val="00AF3457"/>
    <w:rsid w:val="00AF3A96"/>
    <w:rsid w:val="00AF4B74"/>
    <w:rsid w:val="00AF4FDB"/>
    <w:rsid w:val="00AF56B8"/>
    <w:rsid w:val="00AF659C"/>
    <w:rsid w:val="00AF70B3"/>
    <w:rsid w:val="00AF74EE"/>
    <w:rsid w:val="00B005A6"/>
    <w:rsid w:val="00B00AE6"/>
    <w:rsid w:val="00B01595"/>
    <w:rsid w:val="00B01C5D"/>
    <w:rsid w:val="00B03233"/>
    <w:rsid w:val="00B03544"/>
    <w:rsid w:val="00B03B07"/>
    <w:rsid w:val="00B066C7"/>
    <w:rsid w:val="00B1110D"/>
    <w:rsid w:val="00B11166"/>
    <w:rsid w:val="00B114F0"/>
    <w:rsid w:val="00B15703"/>
    <w:rsid w:val="00B1657C"/>
    <w:rsid w:val="00B17766"/>
    <w:rsid w:val="00B2178D"/>
    <w:rsid w:val="00B223CD"/>
    <w:rsid w:val="00B30EFC"/>
    <w:rsid w:val="00B31692"/>
    <w:rsid w:val="00B33BE2"/>
    <w:rsid w:val="00B33D0B"/>
    <w:rsid w:val="00B34A70"/>
    <w:rsid w:val="00B35C9B"/>
    <w:rsid w:val="00B36612"/>
    <w:rsid w:val="00B3690B"/>
    <w:rsid w:val="00B41855"/>
    <w:rsid w:val="00B45615"/>
    <w:rsid w:val="00B462F0"/>
    <w:rsid w:val="00B463FF"/>
    <w:rsid w:val="00B46A58"/>
    <w:rsid w:val="00B46BB2"/>
    <w:rsid w:val="00B47352"/>
    <w:rsid w:val="00B473C0"/>
    <w:rsid w:val="00B4759F"/>
    <w:rsid w:val="00B47EEB"/>
    <w:rsid w:val="00B504B8"/>
    <w:rsid w:val="00B5267B"/>
    <w:rsid w:val="00B61087"/>
    <w:rsid w:val="00B62F2D"/>
    <w:rsid w:val="00B63261"/>
    <w:rsid w:val="00B6364C"/>
    <w:rsid w:val="00B63818"/>
    <w:rsid w:val="00B63843"/>
    <w:rsid w:val="00B64397"/>
    <w:rsid w:val="00B64871"/>
    <w:rsid w:val="00B661FD"/>
    <w:rsid w:val="00B7078D"/>
    <w:rsid w:val="00B70A65"/>
    <w:rsid w:val="00B70F6D"/>
    <w:rsid w:val="00B74CD1"/>
    <w:rsid w:val="00B753D2"/>
    <w:rsid w:val="00B75506"/>
    <w:rsid w:val="00B759D5"/>
    <w:rsid w:val="00B75D15"/>
    <w:rsid w:val="00B761AA"/>
    <w:rsid w:val="00B77DB0"/>
    <w:rsid w:val="00B77E33"/>
    <w:rsid w:val="00B80263"/>
    <w:rsid w:val="00B811D1"/>
    <w:rsid w:val="00B852E0"/>
    <w:rsid w:val="00B85CD1"/>
    <w:rsid w:val="00B86CD5"/>
    <w:rsid w:val="00B9048E"/>
    <w:rsid w:val="00B9116F"/>
    <w:rsid w:val="00B92923"/>
    <w:rsid w:val="00B96414"/>
    <w:rsid w:val="00B9641D"/>
    <w:rsid w:val="00B96C2D"/>
    <w:rsid w:val="00BA028C"/>
    <w:rsid w:val="00BA1A50"/>
    <w:rsid w:val="00BA3AC1"/>
    <w:rsid w:val="00BA5700"/>
    <w:rsid w:val="00BA744C"/>
    <w:rsid w:val="00BB01EF"/>
    <w:rsid w:val="00BB1542"/>
    <w:rsid w:val="00BB1A08"/>
    <w:rsid w:val="00BB1E17"/>
    <w:rsid w:val="00BB3A4A"/>
    <w:rsid w:val="00BB4785"/>
    <w:rsid w:val="00BB4B05"/>
    <w:rsid w:val="00BB683A"/>
    <w:rsid w:val="00BB76DB"/>
    <w:rsid w:val="00BB7B88"/>
    <w:rsid w:val="00BC0A5B"/>
    <w:rsid w:val="00BC2EBB"/>
    <w:rsid w:val="00BC3D20"/>
    <w:rsid w:val="00BC4A85"/>
    <w:rsid w:val="00BC5751"/>
    <w:rsid w:val="00BC7B9C"/>
    <w:rsid w:val="00BD250C"/>
    <w:rsid w:val="00BD504C"/>
    <w:rsid w:val="00BD5608"/>
    <w:rsid w:val="00BD68B0"/>
    <w:rsid w:val="00BE0B89"/>
    <w:rsid w:val="00BE2A5A"/>
    <w:rsid w:val="00BE41B4"/>
    <w:rsid w:val="00BE43BF"/>
    <w:rsid w:val="00BE52DC"/>
    <w:rsid w:val="00BE570E"/>
    <w:rsid w:val="00BE7551"/>
    <w:rsid w:val="00BF09E5"/>
    <w:rsid w:val="00BF111B"/>
    <w:rsid w:val="00BF1F32"/>
    <w:rsid w:val="00BF2B17"/>
    <w:rsid w:val="00BF6936"/>
    <w:rsid w:val="00BF69BA"/>
    <w:rsid w:val="00C02B79"/>
    <w:rsid w:val="00C05380"/>
    <w:rsid w:val="00C05A9A"/>
    <w:rsid w:val="00C06A2E"/>
    <w:rsid w:val="00C070EF"/>
    <w:rsid w:val="00C07DED"/>
    <w:rsid w:val="00C10081"/>
    <w:rsid w:val="00C1090E"/>
    <w:rsid w:val="00C117F8"/>
    <w:rsid w:val="00C14D02"/>
    <w:rsid w:val="00C159A9"/>
    <w:rsid w:val="00C22004"/>
    <w:rsid w:val="00C22352"/>
    <w:rsid w:val="00C2236F"/>
    <w:rsid w:val="00C22505"/>
    <w:rsid w:val="00C2444D"/>
    <w:rsid w:val="00C24F4F"/>
    <w:rsid w:val="00C25358"/>
    <w:rsid w:val="00C254A1"/>
    <w:rsid w:val="00C255A4"/>
    <w:rsid w:val="00C2570B"/>
    <w:rsid w:val="00C27C11"/>
    <w:rsid w:val="00C3005C"/>
    <w:rsid w:val="00C30917"/>
    <w:rsid w:val="00C31220"/>
    <w:rsid w:val="00C31EA3"/>
    <w:rsid w:val="00C328F0"/>
    <w:rsid w:val="00C32AA5"/>
    <w:rsid w:val="00C3386C"/>
    <w:rsid w:val="00C34475"/>
    <w:rsid w:val="00C36338"/>
    <w:rsid w:val="00C3656F"/>
    <w:rsid w:val="00C36978"/>
    <w:rsid w:val="00C37E40"/>
    <w:rsid w:val="00C40BE7"/>
    <w:rsid w:val="00C40F2E"/>
    <w:rsid w:val="00C418FC"/>
    <w:rsid w:val="00C4214D"/>
    <w:rsid w:val="00C44C28"/>
    <w:rsid w:val="00C44DB8"/>
    <w:rsid w:val="00C4548C"/>
    <w:rsid w:val="00C459A4"/>
    <w:rsid w:val="00C45C04"/>
    <w:rsid w:val="00C47607"/>
    <w:rsid w:val="00C47A6D"/>
    <w:rsid w:val="00C528EB"/>
    <w:rsid w:val="00C53574"/>
    <w:rsid w:val="00C53AE9"/>
    <w:rsid w:val="00C55421"/>
    <w:rsid w:val="00C55462"/>
    <w:rsid w:val="00C55A29"/>
    <w:rsid w:val="00C55ED5"/>
    <w:rsid w:val="00C57572"/>
    <w:rsid w:val="00C576D5"/>
    <w:rsid w:val="00C6114C"/>
    <w:rsid w:val="00C61895"/>
    <w:rsid w:val="00C62064"/>
    <w:rsid w:val="00C62E36"/>
    <w:rsid w:val="00C63288"/>
    <w:rsid w:val="00C6381B"/>
    <w:rsid w:val="00C63DE1"/>
    <w:rsid w:val="00C646D2"/>
    <w:rsid w:val="00C64DDB"/>
    <w:rsid w:val="00C65781"/>
    <w:rsid w:val="00C658CE"/>
    <w:rsid w:val="00C65906"/>
    <w:rsid w:val="00C6620D"/>
    <w:rsid w:val="00C66891"/>
    <w:rsid w:val="00C67EC7"/>
    <w:rsid w:val="00C703B2"/>
    <w:rsid w:val="00C7080E"/>
    <w:rsid w:val="00C70ECC"/>
    <w:rsid w:val="00C72DC6"/>
    <w:rsid w:val="00C73EBF"/>
    <w:rsid w:val="00C73F57"/>
    <w:rsid w:val="00C750E9"/>
    <w:rsid w:val="00C75642"/>
    <w:rsid w:val="00C76670"/>
    <w:rsid w:val="00C80CDE"/>
    <w:rsid w:val="00C81F2B"/>
    <w:rsid w:val="00C82026"/>
    <w:rsid w:val="00C83066"/>
    <w:rsid w:val="00C837C7"/>
    <w:rsid w:val="00C83B29"/>
    <w:rsid w:val="00C84E54"/>
    <w:rsid w:val="00C870BC"/>
    <w:rsid w:val="00C87443"/>
    <w:rsid w:val="00C911A2"/>
    <w:rsid w:val="00C93AFF"/>
    <w:rsid w:val="00C9446B"/>
    <w:rsid w:val="00C951DB"/>
    <w:rsid w:val="00C95761"/>
    <w:rsid w:val="00C960A7"/>
    <w:rsid w:val="00C96204"/>
    <w:rsid w:val="00C96363"/>
    <w:rsid w:val="00C97A9E"/>
    <w:rsid w:val="00CA188C"/>
    <w:rsid w:val="00CA1FC7"/>
    <w:rsid w:val="00CA2626"/>
    <w:rsid w:val="00CA3CF3"/>
    <w:rsid w:val="00CA468A"/>
    <w:rsid w:val="00CA59D8"/>
    <w:rsid w:val="00CB0325"/>
    <w:rsid w:val="00CB05D4"/>
    <w:rsid w:val="00CB0F9C"/>
    <w:rsid w:val="00CB1F3F"/>
    <w:rsid w:val="00CB23E8"/>
    <w:rsid w:val="00CB2C01"/>
    <w:rsid w:val="00CB4CA4"/>
    <w:rsid w:val="00CB4DD6"/>
    <w:rsid w:val="00CB5CCB"/>
    <w:rsid w:val="00CB60B3"/>
    <w:rsid w:val="00CB70B5"/>
    <w:rsid w:val="00CC055F"/>
    <w:rsid w:val="00CC39FE"/>
    <w:rsid w:val="00CD15AA"/>
    <w:rsid w:val="00CD1A67"/>
    <w:rsid w:val="00CD268D"/>
    <w:rsid w:val="00CD3AC7"/>
    <w:rsid w:val="00CD521A"/>
    <w:rsid w:val="00CD5B19"/>
    <w:rsid w:val="00CD70AA"/>
    <w:rsid w:val="00CD74FD"/>
    <w:rsid w:val="00CE0BBA"/>
    <w:rsid w:val="00CE1201"/>
    <w:rsid w:val="00CE1617"/>
    <w:rsid w:val="00CE1E58"/>
    <w:rsid w:val="00CE28B5"/>
    <w:rsid w:val="00CE5B52"/>
    <w:rsid w:val="00CE63BB"/>
    <w:rsid w:val="00CE680A"/>
    <w:rsid w:val="00CF05D8"/>
    <w:rsid w:val="00CF278F"/>
    <w:rsid w:val="00CF37F0"/>
    <w:rsid w:val="00CF44F4"/>
    <w:rsid w:val="00CF4511"/>
    <w:rsid w:val="00CF465A"/>
    <w:rsid w:val="00CF4BED"/>
    <w:rsid w:val="00CF5167"/>
    <w:rsid w:val="00CF7842"/>
    <w:rsid w:val="00D002F7"/>
    <w:rsid w:val="00D006B0"/>
    <w:rsid w:val="00D01431"/>
    <w:rsid w:val="00D0194F"/>
    <w:rsid w:val="00D020E9"/>
    <w:rsid w:val="00D040CA"/>
    <w:rsid w:val="00D055E3"/>
    <w:rsid w:val="00D0598C"/>
    <w:rsid w:val="00D05E11"/>
    <w:rsid w:val="00D05E3D"/>
    <w:rsid w:val="00D0638F"/>
    <w:rsid w:val="00D06A38"/>
    <w:rsid w:val="00D06BD8"/>
    <w:rsid w:val="00D107E5"/>
    <w:rsid w:val="00D11CD5"/>
    <w:rsid w:val="00D12E53"/>
    <w:rsid w:val="00D13A1F"/>
    <w:rsid w:val="00D14D1A"/>
    <w:rsid w:val="00D1542F"/>
    <w:rsid w:val="00D15FB5"/>
    <w:rsid w:val="00D20E80"/>
    <w:rsid w:val="00D219FB"/>
    <w:rsid w:val="00D32768"/>
    <w:rsid w:val="00D3428A"/>
    <w:rsid w:val="00D3504B"/>
    <w:rsid w:val="00D36ECC"/>
    <w:rsid w:val="00D37323"/>
    <w:rsid w:val="00D41ECD"/>
    <w:rsid w:val="00D43357"/>
    <w:rsid w:val="00D43486"/>
    <w:rsid w:val="00D439C1"/>
    <w:rsid w:val="00D458FC"/>
    <w:rsid w:val="00D467F0"/>
    <w:rsid w:val="00D502CD"/>
    <w:rsid w:val="00D50EE7"/>
    <w:rsid w:val="00D52282"/>
    <w:rsid w:val="00D53552"/>
    <w:rsid w:val="00D549FB"/>
    <w:rsid w:val="00D55E57"/>
    <w:rsid w:val="00D609BB"/>
    <w:rsid w:val="00D60D11"/>
    <w:rsid w:val="00D6121D"/>
    <w:rsid w:val="00D62D50"/>
    <w:rsid w:val="00D635D0"/>
    <w:rsid w:val="00D64532"/>
    <w:rsid w:val="00D65A45"/>
    <w:rsid w:val="00D66977"/>
    <w:rsid w:val="00D66FAE"/>
    <w:rsid w:val="00D673B7"/>
    <w:rsid w:val="00D70409"/>
    <w:rsid w:val="00D70961"/>
    <w:rsid w:val="00D71C68"/>
    <w:rsid w:val="00D72DF7"/>
    <w:rsid w:val="00D732D7"/>
    <w:rsid w:val="00D74B4A"/>
    <w:rsid w:val="00D76528"/>
    <w:rsid w:val="00D76CE7"/>
    <w:rsid w:val="00D8280D"/>
    <w:rsid w:val="00D8354A"/>
    <w:rsid w:val="00D85E7E"/>
    <w:rsid w:val="00D87956"/>
    <w:rsid w:val="00D902E9"/>
    <w:rsid w:val="00D907CC"/>
    <w:rsid w:val="00D91950"/>
    <w:rsid w:val="00D920A0"/>
    <w:rsid w:val="00D920DD"/>
    <w:rsid w:val="00D93E24"/>
    <w:rsid w:val="00D9459D"/>
    <w:rsid w:val="00D94E72"/>
    <w:rsid w:val="00D958BE"/>
    <w:rsid w:val="00D9637E"/>
    <w:rsid w:val="00D96830"/>
    <w:rsid w:val="00DA0D03"/>
    <w:rsid w:val="00DA27E4"/>
    <w:rsid w:val="00DA5E64"/>
    <w:rsid w:val="00DA7136"/>
    <w:rsid w:val="00DB0979"/>
    <w:rsid w:val="00DB0FCC"/>
    <w:rsid w:val="00DB2351"/>
    <w:rsid w:val="00DB2B45"/>
    <w:rsid w:val="00DB33A9"/>
    <w:rsid w:val="00DB3874"/>
    <w:rsid w:val="00DB3EF0"/>
    <w:rsid w:val="00DB4B9D"/>
    <w:rsid w:val="00DB5985"/>
    <w:rsid w:val="00DB5E35"/>
    <w:rsid w:val="00DB5EAA"/>
    <w:rsid w:val="00DB5F5C"/>
    <w:rsid w:val="00DB61F0"/>
    <w:rsid w:val="00DB76E4"/>
    <w:rsid w:val="00DB7D87"/>
    <w:rsid w:val="00DC2146"/>
    <w:rsid w:val="00DC3A3C"/>
    <w:rsid w:val="00DC409D"/>
    <w:rsid w:val="00DC5A73"/>
    <w:rsid w:val="00DC6257"/>
    <w:rsid w:val="00DC64DA"/>
    <w:rsid w:val="00DC6F69"/>
    <w:rsid w:val="00DC768B"/>
    <w:rsid w:val="00DD0BF2"/>
    <w:rsid w:val="00DD2E6A"/>
    <w:rsid w:val="00DD3760"/>
    <w:rsid w:val="00DD3A1C"/>
    <w:rsid w:val="00DD43DD"/>
    <w:rsid w:val="00DD45FF"/>
    <w:rsid w:val="00DE1559"/>
    <w:rsid w:val="00DE1FA4"/>
    <w:rsid w:val="00DE27BA"/>
    <w:rsid w:val="00DE2880"/>
    <w:rsid w:val="00DE2AEC"/>
    <w:rsid w:val="00DE3E8D"/>
    <w:rsid w:val="00DE4BAC"/>
    <w:rsid w:val="00DE550F"/>
    <w:rsid w:val="00DE5920"/>
    <w:rsid w:val="00DE6349"/>
    <w:rsid w:val="00DE64FF"/>
    <w:rsid w:val="00DE738D"/>
    <w:rsid w:val="00DE7A71"/>
    <w:rsid w:val="00DE7FDB"/>
    <w:rsid w:val="00DF0F7E"/>
    <w:rsid w:val="00DF1B3B"/>
    <w:rsid w:val="00DF2051"/>
    <w:rsid w:val="00DF56A7"/>
    <w:rsid w:val="00DF6D39"/>
    <w:rsid w:val="00DF6F4E"/>
    <w:rsid w:val="00E01488"/>
    <w:rsid w:val="00E02E70"/>
    <w:rsid w:val="00E03A68"/>
    <w:rsid w:val="00E03D44"/>
    <w:rsid w:val="00E06AE4"/>
    <w:rsid w:val="00E07AB6"/>
    <w:rsid w:val="00E107FE"/>
    <w:rsid w:val="00E10BE8"/>
    <w:rsid w:val="00E1189C"/>
    <w:rsid w:val="00E13D9E"/>
    <w:rsid w:val="00E140E2"/>
    <w:rsid w:val="00E1790F"/>
    <w:rsid w:val="00E17949"/>
    <w:rsid w:val="00E17FC2"/>
    <w:rsid w:val="00E20779"/>
    <w:rsid w:val="00E21035"/>
    <w:rsid w:val="00E21159"/>
    <w:rsid w:val="00E22718"/>
    <w:rsid w:val="00E227D3"/>
    <w:rsid w:val="00E22828"/>
    <w:rsid w:val="00E22A34"/>
    <w:rsid w:val="00E23F1B"/>
    <w:rsid w:val="00E24E17"/>
    <w:rsid w:val="00E25BDC"/>
    <w:rsid w:val="00E2629F"/>
    <w:rsid w:val="00E27180"/>
    <w:rsid w:val="00E30E1B"/>
    <w:rsid w:val="00E30FD8"/>
    <w:rsid w:val="00E32372"/>
    <w:rsid w:val="00E32BB6"/>
    <w:rsid w:val="00E340EE"/>
    <w:rsid w:val="00E34992"/>
    <w:rsid w:val="00E35B3B"/>
    <w:rsid w:val="00E42330"/>
    <w:rsid w:val="00E4286C"/>
    <w:rsid w:val="00E42A2D"/>
    <w:rsid w:val="00E430E5"/>
    <w:rsid w:val="00E458A6"/>
    <w:rsid w:val="00E46384"/>
    <w:rsid w:val="00E470A7"/>
    <w:rsid w:val="00E47ACC"/>
    <w:rsid w:val="00E5048C"/>
    <w:rsid w:val="00E51EB9"/>
    <w:rsid w:val="00E545F5"/>
    <w:rsid w:val="00E553DB"/>
    <w:rsid w:val="00E56D08"/>
    <w:rsid w:val="00E60737"/>
    <w:rsid w:val="00E60897"/>
    <w:rsid w:val="00E61F73"/>
    <w:rsid w:val="00E62287"/>
    <w:rsid w:val="00E63365"/>
    <w:rsid w:val="00E64CC0"/>
    <w:rsid w:val="00E65AAC"/>
    <w:rsid w:val="00E65D4D"/>
    <w:rsid w:val="00E66066"/>
    <w:rsid w:val="00E67219"/>
    <w:rsid w:val="00E672C2"/>
    <w:rsid w:val="00E6759D"/>
    <w:rsid w:val="00E726D9"/>
    <w:rsid w:val="00E737A9"/>
    <w:rsid w:val="00E7609B"/>
    <w:rsid w:val="00E76AB5"/>
    <w:rsid w:val="00E77145"/>
    <w:rsid w:val="00E81102"/>
    <w:rsid w:val="00E81A28"/>
    <w:rsid w:val="00E82CC4"/>
    <w:rsid w:val="00E82CF7"/>
    <w:rsid w:val="00E83416"/>
    <w:rsid w:val="00E86869"/>
    <w:rsid w:val="00E904BB"/>
    <w:rsid w:val="00E90B4D"/>
    <w:rsid w:val="00E90E62"/>
    <w:rsid w:val="00E9426B"/>
    <w:rsid w:val="00E95E77"/>
    <w:rsid w:val="00E96137"/>
    <w:rsid w:val="00EA114D"/>
    <w:rsid w:val="00EA1B82"/>
    <w:rsid w:val="00EA1EAC"/>
    <w:rsid w:val="00EA3E29"/>
    <w:rsid w:val="00EA4F25"/>
    <w:rsid w:val="00EA4FA1"/>
    <w:rsid w:val="00EA5407"/>
    <w:rsid w:val="00EA6550"/>
    <w:rsid w:val="00EA7022"/>
    <w:rsid w:val="00EA702A"/>
    <w:rsid w:val="00EA7380"/>
    <w:rsid w:val="00EB0387"/>
    <w:rsid w:val="00EB124E"/>
    <w:rsid w:val="00EB1349"/>
    <w:rsid w:val="00EB13D9"/>
    <w:rsid w:val="00EB183A"/>
    <w:rsid w:val="00EB4E87"/>
    <w:rsid w:val="00EB57EE"/>
    <w:rsid w:val="00EB581A"/>
    <w:rsid w:val="00EB6603"/>
    <w:rsid w:val="00EB692B"/>
    <w:rsid w:val="00EB6B9A"/>
    <w:rsid w:val="00EB6F3B"/>
    <w:rsid w:val="00EB7641"/>
    <w:rsid w:val="00EB7EAC"/>
    <w:rsid w:val="00EC02D2"/>
    <w:rsid w:val="00EC1761"/>
    <w:rsid w:val="00EC1B72"/>
    <w:rsid w:val="00EC210A"/>
    <w:rsid w:val="00EC265C"/>
    <w:rsid w:val="00EC3241"/>
    <w:rsid w:val="00EC6622"/>
    <w:rsid w:val="00ED02CB"/>
    <w:rsid w:val="00ED1573"/>
    <w:rsid w:val="00ED1605"/>
    <w:rsid w:val="00ED1873"/>
    <w:rsid w:val="00ED4094"/>
    <w:rsid w:val="00ED455C"/>
    <w:rsid w:val="00ED514E"/>
    <w:rsid w:val="00ED703E"/>
    <w:rsid w:val="00EE1430"/>
    <w:rsid w:val="00EE1838"/>
    <w:rsid w:val="00EE2F8B"/>
    <w:rsid w:val="00EE4203"/>
    <w:rsid w:val="00EE4F7A"/>
    <w:rsid w:val="00EE6DC1"/>
    <w:rsid w:val="00EE791D"/>
    <w:rsid w:val="00EF02A4"/>
    <w:rsid w:val="00EF10BA"/>
    <w:rsid w:val="00EF13F5"/>
    <w:rsid w:val="00EF1DE5"/>
    <w:rsid w:val="00EF2A99"/>
    <w:rsid w:val="00EF2ED7"/>
    <w:rsid w:val="00EF5EAF"/>
    <w:rsid w:val="00EF6142"/>
    <w:rsid w:val="00EF698F"/>
    <w:rsid w:val="00EF77CB"/>
    <w:rsid w:val="00F00826"/>
    <w:rsid w:val="00F008E7"/>
    <w:rsid w:val="00F044DF"/>
    <w:rsid w:val="00F0450C"/>
    <w:rsid w:val="00F0458E"/>
    <w:rsid w:val="00F04D53"/>
    <w:rsid w:val="00F05447"/>
    <w:rsid w:val="00F061EC"/>
    <w:rsid w:val="00F068B2"/>
    <w:rsid w:val="00F11856"/>
    <w:rsid w:val="00F134D1"/>
    <w:rsid w:val="00F14E48"/>
    <w:rsid w:val="00F21964"/>
    <w:rsid w:val="00F244AF"/>
    <w:rsid w:val="00F24766"/>
    <w:rsid w:val="00F248B8"/>
    <w:rsid w:val="00F278A7"/>
    <w:rsid w:val="00F27C51"/>
    <w:rsid w:val="00F307F4"/>
    <w:rsid w:val="00F31545"/>
    <w:rsid w:val="00F324F1"/>
    <w:rsid w:val="00F33A14"/>
    <w:rsid w:val="00F33A3E"/>
    <w:rsid w:val="00F33C20"/>
    <w:rsid w:val="00F34F5C"/>
    <w:rsid w:val="00F365EC"/>
    <w:rsid w:val="00F36CB7"/>
    <w:rsid w:val="00F37C7F"/>
    <w:rsid w:val="00F37EF4"/>
    <w:rsid w:val="00F40097"/>
    <w:rsid w:val="00F40BAC"/>
    <w:rsid w:val="00F43818"/>
    <w:rsid w:val="00F43FA7"/>
    <w:rsid w:val="00F44E1C"/>
    <w:rsid w:val="00F5048E"/>
    <w:rsid w:val="00F52C5C"/>
    <w:rsid w:val="00F52C9E"/>
    <w:rsid w:val="00F560F3"/>
    <w:rsid w:val="00F56616"/>
    <w:rsid w:val="00F56FE1"/>
    <w:rsid w:val="00F6012D"/>
    <w:rsid w:val="00F6109A"/>
    <w:rsid w:val="00F61BD8"/>
    <w:rsid w:val="00F61D0F"/>
    <w:rsid w:val="00F62BFF"/>
    <w:rsid w:val="00F63287"/>
    <w:rsid w:val="00F633BA"/>
    <w:rsid w:val="00F6436D"/>
    <w:rsid w:val="00F6539B"/>
    <w:rsid w:val="00F65CD5"/>
    <w:rsid w:val="00F65E0A"/>
    <w:rsid w:val="00F71545"/>
    <w:rsid w:val="00F72C78"/>
    <w:rsid w:val="00F73577"/>
    <w:rsid w:val="00F759C5"/>
    <w:rsid w:val="00F76D6A"/>
    <w:rsid w:val="00F76FE1"/>
    <w:rsid w:val="00F8055E"/>
    <w:rsid w:val="00F80E6D"/>
    <w:rsid w:val="00F840B0"/>
    <w:rsid w:val="00F84DD9"/>
    <w:rsid w:val="00F85131"/>
    <w:rsid w:val="00F8577E"/>
    <w:rsid w:val="00F86F51"/>
    <w:rsid w:val="00F87634"/>
    <w:rsid w:val="00F9018F"/>
    <w:rsid w:val="00F91A7E"/>
    <w:rsid w:val="00F91A94"/>
    <w:rsid w:val="00F926DD"/>
    <w:rsid w:val="00F93AE2"/>
    <w:rsid w:val="00F94684"/>
    <w:rsid w:val="00F953B0"/>
    <w:rsid w:val="00F97742"/>
    <w:rsid w:val="00F97EF6"/>
    <w:rsid w:val="00FA0118"/>
    <w:rsid w:val="00FA2131"/>
    <w:rsid w:val="00FA2680"/>
    <w:rsid w:val="00FA298B"/>
    <w:rsid w:val="00FA30EE"/>
    <w:rsid w:val="00FA316E"/>
    <w:rsid w:val="00FA39E2"/>
    <w:rsid w:val="00FA4BD5"/>
    <w:rsid w:val="00FA5AF0"/>
    <w:rsid w:val="00FB12F9"/>
    <w:rsid w:val="00FB1839"/>
    <w:rsid w:val="00FB1CDD"/>
    <w:rsid w:val="00FB2917"/>
    <w:rsid w:val="00FB4B41"/>
    <w:rsid w:val="00FB6EFF"/>
    <w:rsid w:val="00FB7012"/>
    <w:rsid w:val="00FC2583"/>
    <w:rsid w:val="00FC337A"/>
    <w:rsid w:val="00FC7AC3"/>
    <w:rsid w:val="00FD03DC"/>
    <w:rsid w:val="00FD262A"/>
    <w:rsid w:val="00FD3A59"/>
    <w:rsid w:val="00FD49C7"/>
    <w:rsid w:val="00FD4BB5"/>
    <w:rsid w:val="00FD5527"/>
    <w:rsid w:val="00FD5625"/>
    <w:rsid w:val="00FD5812"/>
    <w:rsid w:val="00FD5DB1"/>
    <w:rsid w:val="00FE00AD"/>
    <w:rsid w:val="00FE08B1"/>
    <w:rsid w:val="00FE1038"/>
    <w:rsid w:val="00FE1450"/>
    <w:rsid w:val="00FE1901"/>
    <w:rsid w:val="00FE284C"/>
    <w:rsid w:val="00FE2BE6"/>
    <w:rsid w:val="00FE36F5"/>
    <w:rsid w:val="00FE3D9A"/>
    <w:rsid w:val="00FE4644"/>
    <w:rsid w:val="00FE519B"/>
    <w:rsid w:val="00FE68CB"/>
    <w:rsid w:val="00FE7685"/>
    <w:rsid w:val="00FF0458"/>
    <w:rsid w:val="00FF071B"/>
    <w:rsid w:val="00FF12D7"/>
    <w:rsid w:val="00FF428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72B84114"/>
  <w15:docId w15:val="{BF763755-55B2-4994-8A04-C641812E9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color w:val="000000" w:themeColor="text1"/>
        <w:lang w:val="de-CH" w:eastAsia="de-CH" w:bidi="ar-SA"/>
      </w:rPr>
    </w:rPrDefault>
    <w:pPrDefault/>
  </w:docDefaults>
  <w:latentStyles w:defLockedState="0" w:defUIPriority="0" w:defSemiHidden="0" w:defUnhideWhenUsed="0" w:defQFormat="0" w:count="376">
    <w:lsdException w:name="Normal" w:uiPriority="2"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8" w:unhideWhenUsed="1"/>
    <w:lsdException w:name="index 2" w:semiHidden="1" w:uiPriority="98" w:unhideWhenUsed="1"/>
    <w:lsdException w:name="index 3" w:semiHidden="1" w:uiPriority="98" w:unhideWhenUsed="1"/>
    <w:lsdException w:name="index 4" w:semiHidden="1" w:uiPriority="98" w:unhideWhenUsed="1"/>
    <w:lsdException w:name="index 5" w:semiHidden="1" w:uiPriority="98" w:unhideWhenUsed="1"/>
    <w:lsdException w:name="index 6" w:semiHidden="1" w:uiPriority="98" w:unhideWhenUsed="1"/>
    <w:lsdException w:name="index 7" w:semiHidden="1" w:uiPriority="98" w:unhideWhenUsed="1"/>
    <w:lsdException w:name="index 8" w:semiHidden="1" w:uiPriority="98" w:unhideWhenUsed="1"/>
    <w:lsdException w:name="index 9" w:semiHidden="1" w:uiPriority="98"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1" w:semiHidden="1" w:uiPriority="12" w:unhideWhenUsed="1"/>
    <w:lsdException w:name="header" w:semiHidden="1" w:unhideWhenUsed="1"/>
    <w:lsdException w:name="footer" w:semiHidden="1" w:uiPriority="99" w:unhideWhenUsed="1"/>
    <w:lsdException w:name="index heading" w:semiHidden="1" w:uiPriority="98" w:unhideWhenUsed="1"/>
    <w:lsdException w:name="caption" w:semiHidden="1" w:unhideWhenUsed="1" w:qFormat="1"/>
    <w:lsdException w:name="table of figures" w:semiHidden="1" w:uiPriority="6" w:unhideWhenUsed="1"/>
    <w:lsdException w:name="envelope address" w:semiHidden="1" w:uiPriority="98" w:unhideWhenUsed="1"/>
    <w:lsdException w:name="envelope return" w:semiHidden="1" w:unhideWhenUsed="1"/>
    <w:lsdException w:name="footnote reference" w:semiHidden="1" w:unhideWhenUsed="1"/>
    <w:lsdException w:name="annotation reference" w:locked="1" w:semiHidden="1" w:uiPriority="98" w:unhideWhenUsed="1"/>
    <w:lsdException w:name="line number" w:semiHidden="1" w:unhideWhenUsed="1"/>
    <w:lsdException w:name="page number" w:semiHidden="1" w:uiPriority="98" w:unhideWhenUsed="1"/>
    <w:lsdException w:name="endnote reference" w:semiHidden="1" w:uiPriority="98" w:unhideWhenUsed="1"/>
    <w:lsdException w:name="endnote text" w:semiHidden="1" w:uiPriority="98" w:unhideWhenUsed="1"/>
    <w:lsdException w:name="table of authorities" w:semiHidden="1" w:uiPriority="98"/>
    <w:lsdException w:name="macro" w:semiHidden="1" w:uiPriority="98" w:unhideWhenUsed="1"/>
    <w:lsdException w:name="toa heading" w:locked="1" w:semiHidden="1" w:uiPriority="98" w:unhideWhenUsed="1"/>
    <w:lsdException w:name="List" w:uiPriority="14"/>
    <w:lsdException w:name="List Bullet" w:uiPriority="4" w:qFormat="1"/>
    <w:lsdException w:name="List Number" w:semiHidden="1" w:uiPriority="8" w:unhideWhenUsed="1" w:qFormat="1"/>
    <w:lsdException w:name="List 2" w:semiHidden="1" w:uiPriority="14" w:unhideWhenUsed="1"/>
    <w:lsdException w:name="List 3" w:semiHidden="1" w:uiPriority="14" w:unhideWhenUsed="1"/>
    <w:lsdException w:name="List 4" w:semiHidden="1" w:uiPriority="14" w:unhideWhenUsed="1"/>
    <w:lsdException w:name="List 5" w:semiHidden="1" w:uiPriority="14"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8" w:unhideWhenUsed="1" w:qFormat="1"/>
    <w:lsdException w:name="List Number 3" w:semiHidden="1" w:uiPriority="8" w:unhideWhenUsed="1" w:qFormat="1"/>
    <w:lsdException w:name="List Number 4" w:semiHidden="1" w:uiPriority="17" w:unhideWhenUsed="1"/>
    <w:lsdException w:name="List Number 5" w:semiHidden="1" w:uiPriority="17" w:unhideWhenUsed="1"/>
    <w:lsdException w:name="Closing" w:semiHidden="1" w:unhideWhenUsed="1"/>
    <w:lsdException w:name="Signature" w:semiHidden="1" w:uiPriority="98" w:unhideWhenUsed="1"/>
    <w:lsdException w:name="Default Paragraph Font" w:semiHidden="1" w:uiPriority="1" w:unhideWhenUsed="1"/>
    <w:lsdException w:name="Body Text" w:locked="1" w:semiHidden="1" w:unhideWhenUsed="1"/>
    <w:lsdException w:name="Body Text Indent" w:locked="1" w:semiHidden="1" w:unhideWhenUsed="1"/>
    <w:lsdException w:name="List Continue" w:semiHidden="1" w:uiPriority="14" w:unhideWhenUsed="1"/>
    <w:lsdException w:name="List Continue 2" w:uiPriority="14"/>
    <w:lsdException w:name="List Continue 3" w:uiPriority="14"/>
    <w:lsdException w:name="List Continue 4" w:uiPriority="14"/>
    <w:lsdException w:name="List Continue 5" w:uiPriority="14"/>
    <w:lsdException w:name="Message Header" w:locked="1" w:semiHidden="1" w:uiPriority="98" w:unhideWhenUsed="1"/>
    <w:lsdException w:name="Subtitle" w:uiPriority="98"/>
    <w:lsdException w:name="Salutation" w:semiHidden="1" w:unhideWhenUsed="1"/>
    <w:lsdException w:name="Date" w:semiHidden="1" w:uiPriority="15" w:unhideWhenUsed="1"/>
    <w:lsdException w:name="Body Text First Indent" w:locked="1" w:semiHidden="1" w:unhideWhenUsed="1"/>
    <w:lsdException w:name="Body Text First Indent 2" w:locked="1" w:semiHidden="1" w:unhideWhenUsed="1"/>
    <w:lsdException w:name="Note Heading"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iPriority="98" w:unhideWhenUsed="1"/>
    <w:lsdException w:name="Hyperlink" w:semiHidden="1" w:uiPriority="99" w:unhideWhenUsed="1"/>
    <w:lsdException w:name="FollowedHyperlink" w:semiHidden="1" w:unhideWhenUsed="1"/>
    <w:lsdException w:name="Strong" w:locked="1" w:uiPriority="22" w:qFormat="1"/>
    <w:lsdException w:name="Emphasis" w:locked="1" w:semiHidden="1" w:uiPriority="98"/>
    <w:lsdException w:name="Document Map" w:semiHidden="1" w:uiPriority="98" w:unhideWhenUsed="1"/>
    <w:lsdException w:name="Plain Text" w:locked="1" w:semiHidden="1" w:unhideWhenUsed="1"/>
    <w:lsdException w:name="E-mail Signature" w:semiHidden="1" w:uiPriority="98"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iPriority="98" w:unhideWhenUsed="1"/>
    <w:lsdException w:name="HTML Address" w:locked="1" w:semiHidden="1" w:uiPriority="98" w:unhideWhenUsed="1"/>
    <w:lsdException w:name="HTML Cite" w:locked="1" w:semiHidden="1" w:uiPriority="98" w:unhideWhenUsed="1"/>
    <w:lsdException w:name="HTML Code" w:locked="1" w:semiHidden="1" w:uiPriority="98" w:unhideWhenUsed="1"/>
    <w:lsdException w:name="HTML Definition" w:locked="1" w:semiHidden="1" w:uiPriority="98" w:unhideWhenUsed="1"/>
    <w:lsdException w:name="HTML Keyboard" w:locked="1" w:semiHidden="1" w:uiPriority="98" w:unhideWhenUsed="1"/>
    <w:lsdException w:name="HTML Preformatted" w:locked="1" w:semiHidden="1" w:uiPriority="98" w:unhideWhenUsed="1"/>
    <w:lsdException w:name="HTML Sample" w:locked="1" w:semiHidden="1" w:uiPriority="98" w:unhideWhenUsed="1"/>
    <w:lsdException w:name="HTML Typewriter" w:locked="1" w:semiHidden="1" w:uiPriority="98" w:unhideWhenUsed="1"/>
    <w:lsdException w:name="HTML Variable" w:locked="1" w:semiHidden="1" w:uiPriority="98" w:unhideWhenUsed="1"/>
    <w:lsdException w:name="Normal Table" w:semiHidden="1" w:unhideWhenUsed="1"/>
    <w:lsdException w:name="annotation subject" w:locked="1" w:semiHidden="1" w:uiPriority="12"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lsdException w:name="Table Theme" w:semiHidden="1" w:unhideWhenUsed="1"/>
    <w:lsdException w:name="Placeholder Text" w:semiHidden="1" w:uiPriority="99"/>
    <w:lsdException w:name="No Spacing" w:locked="1" w:semiHidden="1" w:uiPriority="98"/>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98" w:qFormat="1"/>
    <w:lsdException w:name="Quote" w:semiHidden="1" w:uiPriority="98"/>
    <w:lsdException w:name="Intense Quote" w:locked="1" w:semiHidden="1" w:uiPriority="98"/>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semiHidden="1" w:uiPriority="98"/>
    <w:lsdException w:name="Intense Emphasis" w:locked="1" w:semiHidden="1" w:uiPriority="98"/>
    <w:lsdException w:name="Subtle Reference" w:locked="1" w:semiHidden="1" w:uiPriority="98"/>
    <w:lsdException w:name="Intense Reference" w:locked="1" w:semiHidden="1" w:uiPriority="98"/>
    <w:lsdException w:name="Book Title" w:locked="1" w:semiHidden="1" w:uiPriority="98"/>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uiPriority w:val="2"/>
    <w:qFormat/>
    <w:rsid w:val="0036203F"/>
    <w:pPr>
      <w:spacing w:before="180" w:line="300" w:lineRule="atLeast"/>
    </w:pPr>
    <w:rPr>
      <w:lang w:eastAsia="en-US"/>
    </w:rPr>
  </w:style>
  <w:style w:type="paragraph" w:styleId="berschrift1">
    <w:name w:val="heading 1"/>
    <w:basedOn w:val="Verzeichnis1"/>
    <w:next w:val="Standard"/>
    <w:qFormat/>
    <w:rsid w:val="00A27946"/>
    <w:pPr>
      <w:numPr>
        <w:numId w:val="6"/>
      </w:numPr>
      <w:tabs>
        <w:tab w:val="right" w:pos="1418"/>
      </w:tabs>
      <w:spacing w:before="360"/>
      <w:ind w:left="432"/>
      <w:outlineLvl w:val="0"/>
    </w:pPr>
    <w:rPr>
      <w:rFonts w:ascii="Arial Black" w:hAnsi="Arial Black"/>
      <w:noProof/>
    </w:rPr>
  </w:style>
  <w:style w:type="paragraph" w:styleId="berschrift2">
    <w:name w:val="heading 2"/>
    <w:basedOn w:val="Standard"/>
    <w:next w:val="Standard"/>
    <w:qFormat/>
    <w:rsid w:val="00A27946"/>
    <w:pPr>
      <w:keepNext/>
      <w:numPr>
        <w:ilvl w:val="1"/>
        <w:numId w:val="6"/>
      </w:numPr>
      <w:spacing w:before="360" w:after="60"/>
      <w:outlineLvl w:val="1"/>
    </w:pPr>
    <w:rPr>
      <w:rFonts w:cs="Arial"/>
      <w:b/>
      <w:bCs/>
      <w:iCs/>
      <w:color w:val="auto"/>
    </w:rPr>
  </w:style>
  <w:style w:type="paragraph" w:styleId="berschrift3">
    <w:name w:val="heading 3"/>
    <w:basedOn w:val="Standard"/>
    <w:next w:val="Standard"/>
    <w:qFormat/>
    <w:rsid w:val="00FA4BD5"/>
    <w:pPr>
      <w:keepNext/>
      <w:numPr>
        <w:ilvl w:val="2"/>
        <w:numId w:val="6"/>
      </w:numPr>
      <w:tabs>
        <w:tab w:val="left" w:pos="852"/>
      </w:tabs>
      <w:spacing w:before="360" w:after="60"/>
      <w:outlineLvl w:val="2"/>
    </w:pPr>
    <w:rPr>
      <w:rFonts w:cs="Arial"/>
      <w:b/>
      <w:bCs/>
      <w:color w:val="auto"/>
      <w:szCs w:val="26"/>
      <w:lang w:eastAsia="de-DE"/>
    </w:rPr>
  </w:style>
  <w:style w:type="paragraph" w:styleId="berschrift4">
    <w:name w:val="heading 4"/>
    <w:basedOn w:val="Standard"/>
    <w:next w:val="Standard"/>
    <w:link w:val="berschrift4Zchn"/>
    <w:semiHidden/>
    <w:qFormat/>
    <w:rsid w:val="0036203F"/>
    <w:pPr>
      <w:keepNext/>
      <w:numPr>
        <w:ilvl w:val="3"/>
        <w:numId w:val="6"/>
      </w:numPr>
      <w:outlineLvl w:val="3"/>
    </w:pPr>
    <w:rPr>
      <w:b/>
      <w:bCs/>
    </w:rPr>
  </w:style>
  <w:style w:type="paragraph" w:styleId="berschrift5">
    <w:name w:val="heading 5"/>
    <w:basedOn w:val="Standard"/>
    <w:next w:val="Standard"/>
    <w:semiHidden/>
    <w:qFormat/>
    <w:rsid w:val="0036203F"/>
    <w:pPr>
      <w:numPr>
        <w:ilvl w:val="4"/>
        <w:numId w:val="6"/>
      </w:numPr>
      <w:outlineLvl w:val="4"/>
    </w:pPr>
    <w:rPr>
      <w:b/>
      <w:bCs/>
      <w:iCs/>
    </w:rPr>
  </w:style>
  <w:style w:type="paragraph" w:styleId="berschrift6">
    <w:name w:val="heading 6"/>
    <w:basedOn w:val="Standard"/>
    <w:next w:val="Standard"/>
    <w:semiHidden/>
    <w:qFormat/>
    <w:rsid w:val="0036203F"/>
    <w:pPr>
      <w:numPr>
        <w:ilvl w:val="5"/>
        <w:numId w:val="6"/>
      </w:numPr>
      <w:outlineLvl w:val="5"/>
    </w:pPr>
    <w:rPr>
      <w:bCs/>
    </w:rPr>
  </w:style>
  <w:style w:type="paragraph" w:styleId="berschrift7">
    <w:name w:val="heading 7"/>
    <w:basedOn w:val="Standard"/>
    <w:next w:val="Standard"/>
    <w:semiHidden/>
    <w:qFormat/>
    <w:rsid w:val="0036203F"/>
    <w:pPr>
      <w:numPr>
        <w:ilvl w:val="6"/>
        <w:numId w:val="6"/>
      </w:numPr>
      <w:outlineLvl w:val="6"/>
    </w:pPr>
  </w:style>
  <w:style w:type="paragraph" w:styleId="berschrift8">
    <w:name w:val="heading 8"/>
    <w:basedOn w:val="Standard"/>
    <w:next w:val="Standard"/>
    <w:semiHidden/>
    <w:qFormat/>
    <w:rsid w:val="0036203F"/>
    <w:pPr>
      <w:numPr>
        <w:ilvl w:val="7"/>
        <w:numId w:val="6"/>
      </w:numPr>
      <w:outlineLvl w:val="7"/>
    </w:pPr>
    <w:rPr>
      <w:iCs/>
    </w:rPr>
  </w:style>
  <w:style w:type="paragraph" w:styleId="berschrift9">
    <w:name w:val="heading 9"/>
    <w:basedOn w:val="Standard"/>
    <w:next w:val="Standard"/>
    <w:semiHidden/>
    <w:qFormat/>
    <w:rsid w:val="0036203F"/>
    <w:pPr>
      <w:numPr>
        <w:ilvl w:val="8"/>
        <w:numId w:val="6"/>
      </w:numPr>
      <w:outlineLvl w:val="8"/>
    </w:pPr>
    <w:rPr>
      <w:rFonts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uiPriority w:val="39"/>
    <w:rsid w:val="0036203F"/>
    <w:pPr>
      <w:tabs>
        <w:tab w:val="right" w:pos="8789"/>
      </w:tabs>
      <w:spacing w:before="240" w:after="60"/>
      <w:ind w:left="1134" w:hanging="1134"/>
    </w:pPr>
    <w:rPr>
      <w:rFonts w:cs="Arial"/>
      <w:b/>
      <w:color w:val="auto"/>
      <w:lang w:eastAsia="de-DE"/>
    </w:rPr>
  </w:style>
  <w:style w:type="numbering" w:customStyle="1" w:styleId="Aufgezhlt">
    <w:name w:val="Aufgezählt"/>
    <w:basedOn w:val="KeineListe"/>
    <w:rsid w:val="0036203F"/>
    <w:pPr>
      <w:numPr>
        <w:numId w:val="1"/>
      </w:numPr>
    </w:pPr>
  </w:style>
  <w:style w:type="numbering" w:customStyle="1" w:styleId="AufgezhltWingdings">
    <w:name w:val="Aufgezählt Wingdings"/>
    <w:basedOn w:val="KeineListe"/>
    <w:rsid w:val="0036203F"/>
    <w:pPr>
      <w:numPr>
        <w:numId w:val="2"/>
      </w:numPr>
    </w:pPr>
  </w:style>
  <w:style w:type="paragraph" w:styleId="Kopfzeile">
    <w:name w:val="header"/>
    <w:basedOn w:val="Standard"/>
    <w:link w:val="KopfzeileZchn"/>
    <w:rsid w:val="0036203F"/>
    <w:pPr>
      <w:tabs>
        <w:tab w:val="center" w:pos="4536"/>
        <w:tab w:val="right" w:pos="9072"/>
      </w:tabs>
      <w:spacing w:before="0" w:line="240" w:lineRule="auto"/>
    </w:pPr>
  </w:style>
  <w:style w:type="paragraph" w:customStyle="1" w:styleId="Auf-Zhlung">
    <w:name w:val="Auf-Zählung"/>
    <w:basedOn w:val="Standard"/>
    <w:uiPriority w:val="2"/>
    <w:rsid w:val="0036203F"/>
    <w:pPr>
      <w:numPr>
        <w:numId w:val="4"/>
      </w:numPr>
    </w:pPr>
    <w:rPr>
      <w:color w:val="auto"/>
    </w:rPr>
  </w:style>
  <w:style w:type="character" w:customStyle="1" w:styleId="KopfzeileZchn">
    <w:name w:val="Kopfzeile Zchn"/>
    <w:basedOn w:val="Absatz-Standardschriftart"/>
    <w:link w:val="Kopfzeile"/>
    <w:rsid w:val="00AC711C"/>
    <w:rPr>
      <w:lang w:eastAsia="en-US"/>
    </w:rPr>
  </w:style>
  <w:style w:type="paragraph" w:customStyle="1" w:styleId="Anhangn">
    <w:name w:val="Anhang_n"/>
    <w:basedOn w:val="berschrift9"/>
    <w:qFormat/>
    <w:rsid w:val="0036203F"/>
    <w:pPr>
      <w:numPr>
        <w:ilvl w:val="0"/>
        <w:numId w:val="3"/>
      </w:numPr>
    </w:pPr>
    <w:rPr>
      <w:rFonts w:ascii="Arial Black" w:hAnsi="Arial Black"/>
      <w:color w:val="auto"/>
    </w:rPr>
  </w:style>
  <w:style w:type="paragraph" w:styleId="Verzeichnis2">
    <w:name w:val="toc 2"/>
    <w:basedOn w:val="Verzeichnis1"/>
    <w:next w:val="Standard"/>
    <w:uiPriority w:val="39"/>
    <w:rsid w:val="0036203F"/>
    <w:pPr>
      <w:spacing w:before="60" w:after="0"/>
    </w:pPr>
    <w:rPr>
      <w:b w:val="0"/>
    </w:rPr>
  </w:style>
  <w:style w:type="paragraph" w:styleId="Verzeichnis3">
    <w:name w:val="toc 3"/>
    <w:basedOn w:val="Standard"/>
    <w:next w:val="Standard"/>
    <w:uiPriority w:val="39"/>
    <w:rsid w:val="0036203F"/>
    <w:pPr>
      <w:tabs>
        <w:tab w:val="right" w:pos="8789"/>
      </w:tabs>
      <w:spacing w:before="60"/>
      <w:ind w:left="1134" w:hanging="1134"/>
    </w:pPr>
    <w:rPr>
      <w:rFonts w:cs="Arial"/>
    </w:rPr>
  </w:style>
  <w:style w:type="paragraph" w:styleId="Verzeichnis4">
    <w:name w:val="toc 4"/>
    <w:basedOn w:val="Standard"/>
    <w:next w:val="Standard"/>
    <w:autoRedefine/>
    <w:uiPriority w:val="39"/>
    <w:rsid w:val="005E555F"/>
    <w:pPr>
      <w:tabs>
        <w:tab w:val="left" w:pos="1134"/>
        <w:tab w:val="right" w:pos="8789"/>
      </w:tabs>
    </w:pPr>
    <w:rPr>
      <w:rFonts w:cs="Arial"/>
    </w:rPr>
  </w:style>
  <w:style w:type="paragraph" w:styleId="Verzeichnis5">
    <w:name w:val="toc 5"/>
    <w:basedOn w:val="Standard"/>
    <w:next w:val="Standard"/>
    <w:autoRedefine/>
    <w:semiHidden/>
    <w:rsid w:val="0036203F"/>
    <w:pPr>
      <w:ind w:left="800"/>
    </w:pPr>
    <w:rPr>
      <w:rFonts w:cs="Arial"/>
    </w:rPr>
  </w:style>
  <w:style w:type="paragraph" w:styleId="Verzeichnis6">
    <w:name w:val="toc 6"/>
    <w:basedOn w:val="Standard"/>
    <w:next w:val="Standard"/>
    <w:autoRedefine/>
    <w:semiHidden/>
    <w:rsid w:val="0036203F"/>
    <w:pPr>
      <w:ind w:left="1000"/>
    </w:pPr>
    <w:rPr>
      <w:rFonts w:cs="Arial"/>
    </w:rPr>
  </w:style>
  <w:style w:type="paragraph" w:styleId="Verzeichnis7">
    <w:name w:val="toc 7"/>
    <w:basedOn w:val="Standard"/>
    <w:next w:val="Standard"/>
    <w:autoRedefine/>
    <w:semiHidden/>
    <w:rsid w:val="0036203F"/>
    <w:pPr>
      <w:ind w:left="1200"/>
    </w:pPr>
    <w:rPr>
      <w:rFonts w:cs="Arial"/>
    </w:rPr>
  </w:style>
  <w:style w:type="paragraph" w:styleId="Verzeichnis8">
    <w:name w:val="toc 8"/>
    <w:basedOn w:val="Standard"/>
    <w:next w:val="Standard"/>
    <w:autoRedefine/>
    <w:uiPriority w:val="39"/>
    <w:rsid w:val="0036203F"/>
    <w:pPr>
      <w:tabs>
        <w:tab w:val="right" w:pos="8789"/>
      </w:tabs>
      <w:ind w:left="1134" w:hanging="1134"/>
    </w:pPr>
    <w:rPr>
      <w:rFonts w:cs="Arial"/>
      <w:b/>
    </w:rPr>
  </w:style>
  <w:style w:type="paragraph" w:styleId="Sprechblasentext">
    <w:name w:val="Balloon Text"/>
    <w:basedOn w:val="Standard"/>
    <w:link w:val="SprechblasentextZchn"/>
    <w:locked/>
    <w:rsid w:val="0036203F"/>
    <w:pPr>
      <w:spacing w:before="0" w:line="240" w:lineRule="auto"/>
    </w:pPr>
    <w:rPr>
      <w:rFonts w:ascii="Tahoma" w:hAnsi="Tahoma" w:cs="Tahoma"/>
      <w:sz w:val="16"/>
      <w:szCs w:val="16"/>
    </w:rPr>
  </w:style>
  <w:style w:type="paragraph" w:styleId="Liste">
    <w:name w:val="List"/>
    <w:basedOn w:val="Standard"/>
    <w:uiPriority w:val="14"/>
    <w:semiHidden/>
    <w:rsid w:val="0036203F"/>
    <w:pPr>
      <w:tabs>
        <w:tab w:val="num" w:pos="720"/>
      </w:tabs>
      <w:ind w:left="720" w:hanging="720"/>
    </w:pPr>
  </w:style>
  <w:style w:type="paragraph" w:styleId="Liste2">
    <w:name w:val="List 2"/>
    <w:basedOn w:val="Liste"/>
    <w:uiPriority w:val="14"/>
    <w:semiHidden/>
    <w:rsid w:val="0036203F"/>
    <w:pPr>
      <w:tabs>
        <w:tab w:val="left" w:pos="567"/>
      </w:tabs>
      <w:ind w:left="568"/>
    </w:pPr>
  </w:style>
  <w:style w:type="paragraph" w:styleId="Liste3">
    <w:name w:val="List 3"/>
    <w:basedOn w:val="Liste"/>
    <w:uiPriority w:val="14"/>
    <w:semiHidden/>
    <w:rsid w:val="0036203F"/>
    <w:pPr>
      <w:tabs>
        <w:tab w:val="left" w:pos="851"/>
      </w:tabs>
      <w:ind w:left="849" w:hanging="283"/>
    </w:pPr>
  </w:style>
  <w:style w:type="paragraph" w:styleId="Liste4">
    <w:name w:val="List 4"/>
    <w:basedOn w:val="Liste"/>
    <w:uiPriority w:val="14"/>
    <w:semiHidden/>
    <w:rsid w:val="0036203F"/>
    <w:pPr>
      <w:tabs>
        <w:tab w:val="left" w:pos="1134"/>
      </w:tabs>
      <w:ind w:left="1135"/>
    </w:pPr>
  </w:style>
  <w:style w:type="paragraph" w:styleId="Liste5">
    <w:name w:val="List 5"/>
    <w:basedOn w:val="Liste"/>
    <w:uiPriority w:val="14"/>
    <w:semiHidden/>
    <w:rsid w:val="0036203F"/>
    <w:pPr>
      <w:tabs>
        <w:tab w:val="left" w:pos="1418"/>
      </w:tabs>
      <w:ind w:left="1418"/>
    </w:pPr>
  </w:style>
  <w:style w:type="paragraph" w:styleId="Listenfortsetzung">
    <w:name w:val="List Continue"/>
    <w:basedOn w:val="Standard"/>
    <w:uiPriority w:val="14"/>
    <w:semiHidden/>
    <w:rsid w:val="0036203F"/>
    <w:pPr>
      <w:spacing w:after="120"/>
      <w:ind w:left="283"/>
    </w:pPr>
  </w:style>
  <w:style w:type="paragraph" w:styleId="Listenfortsetzung2">
    <w:name w:val="List Continue 2"/>
    <w:basedOn w:val="Listenfortsetzung"/>
    <w:uiPriority w:val="14"/>
    <w:semiHidden/>
    <w:rsid w:val="0036203F"/>
    <w:pPr>
      <w:ind w:left="566"/>
    </w:pPr>
  </w:style>
  <w:style w:type="paragraph" w:styleId="Listenfortsetzung3">
    <w:name w:val="List Continue 3"/>
    <w:basedOn w:val="Listenfortsetzung"/>
    <w:uiPriority w:val="14"/>
    <w:semiHidden/>
    <w:rsid w:val="0036203F"/>
    <w:pPr>
      <w:ind w:left="849"/>
    </w:pPr>
  </w:style>
  <w:style w:type="paragraph" w:styleId="Listenfortsetzung4">
    <w:name w:val="List Continue 4"/>
    <w:basedOn w:val="Listenfortsetzung"/>
    <w:uiPriority w:val="14"/>
    <w:semiHidden/>
    <w:rsid w:val="0036203F"/>
    <w:pPr>
      <w:ind w:left="1132"/>
    </w:pPr>
  </w:style>
  <w:style w:type="paragraph" w:styleId="Listenfortsetzung5">
    <w:name w:val="List Continue 5"/>
    <w:basedOn w:val="Listenfortsetzung"/>
    <w:uiPriority w:val="14"/>
    <w:semiHidden/>
    <w:rsid w:val="0036203F"/>
    <w:pPr>
      <w:ind w:left="1415"/>
    </w:pPr>
  </w:style>
  <w:style w:type="paragraph" w:styleId="Listennummer">
    <w:name w:val="List Number"/>
    <w:basedOn w:val="Liste"/>
    <w:uiPriority w:val="8"/>
    <w:semiHidden/>
    <w:qFormat/>
    <w:rsid w:val="0036203F"/>
    <w:pPr>
      <w:tabs>
        <w:tab w:val="left" w:pos="284"/>
      </w:tabs>
      <w:ind w:left="284" w:hanging="284"/>
    </w:pPr>
  </w:style>
  <w:style w:type="paragraph" w:styleId="Listennummer2">
    <w:name w:val="List Number 2"/>
    <w:basedOn w:val="Liste"/>
    <w:uiPriority w:val="8"/>
    <w:semiHidden/>
    <w:qFormat/>
    <w:rsid w:val="0036203F"/>
    <w:pPr>
      <w:tabs>
        <w:tab w:val="left" w:pos="567"/>
      </w:tabs>
      <w:ind w:left="568" w:hanging="284"/>
    </w:pPr>
  </w:style>
  <w:style w:type="paragraph" w:styleId="Listennummer3">
    <w:name w:val="List Number 3"/>
    <w:basedOn w:val="Liste"/>
    <w:uiPriority w:val="8"/>
    <w:semiHidden/>
    <w:qFormat/>
    <w:rsid w:val="0036203F"/>
    <w:pPr>
      <w:tabs>
        <w:tab w:val="left" w:pos="851"/>
      </w:tabs>
      <w:ind w:left="851" w:hanging="284"/>
    </w:pPr>
  </w:style>
  <w:style w:type="paragraph" w:styleId="Listennummer4">
    <w:name w:val="List Number 4"/>
    <w:basedOn w:val="Liste"/>
    <w:uiPriority w:val="17"/>
    <w:semiHidden/>
    <w:rsid w:val="0036203F"/>
    <w:pPr>
      <w:tabs>
        <w:tab w:val="left" w:pos="1134"/>
      </w:tabs>
      <w:ind w:left="1135" w:hanging="284"/>
    </w:pPr>
  </w:style>
  <w:style w:type="paragraph" w:styleId="Listennummer5">
    <w:name w:val="List Number 5"/>
    <w:basedOn w:val="Liste"/>
    <w:uiPriority w:val="17"/>
    <w:semiHidden/>
    <w:rsid w:val="0036203F"/>
    <w:pPr>
      <w:tabs>
        <w:tab w:val="left" w:pos="1418"/>
      </w:tabs>
      <w:ind w:left="1418" w:hanging="284"/>
    </w:pPr>
  </w:style>
  <w:style w:type="character" w:customStyle="1" w:styleId="SprechblasentextZchn">
    <w:name w:val="Sprechblasentext Zchn"/>
    <w:basedOn w:val="Absatz-Standardschriftart"/>
    <w:link w:val="Sprechblasentext"/>
    <w:rsid w:val="00CA2626"/>
    <w:rPr>
      <w:rFonts w:ascii="Tahoma" w:hAnsi="Tahoma" w:cs="Tahoma"/>
      <w:sz w:val="16"/>
      <w:szCs w:val="16"/>
      <w:lang w:eastAsia="en-US"/>
    </w:rPr>
  </w:style>
  <w:style w:type="character" w:styleId="Seitenzahl">
    <w:name w:val="page number"/>
    <w:basedOn w:val="Absatz-Standardschriftart"/>
    <w:uiPriority w:val="98"/>
    <w:semiHidden/>
    <w:rsid w:val="0036203F"/>
    <w:rPr>
      <w:rFonts w:ascii="Arial" w:hAnsi="Arial"/>
      <w:sz w:val="20"/>
    </w:rPr>
  </w:style>
  <w:style w:type="paragraph" w:styleId="Fuzeile">
    <w:name w:val="footer"/>
    <w:basedOn w:val="Standard"/>
    <w:link w:val="FuzeileZchn"/>
    <w:uiPriority w:val="99"/>
    <w:rsid w:val="0036203F"/>
    <w:pPr>
      <w:tabs>
        <w:tab w:val="center" w:pos="4536"/>
        <w:tab w:val="right" w:pos="9072"/>
      </w:tabs>
      <w:spacing w:before="0" w:line="240" w:lineRule="auto"/>
    </w:pPr>
  </w:style>
  <w:style w:type="character" w:customStyle="1" w:styleId="FuzeileZchn">
    <w:name w:val="Fußzeile Zchn"/>
    <w:basedOn w:val="Absatz-Standardschriftart"/>
    <w:link w:val="Fuzeile"/>
    <w:uiPriority w:val="99"/>
    <w:rsid w:val="00AC711C"/>
    <w:rPr>
      <w:lang w:eastAsia="en-US"/>
    </w:rPr>
  </w:style>
  <w:style w:type="paragraph" w:customStyle="1" w:styleId="FormatvorlageNach36Pt">
    <w:name w:val="Formatvorlage Nach:  36 Pt."/>
    <w:basedOn w:val="Standard"/>
    <w:rsid w:val="0036203F"/>
    <w:pPr>
      <w:spacing w:after="1200"/>
    </w:pPr>
  </w:style>
  <w:style w:type="paragraph" w:styleId="Inhaltsverzeichnisberschrift">
    <w:name w:val="TOC Heading"/>
    <w:basedOn w:val="berschrift1"/>
    <w:next w:val="Standard"/>
    <w:uiPriority w:val="39"/>
    <w:semiHidden/>
    <w:unhideWhenUsed/>
    <w:qFormat/>
    <w:rsid w:val="0036203F"/>
    <w:pPr>
      <w:keepLines/>
      <w:numPr>
        <w:numId w:val="0"/>
      </w:numPr>
      <w:spacing w:line="276" w:lineRule="auto"/>
      <w:outlineLvl w:val="9"/>
    </w:pPr>
    <w:rPr>
      <w:rFonts w:asciiTheme="majorHAnsi" w:eastAsiaTheme="majorEastAsia" w:hAnsiTheme="majorHAnsi" w:cstheme="majorBidi"/>
      <w:b w:val="0"/>
      <w:color w:val="365F91" w:themeColor="accent1" w:themeShade="BF"/>
      <w:sz w:val="28"/>
      <w:szCs w:val="28"/>
      <w:lang w:val="de-DE"/>
    </w:rPr>
  </w:style>
  <w:style w:type="paragraph" w:styleId="Datum">
    <w:name w:val="Date"/>
    <w:basedOn w:val="Standard"/>
    <w:next w:val="Standard"/>
    <w:uiPriority w:val="15"/>
    <w:semiHidden/>
    <w:rsid w:val="0036203F"/>
  </w:style>
  <w:style w:type="paragraph" w:customStyle="1" w:styleId="Kasten">
    <w:name w:val="Kasten"/>
    <w:basedOn w:val="Listennummer"/>
    <w:uiPriority w:val="9"/>
    <w:qFormat/>
    <w:rsid w:val="0036203F"/>
    <w:pPr>
      <w:pBdr>
        <w:top w:val="single" w:sz="4" w:space="1" w:color="auto"/>
        <w:left w:val="single" w:sz="4" w:space="4" w:color="auto"/>
        <w:bottom w:val="single" w:sz="4" w:space="1" w:color="auto"/>
        <w:right w:val="single" w:sz="4" w:space="4" w:color="auto"/>
      </w:pBdr>
      <w:shd w:val="clear" w:color="auto" w:fill="D9D9D9"/>
      <w:tabs>
        <w:tab w:val="clear" w:pos="720"/>
      </w:tabs>
      <w:ind w:left="0" w:firstLine="0"/>
    </w:pPr>
  </w:style>
  <w:style w:type="paragraph" w:customStyle="1" w:styleId="Berichtstitel">
    <w:name w:val="Berichtstitel"/>
    <w:basedOn w:val="Standard"/>
    <w:uiPriority w:val="14"/>
    <w:rsid w:val="0036203F"/>
    <w:pPr>
      <w:framePr w:w="8616" w:h="4258" w:hRule="exact" w:hSpace="181" w:wrap="around" w:vAnchor="page" w:hAnchor="page" w:x="1883" w:y="8943"/>
      <w:spacing w:line="240" w:lineRule="auto"/>
    </w:pPr>
    <w:rPr>
      <w:rFonts w:cs="Arial"/>
      <w:b/>
      <w:w w:val="125"/>
      <w:sz w:val="44"/>
      <w:szCs w:val="52"/>
    </w:rPr>
  </w:style>
  <w:style w:type="paragraph" w:customStyle="1" w:styleId="Berichtsthema">
    <w:name w:val="Berichtsthema"/>
    <w:basedOn w:val="Standard"/>
    <w:uiPriority w:val="14"/>
    <w:rsid w:val="0036203F"/>
    <w:pPr>
      <w:framePr w:w="8616" w:h="4258" w:hRule="exact" w:hSpace="181" w:wrap="around" w:vAnchor="page" w:hAnchor="page" w:x="1883" w:y="8943"/>
      <w:spacing w:line="240" w:lineRule="auto"/>
    </w:pPr>
    <w:rPr>
      <w:rFonts w:cs="Arial"/>
      <w:kern w:val="40"/>
      <w:sz w:val="44"/>
      <w:szCs w:val="52"/>
    </w:rPr>
  </w:style>
  <w:style w:type="paragraph" w:customStyle="1" w:styleId="Empfehlung-n">
    <w:name w:val="Empfehlung-n"/>
    <w:basedOn w:val="Standard"/>
    <w:link w:val="Empfehlung-nZchn"/>
    <w:qFormat/>
    <w:rsid w:val="00AF659C"/>
    <w:pPr>
      <w:numPr>
        <w:numId w:val="5"/>
      </w:numPr>
      <w:spacing w:line="260" w:lineRule="atLeast"/>
    </w:pPr>
    <w:rPr>
      <w:rFonts w:eastAsiaTheme="minorHAnsi" w:cstheme="minorBidi"/>
      <w:i/>
      <w:color w:val="auto"/>
      <w:szCs w:val="22"/>
    </w:rPr>
  </w:style>
  <w:style w:type="character" w:customStyle="1" w:styleId="Empfehlung-nZchn">
    <w:name w:val="Empfehlung-n Zchn"/>
    <w:basedOn w:val="Absatz-Standardschriftart"/>
    <w:link w:val="Empfehlung-n"/>
    <w:rsid w:val="00AF659C"/>
    <w:rPr>
      <w:rFonts w:eastAsiaTheme="minorHAnsi" w:cstheme="minorBidi"/>
      <w:i/>
      <w:color w:val="auto"/>
      <w:szCs w:val="22"/>
      <w:lang w:eastAsia="en-US"/>
    </w:rPr>
  </w:style>
  <w:style w:type="paragraph" w:styleId="Listenabsatz">
    <w:name w:val="List Paragraph"/>
    <w:basedOn w:val="Standard"/>
    <w:uiPriority w:val="98"/>
    <w:qFormat/>
    <w:rsid w:val="0036203F"/>
    <w:pPr>
      <w:ind w:left="720"/>
      <w:contextualSpacing/>
    </w:pPr>
  </w:style>
  <w:style w:type="character" w:styleId="Hyperlink">
    <w:name w:val="Hyperlink"/>
    <w:basedOn w:val="Absatz-Standardschriftart"/>
    <w:uiPriority w:val="99"/>
    <w:unhideWhenUsed/>
    <w:rsid w:val="0036203F"/>
    <w:rPr>
      <w:color w:val="0000FF" w:themeColor="hyperlink"/>
      <w:u w:val="single"/>
    </w:rPr>
  </w:style>
  <w:style w:type="character" w:styleId="Platzhaltertext">
    <w:name w:val="Placeholder Text"/>
    <w:basedOn w:val="Absatz-Standardschriftart"/>
    <w:uiPriority w:val="99"/>
    <w:semiHidden/>
    <w:rsid w:val="0036203F"/>
    <w:rPr>
      <w:color w:val="808080"/>
    </w:rPr>
  </w:style>
  <w:style w:type="paragraph" w:styleId="Verzeichnis9">
    <w:name w:val="toc 9"/>
    <w:basedOn w:val="Standard"/>
    <w:next w:val="Standard"/>
    <w:autoRedefine/>
    <w:uiPriority w:val="39"/>
    <w:rsid w:val="0036203F"/>
    <w:pPr>
      <w:tabs>
        <w:tab w:val="right" w:pos="8777"/>
      </w:tabs>
      <w:spacing w:after="100"/>
      <w:ind w:left="1134" w:hanging="1134"/>
    </w:pPr>
    <w:rPr>
      <w:b/>
      <w:noProof/>
    </w:rPr>
  </w:style>
  <w:style w:type="paragraph" w:styleId="Aufzhlungszeichen">
    <w:name w:val="List Bullet"/>
    <w:basedOn w:val="Standard"/>
    <w:uiPriority w:val="4"/>
    <w:qFormat/>
    <w:rsid w:val="00E03A68"/>
    <w:pPr>
      <w:numPr>
        <w:numId w:val="7"/>
      </w:numPr>
      <w:tabs>
        <w:tab w:val="left" w:pos="284"/>
      </w:tabs>
    </w:pPr>
  </w:style>
  <w:style w:type="paragraph" w:styleId="Funotentext">
    <w:name w:val="footnote text"/>
    <w:basedOn w:val="Standard"/>
    <w:link w:val="FunotentextZchn"/>
    <w:rsid w:val="00215385"/>
    <w:pPr>
      <w:spacing w:before="0" w:line="240" w:lineRule="auto"/>
    </w:pPr>
  </w:style>
  <w:style w:type="character" w:customStyle="1" w:styleId="FunotentextZchn">
    <w:name w:val="Fußnotentext Zchn"/>
    <w:basedOn w:val="Absatz-Standardschriftart"/>
    <w:link w:val="Funotentext"/>
    <w:rsid w:val="00215385"/>
    <w:rPr>
      <w:lang w:eastAsia="en-US"/>
    </w:rPr>
  </w:style>
  <w:style w:type="character" w:styleId="Funotenzeichen">
    <w:name w:val="footnote reference"/>
    <w:basedOn w:val="Absatz-Standardschriftart"/>
    <w:rsid w:val="00215385"/>
    <w:rPr>
      <w:vertAlign w:val="superscript"/>
    </w:rPr>
  </w:style>
  <w:style w:type="paragraph" w:styleId="StandardWeb">
    <w:name w:val="Normal (Web)"/>
    <w:basedOn w:val="Standard"/>
    <w:uiPriority w:val="99"/>
    <w:unhideWhenUsed/>
    <w:rsid w:val="006D4CDB"/>
    <w:pPr>
      <w:spacing w:before="100" w:beforeAutospacing="1" w:after="100" w:afterAutospacing="1" w:line="240" w:lineRule="auto"/>
    </w:pPr>
    <w:rPr>
      <w:rFonts w:ascii="Times New Roman" w:hAnsi="Times New Roman"/>
      <w:color w:val="auto"/>
      <w:sz w:val="24"/>
      <w:szCs w:val="24"/>
      <w:lang w:eastAsia="de-CH"/>
    </w:rPr>
  </w:style>
  <w:style w:type="character" w:styleId="Fett">
    <w:name w:val="Strong"/>
    <w:basedOn w:val="Absatz-Standardschriftart"/>
    <w:uiPriority w:val="22"/>
    <w:qFormat/>
    <w:locked/>
    <w:rsid w:val="00FB1839"/>
    <w:rPr>
      <w:b/>
      <w:bCs/>
    </w:rPr>
  </w:style>
  <w:style w:type="character" w:styleId="BesuchterLink">
    <w:name w:val="FollowedHyperlink"/>
    <w:basedOn w:val="Absatz-Standardschriftart"/>
    <w:rsid w:val="000271BC"/>
    <w:rPr>
      <w:color w:val="800080" w:themeColor="followedHyperlink"/>
      <w:u w:val="single"/>
    </w:rPr>
  </w:style>
  <w:style w:type="paragraph" w:styleId="Beschriftung">
    <w:name w:val="caption"/>
    <w:basedOn w:val="Standard"/>
    <w:next w:val="Standard"/>
    <w:unhideWhenUsed/>
    <w:qFormat/>
    <w:rsid w:val="00C22505"/>
    <w:pPr>
      <w:spacing w:before="480" w:line="240" w:lineRule="auto"/>
    </w:pPr>
    <w:rPr>
      <w:b/>
      <w:bCs/>
      <w:color w:val="auto"/>
      <w:szCs w:val="18"/>
    </w:rPr>
  </w:style>
  <w:style w:type="paragraph" w:customStyle="1" w:styleId="Empfehlung">
    <w:name w:val="Empfehlung"/>
    <w:basedOn w:val="Standard"/>
    <w:uiPriority w:val="5"/>
    <w:rsid w:val="00F14E48"/>
    <w:pPr>
      <w:pBdr>
        <w:top w:val="single" w:sz="4" w:space="1" w:color="auto"/>
        <w:left w:val="single" w:sz="4" w:space="4" w:color="auto"/>
        <w:bottom w:val="single" w:sz="4" w:space="1" w:color="auto"/>
        <w:right w:val="single" w:sz="4" w:space="4" w:color="auto"/>
      </w:pBdr>
      <w:shd w:val="clear" w:color="auto" w:fill="D9D9D9"/>
      <w:spacing w:before="0"/>
    </w:pPr>
    <w:rPr>
      <w:rFonts w:cs="Arial"/>
    </w:rPr>
  </w:style>
  <w:style w:type="paragraph" w:customStyle="1" w:styleId="Formatvorlage4">
    <w:name w:val="Formatvorlage4"/>
    <w:basedOn w:val="Standard"/>
    <w:link w:val="Formatvorlage4Zchn"/>
    <w:uiPriority w:val="2"/>
    <w:qFormat/>
    <w:rsid w:val="001D4C56"/>
    <w:rPr>
      <w:b/>
    </w:rPr>
  </w:style>
  <w:style w:type="paragraph" w:customStyle="1" w:styleId="Formatvorlage">
    <w:name w:val="Formatvorlage"/>
    <w:basedOn w:val="berschrift4"/>
    <w:next w:val="berschrift4"/>
    <w:link w:val="FormatvorlageZchn"/>
    <w:uiPriority w:val="2"/>
    <w:rsid w:val="001D4C56"/>
  </w:style>
  <w:style w:type="character" w:customStyle="1" w:styleId="Formatvorlage4Zchn">
    <w:name w:val="Formatvorlage4 Zchn"/>
    <w:basedOn w:val="Absatz-Standardschriftart"/>
    <w:link w:val="Formatvorlage4"/>
    <w:uiPriority w:val="2"/>
    <w:rsid w:val="001D4C56"/>
    <w:rPr>
      <w:b/>
      <w:lang w:eastAsia="en-US"/>
    </w:rPr>
  </w:style>
  <w:style w:type="paragraph" w:customStyle="1" w:styleId="Formatvorlage1">
    <w:name w:val="Formatvorlage1"/>
    <w:basedOn w:val="berschrift4"/>
    <w:next w:val="berschrift4"/>
    <w:link w:val="Formatvorlage1Zchn"/>
    <w:uiPriority w:val="2"/>
    <w:rsid w:val="007652FD"/>
    <w:rPr>
      <w:lang w:eastAsia="de-DE"/>
    </w:rPr>
  </w:style>
  <w:style w:type="character" w:customStyle="1" w:styleId="berschrift4Zchn">
    <w:name w:val="Überschrift 4 Zchn"/>
    <w:basedOn w:val="Absatz-Standardschriftart"/>
    <w:link w:val="berschrift4"/>
    <w:semiHidden/>
    <w:rsid w:val="001D4C56"/>
    <w:rPr>
      <w:b/>
      <w:bCs/>
      <w:lang w:eastAsia="en-US"/>
    </w:rPr>
  </w:style>
  <w:style w:type="character" w:customStyle="1" w:styleId="FormatvorlageZchn">
    <w:name w:val="Formatvorlage Zchn"/>
    <w:basedOn w:val="berschrift4Zchn"/>
    <w:link w:val="Formatvorlage"/>
    <w:uiPriority w:val="2"/>
    <w:rsid w:val="001D4C56"/>
    <w:rPr>
      <w:b/>
      <w:bCs/>
      <w:lang w:eastAsia="en-US"/>
    </w:rPr>
  </w:style>
  <w:style w:type="paragraph" w:customStyle="1" w:styleId="Formatvorlage2">
    <w:name w:val="Formatvorlage2"/>
    <w:basedOn w:val="berschrift4"/>
    <w:next w:val="Formatvorlage4"/>
    <w:link w:val="Formatvorlage2Zchn"/>
    <w:uiPriority w:val="2"/>
    <w:qFormat/>
    <w:rsid w:val="005E555F"/>
    <w:rPr>
      <w:lang w:eastAsia="de-DE"/>
    </w:rPr>
  </w:style>
  <w:style w:type="character" w:customStyle="1" w:styleId="Formatvorlage1Zchn">
    <w:name w:val="Formatvorlage1 Zchn"/>
    <w:basedOn w:val="berschrift4Zchn"/>
    <w:link w:val="Formatvorlage1"/>
    <w:uiPriority w:val="2"/>
    <w:rsid w:val="007652FD"/>
    <w:rPr>
      <w:b/>
      <w:bCs/>
      <w:lang w:eastAsia="de-DE"/>
    </w:rPr>
  </w:style>
  <w:style w:type="character" w:customStyle="1" w:styleId="Formatvorlage2Zchn">
    <w:name w:val="Formatvorlage2 Zchn"/>
    <w:basedOn w:val="berschrift4Zchn"/>
    <w:link w:val="Formatvorlage2"/>
    <w:uiPriority w:val="2"/>
    <w:rsid w:val="005E555F"/>
    <w:rPr>
      <w:b/>
      <w:bCs/>
      <w:lang w:eastAsia="de-DE"/>
    </w:rPr>
  </w:style>
  <w:style w:type="table" w:styleId="Tabellenraster">
    <w:name w:val="Table Grid"/>
    <w:basedOn w:val="NormaleTabelle"/>
    <w:rsid w:val="007B45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tenttext">
    <w:name w:val="contenttext"/>
    <w:basedOn w:val="Absatz-Standardschriftart"/>
    <w:rsid w:val="00055664"/>
  </w:style>
  <w:style w:type="character" w:customStyle="1" w:styleId="fontnormal1">
    <w:name w:val="font_normal1"/>
    <w:basedOn w:val="Absatz-Standardschriftart"/>
    <w:rsid w:val="00730D78"/>
    <w:rPr>
      <w:i w:val="0"/>
      <w:iCs w:val="0"/>
      <w:sz w:val="24"/>
      <w:szCs w:val="24"/>
      <w:bdr w:val="none" w:sz="0" w:space="0" w:color="auto" w:frame="1"/>
      <w:vertAlign w:val="baseline"/>
    </w:rPr>
  </w:style>
  <w:style w:type="paragraph" w:customStyle="1" w:styleId="Default">
    <w:name w:val="Default"/>
    <w:rsid w:val="006E223F"/>
    <w:pPr>
      <w:autoSpaceDE w:val="0"/>
      <w:autoSpaceDN w:val="0"/>
      <w:adjustRightInd w:val="0"/>
    </w:pPr>
    <w:rPr>
      <w:rFonts w:ascii="EYInterstate" w:hAnsi="EYInterstate" w:cs="EYInterstat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1193">
      <w:bodyDiv w:val="1"/>
      <w:marLeft w:val="0"/>
      <w:marRight w:val="0"/>
      <w:marTop w:val="0"/>
      <w:marBottom w:val="0"/>
      <w:divBdr>
        <w:top w:val="none" w:sz="0" w:space="0" w:color="auto"/>
        <w:left w:val="none" w:sz="0" w:space="0" w:color="auto"/>
        <w:bottom w:val="none" w:sz="0" w:space="0" w:color="auto"/>
        <w:right w:val="none" w:sz="0" w:space="0" w:color="auto"/>
      </w:divBdr>
      <w:divsChild>
        <w:div w:id="329413773">
          <w:marLeft w:val="0"/>
          <w:marRight w:val="0"/>
          <w:marTop w:val="0"/>
          <w:marBottom w:val="0"/>
          <w:divBdr>
            <w:top w:val="none" w:sz="0" w:space="0" w:color="auto"/>
            <w:left w:val="none" w:sz="0" w:space="0" w:color="auto"/>
            <w:bottom w:val="none" w:sz="0" w:space="0" w:color="auto"/>
            <w:right w:val="none" w:sz="0" w:space="0" w:color="auto"/>
          </w:divBdr>
          <w:divsChild>
            <w:div w:id="1544487586">
              <w:marLeft w:val="0"/>
              <w:marRight w:val="0"/>
              <w:marTop w:val="0"/>
              <w:marBottom w:val="0"/>
              <w:divBdr>
                <w:top w:val="none" w:sz="0" w:space="0" w:color="auto"/>
                <w:left w:val="none" w:sz="0" w:space="0" w:color="auto"/>
                <w:bottom w:val="none" w:sz="0" w:space="0" w:color="auto"/>
                <w:right w:val="none" w:sz="0" w:space="0" w:color="auto"/>
              </w:divBdr>
              <w:divsChild>
                <w:div w:id="1951936361">
                  <w:marLeft w:val="0"/>
                  <w:marRight w:val="0"/>
                  <w:marTop w:val="0"/>
                  <w:marBottom w:val="0"/>
                  <w:divBdr>
                    <w:top w:val="none" w:sz="0" w:space="0" w:color="auto"/>
                    <w:left w:val="none" w:sz="0" w:space="0" w:color="auto"/>
                    <w:bottom w:val="none" w:sz="0" w:space="0" w:color="auto"/>
                    <w:right w:val="none" w:sz="0" w:space="0" w:color="auto"/>
                  </w:divBdr>
                  <w:divsChild>
                    <w:div w:id="76762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339778">
      <w:bodyDiv w:val="1"/>
      <w:marLeft w:val="0"/>
      <w:marRight w:val="0"/>
      <w:marTop w:val="0"/>
      <w:marBottom w:val="0"/>
      <w:divBdr>
        <w:top w:val="none" w:sz="0" w:space="0" w:color="auto"/>
        <w:left w:val="none" w:sz="0" w:space="0" w:color="auto"/>
        <w:bottom w:val="none" w:sz="0" w:space="0" w:color="auto"/>
        <w:right w:val="none" w:sz="0" w:space="0" w:color="auto"/>
      </w:divBdr>
    </w:div>
    <w:div w:id="373044447">
      <w:bodyDiv w:val="1"/>
      <w:marLeft w:val="0"/>
      <w:marRight w:val="0"/>
      <w:marTop w:val="0"/>
      <w:marBottom w:val="0"/>
      <w:divBdr>
        <w:top w:val="none" w:sz="0" w:space="0" w:color="auto"/>
        <w:left w:val="none" w:sz="0" w:space="0" w:color="auto"/>
        <w:bottom w:val="none" w:sz="0" w:space="0" w:color="auto"/>
        <w:right w:val="none" w:sz="0" w:space="0" w:color="auto"/>
      </w:divBdr>
      <w:divsChild>
        <w:div w:id="1419596706">
          <w:marLeft w:val="576"/>
          <w:marRight w:val="0"/>
          <w:marTop w:val="115"/>
          <w:marBottom w:val="0"/>
          <w:divBdr>
            <w:top w:val="none" w:sz="0" w:space="0" w:color="auto"/>
            <w:left w:val="none" w:sz="0" w:space="0" w:color="auto"/>
            <w:bottom w:val="none" w:sz="0" w:space="0" w:color="auto"/>
            <w:right w:val="none" w:sz="0" w:space="0" w:color="auto"/>
          </w:divBdr>
        </w:div>
      </w:divsChild>
    </w:div>
    <w:div w:id="708144504">
      <w:bodyDiv w:val="1"/>
      <w:marLeft w:val="0"/>
      <w:marRight w:val="0"/>
      <w:marTop w:val="0"/>
      <w:marBottom w:val="0"/>
      <w:divBdr>
        <w:top w:val="none" w:sz="0" w:space="0" w:color="auto"/>
        <w:left w:val="none" w:sz="0" w:space="0" w:color="auto"/>
        <w:bottom w:val="none" w:sz="0" w:space="0" w:color="auto"/>
        <w:right w:val="none" w:sz="0" w:space="0" w:color="auto"/>
      </w:divBdr>
      <w:divsChild>
        <w:div w:id="754740226">
          <w:marLeft w:val="0"/>
          <w:marRight w:val="0"/>
          <w:marTop w:val="0"/>
          <w:marBottom w:val="0"/>
          <w:divBdr>
            <w:top w:val="none" w:sz="0" w:space="0" w:color="auto"/>
            <w:left w:val="none" w:sz="0" w:space="0" w:color="auto"/>
            <w:bottom w:val="none" w:sz="0" w:space="0" w:color="auto"/>
            <w:right w:val="none" w:sz="0" w:space="0" w:color="auto"/>
          </w:divBdr>
          <w:divsChild>
            <w:div w:id="1727072034">
              <w:marLeft w:val="3525"/>
              <w:marRight w:val="3450"/>
              <w:marTop w:val="0"/>
              <w:marBottom w:val="0"/>
              <w:divBdr>
                <w:top w:val="none" w:sz="0" w:space="0" w:color="auto"/>
                <w:left w:val="none" w:sz="0" w:space="0" w:color="auto"/>
                <w:bottom w:val="none" w:sz="0" w:space="0" w:color="auto"/>
                <w:right w:val="none" w:sz="0" w:space="0" w:color="auto"/>
              </w:divBdr>
            </w:div>
          </w:divsChild>
        </w:div>
      </w:divsChild>
    </w:div>
    <w:div w:id="915700917">
      <w:bodyDiv w:val="1"/>
      <w:marLeft w:val="0"/>
      <w:marRight w:val="0"/>
      <w:marTop w:val="0"/>
      <w:marBottom w:val="0"/>
      <w:divBdr>
        <w:top w:val="none" w:sz="0" w:space="0" w:color="auto"/>
        <w:left w:val="none" w:sz="0" w:space="0" w:color="auto"/>
        <w:bottom w:val="none" w:sz="0" w:space="0" w:color="auto"/>
        <w:right w:val="none" w:sz="0" w:space="0" w:color="auto"/>
      </w:divBdr>
      <w:divsChild>
        <w:div w:id="322776282">
          <w:marLeft w:val="0"/>
          <w:marRight w:val="0"/>
          <w:marTop w:val="0"/>
          <w:marBottom w:val="0"/>
          <w:divBdr>
            <w:top w:val="none" w:sz="0" w:space="0" w:color="auto"/>
            <w:left w:val="none" w:sz="0" w:space="0" w:color="auto"/>
            <w:bottom w:val="none" w:sz="0" w:space="0" w:color="auto"/>
            <w:right w:val="none" w:sz="0" w:space="0" w:color="auto"/>
          </w:divBdr>
          <w:divsChild>
            <w:div w:id="156266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626187">
      <w:bodyDiv w:val="1"/>
      <w:marLeft w:val="0"/>
      <w:marRight w:val="0"/>
      <w:marTop w:val="0"/>
      <w:marBottom w:val="0"/>
      <w:divBdr>
        <w:top w:val="none" w:sz="0" w:space="0" w:color="auto"/>
        <w:left w:val="none" w:sz="0" w:space="0" w:color="auto"/>
        <w:bottom w:val="none" w:sz="0" w:space="0" w:color="auto"/>
        <w:right w:val="none" w:sz="0" w:space="0" w:color="auto"/>
      </w:divBdr>
      <w:divsChild>
        <w:div w:id="595133265">
          <w:marLeft w:val="0"/>
          <w:marRight w:val="0"/>
          <w:marTop w:val="0"/>
          <w:marBottom w:val="0"/>
          <w:divBdr>
            <w:top w:val="none" w:sz="0" w:space="0" w:color="auto"/>
            <w:left w:val="none" w:sz="0" w:space="0" w:color="auto"/>
            <w:bottom w:val="none" w:sz="0" w:space="0" w:color="auto"/>
            <w:right w:val="none" w:sz="0" w:space="0" w:color="auto"/>
          </w:divBdr>
          <w:divsChild>
            <w:div w:id="717245306">
              <w:marLeft w:val="0"/>
              <w:marRight w:val="0"/>
              <w:marTop w:val="0"/>
              <w:marBottom w:val="0"/>
              <w:divBdr>
                <w:top w:val="none" w:sz="0" w:space="0" w:color="auto"/>
                <w:left w:val="none" w:sz="0" w:space="0" w:color="auto"/>
                <w:bottom w:val="none" w:sz="0" w:space="0" w:color="auto"/>
                <w:right w:val="none" w:sz="0" w:space="0" w:color="auto"/>
              </w:divBdr>
              <w:divsChild>
                <w:div w:id="562909978">
                  <w:marLeft w:val="0"/>
                  <w:marRight w:val="0"/>
                  <w:marTop w:val="0"/>
                  <w:marBottom w:val="0"/>
                  <w:divBdr>
                    <w:top w:val="none" w:sz="0" w:space="0" w:color="auto"/>
                    <w:left w:val="none" w:sz="0" w:space="0" w:color="auto"/>
                    <w:bottom w:val="none" w:sz="0" w:space="0" w:color="auto"/>
                    <w:right w:val="none" w:sz="0" w:space="0" w:color="auto"/>
                  </w:divBdr>
                  <w:divsChild>
                    <w:div w:id="88926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927229">
      <w:bodyDiv w:val="1"/>
      <w:marLeft w:val="0"/>
      <w:marRight w:val="0"/>
      <w:marTop w:val="0"/>
      <w:marBottom w:val="0"/>
      <w:divBdr>
        <w:top w:val="none" w:sz="0" w:space="0" w:color="auto"/>
        <w:left w:val="none" w:sz="0" w:space="0" w:color="auto"/>
        <w:bottom w:val="none" w:sz="0" w:space="0" w:color="auto"/>
        <w:right w:val="none" w:sz="0" w:space="0" w:color="auto"/>
      </w:divBdr>
      <w:divsChild>
        <w:div w:id="295454747">
          <w:marLeft w:val="0"/>
          <w:marRight w:val="0"/>
          <w:marTop w:val="0"/>
          <w:marBottom w:val="0"/>
          <w:divBdr>
            <w:top w:val="none" w:sz="0" w:space="0" w:color="auto"/>
            <w:left w:val="none" w:sz="0" w:space="0" w:color="auto"/>
            <w:bottom w:val="none" w:sz="0" w:space="0" w:color="auto"/>
            <w:right w:val="none" w:sz="0" w:space="0" w:color="auto"/>
          </w:divBdr>
          <w:divsChild>
            <w:div w:id="1118372017">
              <w:marLeft w:val="3192"/>
              <w:marRight w:val="3125"/>
              <w:marTop w:val="0"/>
              <w:marBottom w:val="0"/>
              <w:divBdr>
                <w:top w:val="none" w:sz="0" w:space="0" w:color="auto"/>
                <w:left w:val="none" w:sz="0" w:space="0" w:color="auto"/>
                <w:bottom w:val="none" w:sz="0" w:space="0" w:color="auto"/>
                <w:right w:val="none" w:sz="0" w:space="0" w:color="auto"/>
              </w:divBdr>
            </w:div>
          </w:divsChild>
        </w:div>
      </w:divsChild>
    </w:div>
    <w:div w:id="1723753958">
      <w:bodyDiv w:val="1"/>
      <w:marLeft w:val="0"/>
      <w:marRight w:val="0"/>
      <w:marTop w:val="0"/>
      <w:marBottom w:val="0"/>
      <w:divBdr>
        <w:top w:val="none" w:sz="0" w:space="0" w:color="auto"/>
        <w:left w:val="none" w:sz="0" w:space="0" w:color="auto"/>
        <w:bottom w:val="none" w:sz="0" w:space="0" w:color="auto"/>
        <w:right w:val="none" w:sz="0" w:space="0" w:color="auto"/>
      </w:divBdr>
      <w:divsChild>
        <w:div w:id="1934439470">
          <w:marLeft w:val="0"/>
          <w:marRight w:val="0"/>
          <w:marTop w:val="0"/>
          <w:marBottom w:val="0"/>
          <w:divBdr>
            <w:top w:val="none" w:sz="0" w:space="0" w:color="auto"/>
            <w:left w:val="none" w:sz="0" w:space="0" w:color="auto"/>
            <w:bottom w:val="none" w:sz="0" w:space="0" w:color="auto"/>
            <w:right w:val="none" w:sz="0" w:space="0" w:color="auto"/>
          </w:divBdr>
          <w:divsChild>
            <w:div w:id="1632243215">
              <w:marLeft w:val="0"/>
              <w:marRight w:val="0"/>
              <w:marTop w:val="0"/>
              <w:marBottom w:val="0"/>
              <w:divBdr>
                <w:top w:val="none" w:sz="0" w:space="0" w:color="auto"/>
                <w:left w:val="none" w:sz="0" w:space="0" w:color="auto"/>
                <w:bottom w:val="none" w:sz="0" w:space="0" w:color="auto"/>
                <w:right w:val="none" w:sz="0" w:space="0" w:color="auto"/>
              </w:divBdr>
              <w:divsChild>
                <w:div w:id="859856385">
                  <w:marLeft w:val="0"/>
                  <w:marRight w:val="0"/>
                  <w:marTop w:val="0"/>
                  <w:marBottom w:val="0"/>
                  <w:divBdr>
                    <w:top w:val="none" w:sz="0" w:space="0" w:color="auto"/>
                    <w:left w:val="none" w:sz="0" w:space="0" w:color="auto"/>
                    <w:bottom w:val="none" w:sz="0" w:space="0" w:color="auto"/>
                    <w:right w:val="none" w:sz="0" w:space="0" w:color="auto"/>
                  </w:divBdr>
                  <w:divsChild>
                    <w:div w:id="213975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835862">
      <w:bodyDiv w:val="1"/>
      <w:marLeft w:val="0"/>
      <w:marRight w:val="0"/>
      <w:marTop w:val="0"/>
      <w:marBottom w:val="0"/>
      <w:divBdr>
        <w:top w:val="none" w:sz="0" w:space="0" w:color="auto"/>
        <w:left w:val="none" w:sz="0" w:space="0" w:color="auto"/>
        <w:bottom w:val="none" w:sz="0" w:space="0" w:color="auto"/>
        <w:right w:val="none" w:sz="0" w:space="0" w:color="auto"/>
      </w:divBdr>
      <w:divsChild>
        <w:div w:id="1171992075">
          <w:marLeft w:val="0"/>
          <w:marRight w:val="0"/>
          <w:marTop w:val="0"/>
          <w:marBottom w:val="0"/>
          <w:divBdr>
            <w:top w:val="none" w:sz="0" w:space="0" w:color="auto"/>
            <w:left w:val="none" w:sz="0" w:space="0" w:color="auto"/>
            <w:bottom w:val="none" w:sz="0" w:space="0" w:color="auto"/>
            <w:right w:val="none" w:sz="0" w:space="0" w:color="auto"/>
          </w:divBdr>
          <w:divsChild>
            <w:div w:id="737942805">
              <w:marLeft w:val="3192"/>
              <w:marRight w:val="3125"/>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_rels/header2.xml.rels><?xml version="1.0" encoding="UTF-8" standalone="yes"?>
<Relationships xmlns="http://schemas.openxmlformats.org/package/2006/relationships"><Relationship Id="rId1" Type="http://schemas.openxmlformats.org/officeDocument/2006/relationships/image" Target="media/image1.tif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F6E790800B64406A831A44B6ACFBCDF"/>
        <w:category>
          <w:name w:val="Allgemein"/>
          <w:gallery w:val="placeholder"/>
        </w:category>
        <w:types>
          <w:type w:val="bbPlcHdr"/>
        </w:types>
        <w:behaviors>
          <w:behavior w:val="content"/>
        </w:behaviors>
        <w:guid w:val="{65ACB3AF-0C4A-483A-99A7-EDC0614FA87B}"/>
      </w:docPartPr>
      <w:docPartBody>
        <w:p w:rsidR="00065705" w:rsidRDefault="00012D86">
          <w:pPr>
            <w:pStyle w:val="EF6E790800B64406A831A44B6ACFBCDF"/>
          </w:pPr>
          <w:r w:rsidRPr="00C55421">
            <w:rPr>
              <w:rStyle w:val="Platzhaltertext"/>
            </w:rPr>
            <w:t>Titel des Berichts</w:t>
          </w:r>
        </w:p>
      </w:docPartBody>
    </w:docPart>
    <w:docPart>
      <w:docPartPr>
        <w:name w:val="14AA2A5C7911460E9D85040AC5AE7281"/>
        <w:category>
          <w:name w:val="Allgemein"/>
          <w:gallery w:val="placeholder"/>
        </w:category>
        <w:types>
          <w:type w:val="bbPlcHdr"/>
        </w:types>
        <w:behaviors>
          <w:behavior w:val="content"/>
        </w:behaviors>
        <w:guid w:val="{4A749A25-E8F2-44AD-AB51-71C8A9F5CD48}"/>
      </w:docPartPr>
      <w:docPartBody>
        <w:p w:rsidR="00065705" w:rsidRDefault="00012D86">
          <w:pPr>
            <w:pStyle w:val="14AA2A5C7911460E9D85040AC5AE7281"/>
          </w:pPr>
          <w:r w:rsidRPr="00C55421">
            <w:rPr>
              <w:rStyle w:val="Platzhaltertext"/>
            </w:rPr>
            <w:t>Untertitel des Berichts</w:t>
          </w:r>
        </w:p>
      </w:docPartBody>
    </w:docPart>
    <w:docPart>
      <w:docPartPr>
        <w:name w:val="000473CB739B4046AFE9B951C5D89AAE"/>
        <w:category>
          <w:name w:val="Allgemein"/>
          <w:gallery w:val="placeholder"/>
        </w:category>
        <w:types>
          <w:type w:val="bbPlcHdr"/>
        </w:types>
        <w:behaviors>
          <w:behavior w:val="content"/>
        </w:behaviors>
        <w:guid w:val="{E75129C9-570A-41A7-AA87-0C1BF9A5FE49}"/>
      </w:docPartPr>
      <w:docPartBody>
        <w:p w:rsidR="00065705" w:rsidRDefault="00012D86">
          <w:pPr>
            <w:pStyle w:val="000473CB739B4046AFE9B951C5D89AAE"/>
          </w:pPr>
          <w:r w:rsidRPr="0060283B">
            <w:rPr>
              <w:rStyle w:val="Platzhaltertext"/>
            </w:rPr>
            <w:t>Klicken Sie hier, um ein Datum einzugeben.</w:t>
          </w:r>
        </w:p>
      </w:docPartBody>
    </w:docPart>
    <w:docPart>
      <w:docPartPr>
        <w:name w:val="A06DE46687DF442792C88003598942BD"/>
        <w:category>
          <w:name w:val="Allgemein"/>
          <w:gallery w:val="placeholder"/>
        </w:category>
        <w:types>
          <w:type w:val="bbPlcHdr"/>
        </w:types>
        <w:behaviors>
          <w:behavior w:val="content"/>
        </w:behaviors>
        <w:guid w:val="{A24FE537-8CF6-4217-BEBD-85FD2FC2E0CA}"/>
      </w:docPartPr>
      <w:docPartBody>
        <w:p w:rsidR="00065705" w:rsidRDefault="00012D86">
          <w:pPr>
            <w:pStyle w:val="A06DE46687DF442792C88003598942BD"/>
          </w:pPr>
          <w:r>
            <w:t>Registriernummer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EYInterstate">
    <w:altName w:val="EYInterstate"/>
    <w:panose1 w:val="00000000000000000000"/>
    <w:charset w:val="00"/>
    <w:family w:val="swiss"/>
    <w:notTrueType/>
    <w:pitch w:val="default"/>
    <w:sig w:usb0="00000003" w:usb1="00000000" w:usb2="00000000" w:usb3="00000000" w:csb0="00000001" w:csb1="00000000"/>
  </w:font>
  <w:font w:name="Frutiger-Roman">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012D86"/>
    <w:rsid w:val="00012D86"/>
    <w:rsid w:val="00035258"/>
    <w:rsid w:val="00065705"/>
    <w:rsid w:val="000C7CCE"/>
    <w:rsid w:val="000F0F76"/>
    <w:rsid w:val="00103365"/>
    <w:rsid w:val="001067A9"/>
    <w:rsid w:val="001C0D69"/>
    <w:rsid w:val="001D024B"/>
    <w:rsid w:val="00232204"/>
    <w:rsid w:val="00275F3E"/>
    <w:rsid w:val="002A55B2"/>
    <w:rsid w:val="002B542D"/>
    <w:rsid w:val="002F4BB8"/>
    <w:rsid w:val="003A6130"/>
    <w:rsid w:val="004139BA"/>
    <w:rsid w:val="004827F6"/>
    <w:rsid w:val="005017D4"/>
    <w:rsid w:val="005340BE"/>
    <w:rsid w:val="005844F7"/>
    <w:rsid w:val="00631D87"/>
    <w:rsid w:val="006558AD"/>
    <w:rsid w:val="00660C11"/>
    <w:rsid w:val="006C6CB6"/>
    <w:rsid w:val="00777A04"/>
    <w:rsid w:val="007B4F00"/>
    <w:rsid w:val="008258A0"/>
    <w:rsid w:val="00855BE0"/>
    <w:rsid w:val="00863C29"/>
    <w:rsid w:val="008B06AD"/>
    <w:rsid w:val="00914024"/>
    <w:rsid w:val="009227B6"/>
    <w:rsid w:val="009406DB"/>
    <w:rsid w:val="00986247"/>
    <w:rsid w:val="009873D6"/>
    <w:rsid w:val="009D7234"/>
    <w:rsid w:val="00A14955"/>
    <w:rsid w:val="00A45BD8"/>
    <w:rsid w:val="00AC08C5"/>
    <w:rsid w:val="00B004AA"/>
    <w:rsid w:val="00B15BFD"/>
    <w:rsid w:val="00BC6A63"/>
    <w:rsid w:val="00D22493"/>
    <w:rsid w:val="00D85712"/>
    <w:rsid w:val="00DF771D"/>
    <w:rsid w:val="00E43821"/>
    <w:rsid w:val="00EF0A82"/>
    <w:rsid w:val="00F11BC8"/>
    <w:rsid w:val="00F11DC3"/>
    <w:rsid w:val="00F30DB2"/>
    <w:rsid w:val="00F635BB"/>
    <w:rsid w:val="00FA5ADA"/>
    <w:rsid w:val="00FD571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004AA"/>
    <w:rPr>
      <w:color w:val="808080"/>
    </w:rPr>
  </w:style>
  <w:style w:type="paragraph" w:customStyle="1" w:styleId="EF6E790800B64406A831A44B6ACFBCDF">
    <w:name w:val="EF6E790800B64406A831A44B6ACFBCDF"/>
    <w:rsid w:val="00065705"/>
  </w:style>
  <w:style w:type="paragraph" w:customStyle="1" w:styleId="14AA2A5C7911460E9D85040AC5AE7281">
    <w:name w:val="14AA2A5C7911460E9D85040AC5AE7281"/>
    <w:rsid w:val="00065705"/>
  </w:style>
  <w:style w:type="paragraph" w:customStyle="1" w:styleId="000473CB739B4046AFE9B951C5D89AAE">
    <w:name w:val="000473CB739B4046AFE9B951C5D89AAE"/>
    <w:rsid w:val="00065705"/>
  </w:style>
  <w:style w:type="paragraph" w:customStyle="1" w:styleId="A06DE46687DF442792C88003598942BD">
    <w:name w:val="A06DE46687DF442792C88003598942BD"/>
    <w:rsid w:val="000657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251AB4-9290-4F68-81FD-A78B7F2CE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7654</Words>
  <Characters>55140</Characters>
  <Application>Microsoft Office Word</Application>
  <DocSecurity>0</DocSecurity>
  <Lines>459</Lines>
  <Paragraphs>125</Paragraphs>
  <ScaleCrop>false</ScaleCrop>
  <HeadingPairs>
    <vt:vector size="2" baseType="variant">
      <vt:variant>
        <vt:lpstr>Titel</vt:lpstr>
      </vt:variant>
      <vt:variant>
        <vt:i4>1</vt:i4>
      </vt:variant>
    </vt:vector>
  </HeadingPairs>
  <TitlesOfParts>
    <vt:vector size="1" baseType="lpstr">
      <vt:lpstr>Bericht_EFK.dot</vt:lpstr>
    </vt:vector>
  </TitlesOfParts>
  <Company>EFK Eidg. Finanzkontrolle Bern</Company>
  <LinksUpToDate>false</LinksUpToDate>
  <CharactersWithSpaces>62669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Bericht_EFK.dot</dc:title>
  <dc:creator>Peter Kummli</dc:creator>
  <cp:lastModifiedBy>Ryan Gregory EFK</cp:lastModifiedBy>
  <cp:revision>2</cp:revision>
  <cp:lastPrinted>2013-05-14T11:17:00Z</cp:lastPrinted>
  <dcterms:created xsi:type="dcterms:W3CDTF">2025-05-26T16:07:00Z</dcterms:created>
  <dcterms:modified xsi:type="dcterms:W3CDTF">2025-05-26T16:07:00Z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Hanna Stoffel</vt:lpwstr>
  </property>
</Properties>
</file>