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4E28" w14:textId="77777777" w:rsidR="00667FF9" w:rsidRDefault="00667FF9">
      <w:pPr>
        <w:spacing w:after="600"/>
        <w:jc w:val="right"/>
        <w:sectPr w:rsidR="00667FF9">
          <w:headerReference w:type="default" r:id="rId8"/>
          <w:footerReference w:type="default" r:id="rId9"/>
          <w:pgSz w:w="11906" w:h="16838" w:code="9"/>
          <w:pgMar w:top="1843" w:right="1418" w:bottom="1701" w:left="1814" w:header="709" w:footer="227" w:gutter="0"/>
          <w:cols w:space="708"/>
          <w:docGrid w:linePitch="360"/>
        </w:sectPr>
      </w:pPr>
    </w:p>
    <w:tbl>
      <w:tblPr>
        <w:tblW w:w="0" w:type="auto"/>
        <w:tblInd w:w="-1701" w:type="dxa"/>
        <w:tblLayout w:type="fixed"/>
        <w:tblLook w:val="01E0" w:firstRow="1" w:lastRow="1" w:firstColumn="1" w:lastColumn="1" w:noHBand="0" w:noVBand="0"/>
      </w:tblPr>
      <w:tblGrid>
        <w:gridCol w:w="1304"/>
        <w:gridCol w:w="284"/>
        <w:gridCol w:w="8636"/>
      </w:tblGrid>
      <w:tr w:rsidR="00667FF9" w:rsidRPr="0059057C" w14:paraId="243E6682" w14:textId="77777777">
        <w:tc>
          <w:tcPr>
            <w:tcW w:w="1304" w:type="dxa"/>
          </w:tcPr>
          <w:p w14:paraId="5F7B1EC9" w14:textId="78E30DF2" w:rsidR="00667FF9" w:rsidRDefault="00667FF9">
            <w:pPr>
              <w:tabs>
                <w:tab w:val="right" w:pos="-284"/>
                <w:tab w:val="left" w:pos="0"/>
              </w:tabs>
              <w:ind w:left="-1418"/>
              <w:jc w:val="right"/>
            </w:pPr>
          </w:p>
        </w:tc>
        <w:tc>
          <w:tcPr>
            <w:tcW w:w="284" w:type="dxa"/>
          </w:tcPr>
          <w:p w14:paraId="1158DF16" w14:textId="77777777" w:rsidR="00667FF9" w:rsidRDefault="00667FF9">
            <w:pPr>
              <w:tabs>
                <w:tab w:val="right" w:pos="-284"/>
                <w:tab w:val="left" w:pos="1028"/>
              </w:tabs>
              <w:ind w:hanging="108"/>
            </w:pPr>
          </w:p>
        </w:tc>
        <w:tc>
          <w:tcPr>
            <w:tcW w:w="8636" w:type="dxa"/>
          </w:tcPr>
          <w:p w14:paraId="6E1B3147" w14:textId="4CDBF0DE" w:rsidR="0037424E" w:rsidRPr="00B160E2" w:rsidRDefault="00EA2D47" w:rsidP="00EA2D47">
            <w:r w:rsidRPr="00B160E2">
              <w:t>An d</w:t>
            </w:r>
            <w:r w:rsidR="00EA350F" w:rsidRPr="00B160E2">
              <w:t xml:space="preserve">ie Präsidien </w:t>
            </w:r>
            <w:r w:rsidRPr="00B160E2">
              <w:t>der Finanz</w:t>
            </w:r>
            <w:r w:rsidR="00EA350F" w:rsidRPr="00B160E2">
              <w:t>kommissionen</w:t>
            </w:r>
            <w:r w:rsidRPr="00B160E2">
              <w:t xml:space="preserve"> </w:t>
            </w:r>
          </w:p>
        </w:tc>
      </w:tr>
      <w:tr w:rsidR="00DD0923" w:rsidRPr="00EA2D47" w14:paraId="1B01D995" w14:textId="77777777">
        <w:tc>
          <w:tcPr>
            <w:tcW w:w="1304" w:type="dxa"/>
          </w:tcPr>
          <w:p w14:paraId="26F503CD" w14:textId="77777777" w:rsidR="00DD0923" w:rsidRPr="00265A00" w:rsidRDefault="00DD0923">
            <w:pPr>
              <w:tabs>
                <w:tab w:val="right" w:pos="-284"/>
                <w:tab w:val="left" w:pos="0"/>
              </w:tabs>
            </w:pPr>
          </w:p>
        </w:tc>
        <w:tc>
          <w:tcPr>
            <w:tcW w:w="284" w:type="dxa"/>
          </w:tcPr>
          <w:p w14:paraId="209F8D4A" w14:textId="77777777" w:rsidR="00DD0923" w:rsidRPr="00265A00" w:rsidRDefault="00DD0923">
            <w:pPr>
              <w:tabs>
                <w:tab w:val="right" w:pos="-284"/>
                <w:tab w:val="left" w:pos="0"/>
              </w:tabs>
            </w:pPr>
          </w:p>
        </w:tc>
        <w:tc>
          <w:tcPr>
            <w:tcW w:w="8636" w:type="dxa"/>
          </w:tcPr>
          <w:p w14:paraId="23FC241B" w14:textId="265107DE" w:rsidR="00DD0923" w:rsidRPr="00B160E2" w:rsidRDefault="00DD0923" w:rsidP="00DD0923">
            <w:r w:rsidRPr="00B160E2">
              <w:t>Herr</w:t>
            </w:r>
            <w:r>
              <w:t>n</w:t>
            </w:r>
            <w:r w:rsidRPr="00B160E2">
              <w:t xml:space="preserve"> Nationalrat Roland Fischer</w:t>
            </w:r>
          </w:p>
        </w:tc>
      </w:tr>
      <w:tr w:rsidR="00DD0923" w:rsidRPr="00EA2D47" w14:paraId="3C7E2A81" w14:textId="77777777">
        <w:tc>
          <w:tcPr>
            <w:tcW w:w="1304" w:type="dxa"/>
          </w:tcPr>
          <w:p w14:paraId="3A206B73" w14:textId="77777777" w:rsidR="00DD0923" w:rsidRPr="00265A00" w:rsidRDefault="00DD0923">
            <w:pPr>
              <w:tabs>
                <w:tab w:val="right" w:pos="-284"/>
                <w:tab w:val="left" w:pos="0"/>
              </w:tabs>
            </w:pPr>
          </w:p>
        </w:tc>
        <w:tc>
          <w:tcPr>
            <w:tcW w:w="284" w:type="dxa"/>
          </w:tcPr>
          <w:p w14:paraId="08C6F0CC" w14:textId="77777777" w:rsidR="00DD0923" w:rsidRPr="00265A00" w:rsidRDefault="00DD0923">
            <w:pPr>
              <w:tabs>
                <w:tab w:val="right" w:pos="-284"/>
                <w:tab w:val="left" w:pos="0"/>
              </w:tabs>
            </w:pPr>
          </w:p>
        </w:tc>
        <w:tc>
          <w:tcPr>
            <w:tcW w:w="8636" w:type="dxa"/>
          </w:tcPr>
          <w:p w14:paraId="531089AA" w14:textId="15E0804F" w:rsidR="00DD0923" w:rsidRPr="00B160E2" w:rsidRDefault="00DD0923" w:rsidP="00DD0923">
            <w:r w:rsidRPr="00B160E2">
              <w:t xml:space="preserve">Frau Ständerätin Johanna </w:t>
            </w:r>
            <w:proofErr w:type="spellStart"/>
            <w:r w:rsidRPr="00B160E2">
              <w:t>Gapany</w:t>
            </w:r>
            <w:proofErr w:type="spellEnd"/>
          </w:p>
        </w:tc>
      </w:tr>
      <w:tr w:rsidR="00DD0923" w:rsidRPr="00EA2D47" w14:paraId="66AE1EFF" w14:textId="77777777">
        <w:tc>
          <w:tcPr>
            <w:tcW w:w="1304" w:type="dxa"/>
          </w:tcPr>
          <w:p w14:paraId="60FAC6F3" w14:textId="77777777" w:rsidR="00DD0923" w:rsidRPr="00265A00" w:rsidRDefault="00DD0923">
            <w:pPr>
              <w:tabs>
                <w:tab w:val="right" w:pos="-284"/>
                <w:tab w:val="left" w:pos="0"/>
              </w:tabs>
            </w:pPr>
          </w:p>
        </w:tc>
        <w:tc>
          <w:tcPr>
            <w:tcW w:w="284" w:type="dxa"/>
          </w:tcPr>
          <w:p w14:paraId="0FAF40CE" w14:textId="77777777" w:rsidR="00DD0923" w:rsidRPr="00265A00" w:rsidRDefault="00DD0923">
            <w:pPr>
              <w:tabs>
                <w:tab w:val="right" w:pos="-284"/>
                <w:tab w:val="left" w:pos="0"/>
              </w:tabs>
            </w:pPr>
          </w:p>
        </w:tc>
        <w:tc>
          <w:tcPr>
            <w:tcW w:w="8636" w:type="dxa"/>
          </w:tcPr>
          <w:p w14:paraId="5155E139" w14:textId="646871BE" w:rsidR="00DD0923" w:rsidRPr="00B160E2" w:rsidRDefault="00DD0923" w:rsidP="00DD0923">
            <w:r w:rsidRPr="00B160E2">
              <w:t>Parlamentsgebäude</w:t>
            </w:r>
          </w:p>
        </w:tc>
      </w:tr>
      <w:tr w:rsidR="00DD0923" w:rsidRPr="00EA2D47" w14:paraId="2FEA3C2B" w14:textId="77777777">
        <w:tc>
          <w:tcPr>
            <w:tcW w:w="1304" w:type="dxa"/>
          </w:tcPr>
          <w:p w14:paraId="55692D2D" w14:textId="77777777" w:rsidR="00DD0923" w:rsidRPr="00265A00" w:rsidRDefault="00DD0923">
            <w:pPr>
              <w:tabs>
                <w:tab w:val="right" w:pos="-284"/>
                <w:tab w:val="left" w:pos="0"/>
              </w:tabs>
            </w:pPr>
          </w:p>
        </w:tc>
        <w:tc>
          <w:tcPr>
            <w:tcW w:w="284" w:type="dxa"/>
          </w:tcPr>
          <w:p w14:paraId="3EF6E9EB" w14:textId="77777777" w:rsidR="00DD0923" w:rsidRPr="00265A00" w:rsidRDefault="00DD0923">
            <w:pPr>
              <w:tabs>
                <w:tab w:val="right" w:pos="-284"/>
                <w:tab w:val="left" w:pos="0"/>
              </w:tabs>
            </w:pPr>
          </w:p>
        </w:tc>
        <w:tc>
          <w:tcPr>
            <w:tcW w:w="8636" w:type="dxa"/>
          </w:tcPr>
          <w:p w14:paraId="2178BCA8" w14:textId="209DE50A" w:rsidR="00DD0923" w:rsidRPr="00B160E2" w:rsidRDefault="00DD0923">
            <w:pPr>
              <w:tabs>
                <w:tab w:val="right" w:pos="-284"/>
                <w:tab w:val="left" w:pos="0"/>
              </w:tabs>
            </w:pPr>
            <w:r w:rsidRPr="00B160E2">
              <w:t>3003 Bern</w:t>
            </w:r>
          </w:p>
        </w:tc>
      </w:tr>
      <w:tr w:rsidR="00DD0923" w:rsidRPr="00EA2D47" w14:paraId="24FDC14F" w14:textId="77777777">
        <w:tc>
          <w:tcPr>
            <w:tcW w:w="1304" w:type="dxa"/>
          </w:tcPr>
          <w:p w14:paraId="0374C609" w14:textId="77777777" w:rsidR="00DD0923" w:rsidRPr="00265A00" w:rsidRDefault="00DD0923">
            <w:pPr>
              <w:tabs>
                <w:tab w:val="right" w:pos="-284"/>
                <w:tab w:val="left" w:pos="0"/>
              </w:tabs>
            </w:pPr>
          </w:p>
        </w:tc>
        <w:tc>
          <w:tcPr>
            <w:tcW w:w="284" w:type="dxa"/>
          </w:tcPr>
          <w:p w14:paraId="31DDF700" w14:textId="77777777" w:rsidR="00DD0923" w:rsidRPr="00265A00" w:rsidRDefault="00DD0923">
            <w:pPr>
              <w:tabs>
                <w:tab w:val="right" w:pos="-284"/>
                <w:tab w:val="left" w:pos="0"/>
              </w:tabs>
            </w:pPr>
          </w:p>
        </w:tc>
        <w:tc>
          <w:tcPr>
            <w:tcW w:w="8636" w:type="dxa"/>
          </w:tcPr>
          <w:p w14:paraId="2B598987" w14:textId="77777777" w:rsidR="00DD0923" w:rsidRPr="00B160E2" w:rsidRDefault="00DD0923">
            <w:pPr>
              <w:tabs>
                <w:tab w:val="right" w:pos="-284"/>
                <w:tab w:val="left" w:pos="0"/>
              </w:tabs>
            </w:pPr>
          </w:p>
        </w:tc>
      </w:tr>
      <w:tr w:rsidR="00667FF9" w14:paraId="29ADAA31" w14:textId="77777777">
        <w:tc>
          <w:tcPr>
            <w:tcW w:w="1304" w:type="dxa"/>
          </w:tcPr>
          <w:p w14:paraId="43B9CE8C" w14:textId="399AED02" w:rsidR="00667FF9" w:rsidRDefault="00667FF9">
            <w:pPr>
              <w:tabs>
                <w:tab w:val="right" w:pos="-284"/>
                <w:tab w:val="left" w:pos="0"/>
              </w:tabs>
              <w:ind w:left="-1418"/>
              <w:jc w:val="right"/>
            </w:pPr>
          </w:p>
        </w:tc>
        <w:tc>
          <w:tcPr>
            <w:tcW w:w="284" w:type="dxa"/>
          </w:tcPr>
          <w:p w14:paraId="4A3597AB" w14:textId="77777777" w:rsidR="00667FF9" w:rsidRDefault="00667FF9">
            <w:pPr>
              <w:tabs>
                <w:tab w:val="right" w:pos="-284"/>
                <w:tab w:val="left" w:pos="0"/>
              </w:tabs>
            </w:pPr>
          </w:p>
        </w:tc>
        <w:tc>
          <w:tcPr>
            <w:tcW w:w="8636" w:type="dxa"/>
          </w:tcPr>
          <w:p w14:paraId="0508478D" w14:textId="2CB45755" w:rsidR="00667FF9" w:rsidRDefault="00DD0923">
            <w:pPr>
              <w:tabs>
                <w:tab w:val="right" w:pos="-284"/>
                <w:tab w:val="left" w:pos="0"/>
              </w:tabs>
            </w:pPr>
            <w:r w:rsidRPr="00B160E2">
              <w:rPr>
                <w:i/>
                <w:iCs/>
              </w:rPr>
              <w:t>Versand per E-Mail an fk.cdf@parl.admin.ch</w:t>
            </w:r>
          </w:p>
        </w:tc>
      </w:tr>
      <w:tr w:rsidR="00667FF9" w14:paraId="3A2A7C7F" w14:textId="77777777">
        <w:trPr>
          <w:hidden/>
        </w:trPr>
        <w:tc>
          <w:tcPr>
            <w:tcW w:w="1304" w:type="dxa"/>
          </w:tcPr>
          <w:p w14:paraId="0666D599" w14:textId="77777777" w:rsidR="00667FF9" w:rsidRDefault="00667FF9">
            <w:pPr>
              <w:tabs>
                <w:tab w:val="right" w:pos="-284"/>
                <w:tab w:val="left" w:pos="0"/>
              </w:tabs>
              <w:ind w:left="-1418"/>
              <w:jc w:val="right"/>
              <w:rPr>
                <w:rFonts w:ascii="Arial Narrow" w:hAnsi="Arial Narrow"/>
                <w:vanish/>
                <w:sz w:val="16"/>
                <w:szCs w:val="16"/>
              </w:rPr>
            </w:pPr>
          </w:p>
        </w:tc>
        <w:tc>
          <w:tcPr>
            <w:tcW w:w="284" w:type="dxa"/>
          </w:tcPr>
          <w:p w14:paraId="321D001C" w14:textId="77777777" w:rsidR="00667FF9" w:rsidRDefault="00667FF9">
            <w:pPr>
              <w:tabs>
                <w:tab w:val="right" w:pos="-284"/>
                <w:tab w:val="left" w:pos="0"/>
              </w:tabs>
            </w:pPr>
          </w:p>
        </w:tc>
        <w:tc>
          <w:tcPr>
            <w:tcW w:w="8636" w:type="dxa"/>
          </w:tcPr>
          <w:p w14:paraId="1D9A0E7C" w14:textId="77777777" w:rsidR="00667FF9" w:rsidRDefault="00667FF9">
            <w:pPr>
              <w:tabs>
                <w:tab w:val="right" w:pos="-284"/>
                <w:tab w:val="left" w:pos="0"/>
              </w:tabs>
            </w:pPr>
          </w:p>
        </w:tc>
      </w:tr>
      <w:tr w:rsidR="00DD0923" w14:paraId="05ACE597" w14:textId="77777777">
        <w:trPr>
          <w:hidden/>
        </w:trPr>
        <w:tc>
          <w:tcPr>
            <w:tcW w:w="1304" w:type="dxa"/>
          </w:tcPr>
          <w:p w14:paraId="7F5FF349" w14:textId="77777777" w:rsidR="00DD0923" w:rsidRDefault="00DD0923">
            <w:pPr>
              <w:tabs>
                <w:tab w:val="right" w:pos="-284"/>
                <w:tab w:val="left" w:pos="0"/>
              </w:tabs>
              <w:ind w:left="-1418"/>
              <w:jc w:val="right"/>
              <w:rPr>
                <w:rFonts w:ascii="Arial Narrow" w:hAnsi="Arial Narrow"/>
                <w:vanish/>
                <w:sz w:val="16"/>
                <w:szCs w:val="16"/>
              </w:rPr>
            </w:pPr>
          </w:p>
        </w:tc>
        <w:tc>
          <w:tcPr>
            <w:tcW w:w="284" w:type="dxa"/>
          </w:tcPr>
          <w:p w14:paraId="1F0541B1" w14:textId="77777777" w:rsidR="00DD0923" w:rsidRDefault="00DD0923">
            <w:pPr>
              <w:tabs>
                <w:tab w:val="right" w:pos="-284"/>
                <w:tab w:val="left" w:pos="0"/>
              </w:tabs>
            </w:pPr>
          </w:p>
        </w:tc>
        <w:tc>
          <w:tcPr>
            <w:tcW w:w="8636" w:type="dxa"/>
          </w:tcPr>
          <w:p w14:paraId="27B5D4AE" w14:textId="77777777" w:rsidR="00DD0923" w:rsidRDefault="00DD0923">
            <w:pPr>
              <w:tabs>
                <w:tab w:val="right" w:pos="-284"/>
                <w:tab w:val="left" w:pos="0"/>
              </w:tabs>
            </w:pPr>
          </w:p>
        </w:tc>
      </w:tr>
      <w:tr w:rsidR="00667FF9" w14:paraId="2803E7B2" w14:textId="77777777">
        <w:tc>
          <w:tcPr>
            <w:tcW w:w="1304" w:type="dxa"/>
          </w:tcPr>
          <w:p w14:paraId="0AF6D8A0" w14:textId="07833561" w:rsidR="00667FF9" w:rsidRDefault="00667FF9">
            <w:pPr>
              <w:tabs>
                <w:tab w:val="right" w:pos="-284"/>
                <w:tab w:val="left" w:pos="0"/>
              </w:tabs>
              <w:ind w:left="-1418"/>
              <w:jc w:val="right"/>
              <w:rPr>
                <w:rFonts w:ascii="Arial Narrow" w:hAnsi="Arial Narrow"/>
                <w:sz w:val="16"/>
              </w:rPr>
            </w:pPr>
          </w:p>
        </w:tc>
        <w:tc>
          <w:tcPr>
            <w:tcW w:w="284" w:type="dxa"/>
          </w:tcPr>
          <w:p w14:paraId="3AE1265A" w14:textId="77777777" w:rsidR="00667FF9" w:rsidRDefault="00667FF9">
            <w:pPr>
              <w:tabs>
                <w:tab w:val="right" w:pos="-284"/>
                <w:tab w:val="left" w:pos="0"/>
              </w:tabs>
            </w:pPr>
          </w:p>
        </w:tc>
        <w:tc>
          <w:tcPr>
            <w:tcW w:w="8636" w:type="dxa"/>
          </w:tcPr>
          <w:p w14:paraId="6A891552" w14:textId="5C586F39" w:rsidR="00667FF9" w:rsidRDefault="008A5451">
            <w:pPr>
              <w:tabs>
                <w:tab w:val="right" w:pos="-284"/>
                <w:tab w:val="left" w:pos="0"/>
              </w:tabs>
            </w:pPr>
            <w:r>
              <w:t>9</w:t>
            </w:r>
            <w:r w:rsidR="0037424E">
              <w:t xml:space="preserve">. </w:t>
            </w:r>
            <w:r>
              <w:t>Januar</w:t>
            </w:r>
            <w:r w:rsidR="0037424E" w:rsidRPr="0037424E">
              <w:t xml:space="preserve"> 202</w:t>
            </w:r>
            <w:r>
              <w:t>3</w:t>
            </w:r>
          </w:p>
        </w:tc>
      </w:tr>
      <w:tr w:rsidR="00667FF9" w14:paraId="6A2E55D4" w14:textId="77777777">
        <w:tc>
          <w:tcPr>
            <w:tcW w:w="1304" w:type="dxa"/>
          </w:tcPr>
          <w:p w14:paraId="38DC69A3" w14:textId="77777777" w:rsidR="00667FF9" w:rsidRDefault="00667FF9">
            <w:pPr>
              <w:tabs>
                <w:tab w:val="right" w:pos="-284"/>
                <w:tab w:val="left" w:pos="0"/>
              </w:tabs>
            </w:pPr>
          </w:p>
        </w:tc>
        <w:tc>
          <w:tcPr>
            <w:tcW w:w="284" w:type="dxa"/>
          </w:tcPr>
          <w:p w14:paraId="7ACD611C" w14:textId="77777777" w:rsidR="00667FF9" w:rsidRDefault="00667FF9">
            <w:pPr>
              <w:tabs>
                <w:tab w:val="right" w:pos="-284"/>
                <w:tab w:val="left" w:pos="0"/>
              </w:tabs>
            </w:pPr>
          </w:p>
        </w:tc>
        <w:tc>
          <w:tcPr>
            <w:tcW w:w="8636" w:type="dxa"/>
          </w:tcPr>
          <w:p w14:paraId="341379A4" w14:textId="77777777" w:rsidR="00667FF9" w:rsidRDefault="00667FF9">
            <w:pPr>
              <w:tabs>
                <w:tab w:val="right" w:pos="-284"/>
                <w:tab w:val="left" w:pos="0"/>
              </w:tabs>
            </w:pPr>
          </w:p>
        </w:tc>
      </w:tr>
      <w:tr w:rsidR="00667FF9" w14:paraId="2B1E5F10" w14:textId="77777777">
        <w:tc>
          <w:tcPr>
            <w:tcW w:w="1304" w:type="dxa"/>
          </w:tcPr>
          <w:p w14:paraId="0E9F8A46" w14:textId="4FA380EF" w:rsidR="00667FF9" w:rsidRDefault="00667FF9">
            <w:pPr>
              <w:ind w:left="-1418"/>
              <w:jc w:val="right"/>
              <w:rPr>
                <w:rFonts w:ascii="Arial Narrow" w:hAnsi="Arial Narrow"/>
                <w:sz w:val="16"/>
              </w:rPr>
            </w:pPr>
          </w:p>
        </w:tc>
        <w:tc>
          <w:tcPr>
            <w:tcW w:w="284" w:type="dxa"/>
          </w:tcPr>
          <w:p w14:paraId="19885442" w14:textId="77777777" w:rsidR="00667FF9" w:rsidRDefault="00667FF9">
            <w:pPr>
              <w:tabs>
                <w:tab w:val="right" w:pos="-284"/>
                <w:tab w:val="left" w:pos="0"/>
              </w:tabs>
            </w:pPr>
          </w:p>
        </w:tc>
        <w:tc>
          <w:tcPr>
            <w:tcW w:w="8636" w:type="dxa"/>
          </w:tcPr>
          <w:p w14:paraId="1E151DA1" w14:textId="77777777" w:rsidR="00667FF9" w:rsidRDefault="00667FF9">
            <w:pPr>
              <w:tabs>
                <w:tab w:val="right" w:pos="-284"/>
                <w:tab w:val="left" w:pos="0"/>
              </w:tabs>
            </w:pPr>
          </w:p>
        </w:tc>
      </w:tr>
      <w:tr w:rsidR="00667FF9" w14:paraId="077D23B0" w14:textId="77777777">
        <w:tc>
          <w:tcPr>
            <w:tcW w:w="1304" w:type="dxa"/>
          </w:tcPr>
          <w:p w14:paraId="4731BDC8" w14:textId="4E964197" w:rsidR="00667FF9" w:rsidRDefault="00667FF9">
            <w:pPr>
              <w:ind w:left="-1418"/>
              <w:jc w:val="right"/>
              <w:rPr>
                <w:rFonts w:ascii="Arial Narrow" w:hAnsi="Arial Narrow"/>
                <w:sz w:val="16"/>
              </w:rPr>
            </w:pPr>
          </w:p>
        </w:tc>
        <w:tc>
          <w:tcPr>
            <w:tcW w:w="284" w:type="dxa"/>
          </w:tcPr>
          <w:p w14:paraId="5A4A7ABF" w14:textId="77777777" w:rsidR="00667FF9" w:rsidRDefault="00667FF9">
            <w:pPr>
              <w:tabs>
                <w:tab w:val="right" w:pos="-284"/>
                <w:tab w:val="left" w:pos="0"/>
              </w:tabs>
            </w:pPr>
          </w:p>
        </w:tc>
        <w:tc>
          <w:tcPr>
            <w:tcW w:w="8636" w:type="dxa"/>
          </w:tcPr>
          <w:p w14:paraId="7653CA19" w14:textId="05DB1D86" w:rsidR="00667FF9" w:rsidRDefault="00DD0923">
            <w:pPr>
              <w:tabs>
                <w:tab w:val="right" w:pos="-284"/>
                <w:tab w:val="left" w:pos="0"/>
              </w:tabs>
            </w:pPr>
            <w:r>
              <w:t>EFK 500.22159.003</w:t>
            </w:r>
          </w:p>
        </w:tc>
      </w:tr>
      <w:tr w:rsidR="00667FF9" w14:paraId="12E8164F" w14:textId="77777777">
        <w:tc>
          <w:tcPr>
            <w:tcW w:w="1304" w:type="dxa"/>
          </w:tcPr>
          <w:p w14:paraId="66CEBB20" w14:textId="77777777" w:rsidR="00667FF9" w:rsidRDefault="00667FF9">
            <w:pPr>
              <w:ind w:left="-1418"/>
              <w:jc w:val="right"/>
              <w:rPr>
                <w:rFonts w:ascii="Arial Narrow" w:hAnsi="Arial Narrow"/>
                <w:sz w:val="16"/>
              </w:rPr>
            </w:pPr>
          </w:p>
        </w:tc>
        <w:tc>
          <w:tcPr>
            <w:tcW w:w="284" w:type="dxa"/>
          </w:tcPr>
          <w:p w14:paraId="23EDB090" w14:textId="77777777" w:rsidR="00667FF9" w:rsidRDefault="00667FF9">
            <w:pPr>
              <w:tabs>
                <w:tab w:val="right" w:pos="-284"/>
                <w:tab w:val="left" w:pos="0"/>
              </w:tabs>
            </w:pPr>
          </w:p>
        </w:tc>
        <w:tc>
          <w:tcPr>
            <w:tcW w:w="8636" w:type="dxa"/>
          </w:tcPr>
          <w:p w14:paraId="709B5A67" w14:textId="77777777" w:rsidR="00667FF9" w:rsidRDefault="00667FF9">
            <w:pPr>
              <w:tabs>
                <w:tab w:val="right" w:pos="-284"/>
                <w:tab w:val="left" w:pos="0"/>
              </w:tabs>
            </w:pPr>
          </w:p>
        </w:tc>
      </w:tr>
      <w:tr w:rsidR="00667FF9" w14:paraId="3FF475A7" w14:textId="77777777">
        <w:tc>
          <w:tcPr>
            <w:tcW w:w="1304" w:type="dxa"/>
          </w:tcPr>
          <w:p w14:paraId="3841361D" w14:textId="77777777" w:rsidR="00667FF9" w:rsidRDefault="00667FF9">
            <w:pPr>
              <w:ind w:left="-1418"/>
              <w:jc w:val="right"/>
              <w:rPr>
                <w:rFonts w:ascii="Arial Narrow" w:hAnsi="Arial Narrow"/>
                <w:sz w:val="16"/>
              </w:rPr>
            </w:pPr>
          </w:p>
        </w:tc>
        <w:tc>
          <w:tcPr>
            <w:tcW w:w="284" w:type="dxa"/>
          </w:tcPr>
          <w:p w14:paraId="38C5C9EE" w14:textId="77777777" w:rsidR="00667FF9" w:rsidRDefault="00667FF9">
            <w:pPr>
              <w:tabs>
                <w:tab w:val="right" w:pos="-284"/>
                <w:tab w:val="left" w:pos="0"/>
              </w:tabs>
            </w:pPr>
          </w:p>
        </w:tc>
        <w:tc>
          <w:tcPr>
            <w:tcW w:w="8636" w:type="dxa"/>
          </w:tcPr>
          <w:p w14:paraId="16E08FAC" w14:textId="77777777" w:rsidR="00667FF9" w:rsidRDefault="00667FF9">
            <w:pPr>
              <w:tabs>
                <w:tab w:val="right" w:pos="-284"/>
                <w:tab w:val="left" w:pos="0"/>
              </w:tabs>
            </w:pPr>
          </w:p>
        </w:tc>
      </w:tr>
      <w:tr w:rsidR="00667FF9" w:rsidRPr="00D04C93" w14:paraId="5959D456" w14:textId="77777777">
        <w:trPr>
          <w:hidden/>
        </w:trPr>
        <w:tc>
          <w:tcPr>
            <w:tcW w:w="1304" w:type="dxa"/>
          </w:tcPr>
          <w:p w14:paraId="20525C0A" w14:textId="755F25DA" w:rsidR="00667FF9" w:rsidRDefault="00667FF9">
            <w:pPr>
              <w:ind w:left="-1418"/>
              <w:jc w:val="right"/>
              <w:rPr>
                <w:rFonts w:ascii="Arial Narrow" w:hAnsi="Arial Narrow"/>
                <w:vanish/>
                <w:sz w:val="16"/>
                <w:szCs w:val="16"/>
              </w:rPr>
            </w:pPr>
          </w:p>
        </w:tc>
        <w:tc>
          <w:tcPr>
            <w:tcW w:w="284" w:type="dxa"/>
          </w:tcPr>
          <w:p w14:paraId="12A1B358" w14:textId="77777777" w:rsidR="00667FF9" w:rsidRDefault="00667FF9">
            <w:pPr>
              <w:tabs>
                <w:tab w:val="right" w:pos="-284"/>
                <w:tab w:val="left" w:pos="0"/>
              </w:tabs>
            </w:pPr>
          </w:p>
        </w:tc>
        <w:tc>
          <w:tcPr>
            <w:tcW w:w="8636" w:type="dxa"/>
          </w:tcPr>
          <w:p w14:paraId="6069E3ED" w14:textId="21070B81" w:rsidR="001F10A7" w:rsidRPr="00D04C93" w:rsidRDefault="00E16857" w:rsidP="00DD0923">
            <w:pPr>
              <w:pStyle w:val="Titel"/>
              <w:rPr>
                <w:highlight w:val="green"/>
              </w:rPr>
            </w:pPr>
            <w:r w:rsidRPr="00D04C93">
              <w:rPr>
                <w:highlight w:val="green"/>
              </w:rPr>
              <w:t>Berichterstattung</w:t>
            </w:r>
            <w:r w:rsidR="00F6527F" w:rsidRPr="00D04C93">
              <w:rPr>
                <w:highlight w:val="green"/>
              </w:rPr>
              <w:t xml:space="preserve"> über die </w:t>
            </w:r>
            <w:r w:rsidR="0037424E" w:rsidRPr="00D04C93">
              <w:rPr>
                <w:highlight w:val="green"/>
              </w:rPr>
              <w:t xml:space="preserve">Prüfung der Botschaft für die Räumung des </w:t>
            </w:r>
            <w:r w:rsidR="00DD0923" w:rsidRPr="00D04C93">
              <w:rPr>
                <w:highlight w:val="green"/>
              </w:rPr>
              <w:br/>
            </w:r>
            <w:r w:rsidR="0037424E" w:rsidRPr="00D04C93">
              <w:rPr>
                <w:highlight w:val="green"/>
              </w:rPr>
              <w:t xml:space="preserve">ehemaligen Munitionslagers </w:t>
            </w:r>
            <w:proofErr w:type="spellStart"/>
            <w:r w:rsidR="0037424E" w:rsidRPr="00D04C93">
              <w:rPr>
                <w:highlight w:val="green"/>
              </w:rPr>
              <w:t>Mitholz</w:t>
            </w:r>
            <w:proofErr w:type="spellEnd"/>
            <w:r w:rsidR="00DA19BA" w:rsidRPr="00D04C93">
              <w:rPr>
                <w:highlight w:val="green"/>
              </w:rPr>
              <w:t xml:space="preserve"> («Verpflichtungskredit </w:t>
            </w:r>
            <w:proofErr w:type="spellStart"/>
            <w:r w:rsidR="00DA19BA" w:rsidRPr="00D04C93">
              <w:rPr>
                <w:highlight w:val="green"/>
              </w:rPr>
              <w:t>Mitholz</w:t>
            </w:r>
            <w:proofErr w:type="spellEnd"/>
            <w:r w:rsidR="00DA19BA" w:rsidRPr="00D04C93">
              <w:rPr>
                <w:highlight w:val="green"/>
              </w:rPr>
              <w:t>»)</w:t>
            </w:r>
            <w:r w:rsidR="001F10A7" w:rsidRPr="00D04C93">
              <w:rPr>
                <w:highlight w:val="green"/>
              </w:rPr>
              <w:t xml:space="preserve"> </w:t>
            </w:r>
            <w:r w:rsidR="00DD0923" w:rsidRPr="00D04C93">
              <w:rPr>
                <w:highlight w:val="green"/>
              </w:rPr>
              <w:br/>
            </w:r>
            <w:r w:rsidR="001F10A7" w:rsidRPr="00D04C93">
              <w:rPr>
                <w:highlight w:val="green"/>
              </w:rPr>
              <w:t>gemäss Art. 1 Abs. 1 Finanzkontrollgesetz</w:t>
            </w:r>
          </w:p>
        </w:tc>
      </w:tr>
      <w:tr w:rsidR="00667FF9" w:rsidRPr="00D04C93" w14:paraId="1850FBB0" w14:textId="77777777">
        <w:tc>
          <w:tcPr>
            <w:tcW w:w="1304" w:type="dxa"/>
          </w:tcPr>
          <w:p w14:paraId="6633CDE4" w14:textId="77777777" w:rsidR="00667FF9" w:rsidRPr="00D04C93" w:rsidRDefault="00667FF9">
            <w:pPr>
              <w:tabs>
                <w:tab w:val="right" w:pos="-284"/>
                <w:tab w:val="left" w:pos="0"/>
              </w:tabs>
              <w:rPr>
                <w:highlight w:val="green"/>
              </w:rPr>
            </w:pPr>
          </w:p>
        </w:tc>
        <w:tc>
          <w:tcPr>
            <w:tcW w:w="284" w:type="dxa"/>
          </w:tcPr>
          <w:p w14:paraId="6C6E9E2F" w14:textId="77777777" w:rsidR="00667FF9" w:rsidRPr="00D04C93" w:rsidRDefault="00667FF9">
            <w:pPr>
              <w:tabs>
                <w:tab w:val="right" w:pos="-284"/>
                <w:tab w:val="left" w:pos="0"/>
              </w:tabs>
              <w:rPr>
                <w:highlight w:val="green"/>
              </w:rPr>
            </w:pPr>
          </w:p>
        </w:tc>
        <w:tc>
          <w:tcPr>
            <w:tcW w:w="8636" w:type="dxa"/>
          </w:tcPr>
          <w:p w14:paraId="6AB762AA" w14:textId="77777777" w:rsidR="00667FF9" w:rsidRPr="00D04C93" w:rsidRDefault="00667FF9">
            <w:pPr>
              <w:tabs>
                <w:tab w:val="right" w:pos="-284"/>
                <w:tab w:val="left" w:pos="0"/>
              </w:tabs>
              <w:rPr>
                <w:highlight w:val="green"/>
              </w:rPr>
            </w:pPr>
          </w:p>
        </w:tc>
      </w:tr>
      <w:tr w:rsidR="00667FF9" w:rsidRPr="00D04C93" w14:paraId="3F21D3F3" w14:textId="77777777">
        <w:trPr>
          <w:hidden/>
        </w:trPr>
        <w:tc>
          <w:tcPr>
            <w:tcW w:w="1304" w:type="dxa"/>
          </w:tcPr>
          <w:p w14:paraId="75D43FF0" w14:textId="5E3C20E4" w:rsidR="00667FF9" w:rsidRPr="00D04C93" w:rsidRDefault="00667FF9">
            <w:pPr>
              <w:ind w:left="-1418"/>
              <w:jc w:val="right"/>
              <w:rPr>
                <w:rFonts w:ascii="Arial Narrow" w:hAnsi="Arial Narrow"/>
                <w:vanish/>
                <w:sz w:val="16"/>
                <w:szCs w:val="16"/>
                <w:highlight w:val="green"/>
              </w:rPr>
            </w:pPr>
          </w:p>
        </w:tc>
        <w:tc>
          <w:tcPr>
            <w:tcW w:w="284" w:type="dxa"/>
          </w:tcPr>
          <w:p w14:paraId="6AA5D272" w14:textId="77777777" w:rsidR="00667FF9" w:rsidRPr="00D04C93" w:rsidRDefault="00667FF9">
            <w:pPr>
              <w:tabs>
                <w:tab w:val="right" w:pos="-284"/>
                <w:tab w:val="left" w:pos="0"/>
              </w:tabs>
              <w:rPr>
                <w:highlight w:val="green"/>
              </w:rPr>
            </w:pPr>
          </w:p>
        </w:tc>
        <w:tc>
          <w:tcPr>
            <w:tcW w:w="8636" w:type="dxa"/>
          </w:tcPr>
          <w:p w14:paraId="2A1F1125" w14:textId="77777777" w:rsidR="00DD0923" w:rsidRPr="00D04C93" w:rsidRDefault="0090624A">
            <w:pPr>
              <w:tabs>
                <w:tab w:val="right" w:pos="-284"/>
                <w:tab w:val="left" w:pos="0"/>
              </w:tabs>
              <w:rPr>
                <w:highlight w:val="green"/>
              </w:rPr>
            </w:pPr>
            <w:r w:rsidRPr="00D04C93">
              <w:rPr>
                <w:highlight w:val="green"/>
              </w:rPr>
              <w:t>Sehr geehrt</w:t>
            </w:r>
            <w:r w:rsidR="00A050C0" w:rsidRPr="00D04C93">
              <w:rPr>
                <w:highlight w:val="green"/>
              </w:rPr>
              <w:t xml:space="preserve">er Herr </w:t>
            </w:r>
            <w:r w:rsidR="00442F64" w:rsidRPr="00D04C93">
              <w:rPr>
                <w:highlight w:val="green"/>
              </w:rPr>
              <w:t>Präsident</w:t>
            </w:r>
          </w:p>
          <w:p w14:paraId="3FBFE0DA" w14:textId="58BEF37B" w:rsidR="0037424E" w:rsidRPr="00D04C93" w:rsidRDefault="00DD0923">
            <w:pPr>
              <w:tabs>
                <w:tab w:val="right" w:pos="-284"/>
                <w:tab w:val="left" w:pos="0"/>
              </w:tabs>
              <w:rPr>
                <w:highlight w:val="green"/>
              </w:rPr>
            </w:pPr>
            <w:r w:rsidRPr="00D04C93">
              <w:rPr>
                <w:highlight w:val="green"/>
              </w:rPr>
              <w:t>S</w:t>
            </w:r>
            <w:r w:rsidR="00756E3F" w:rsidRPr="00D04C93">
              <w:rPr>
                <w:highlight w:val="green"/>
              </w:rPr>
              <w:t>ehr geehrte Frau Präsidentin</w:t>
            </w:r>
          </w:p>
        </w:tc>
      </w:tr>
      <w:tr w:rsidR="00DD0923" w:rsidRPr="00D04C93" w14:paraId="175755F2" w14:textId="77777777">
        <w:trPr>
          <w:hidden/>
        </w:trPr>
        <w:tc>
          <w:tcPr>
            <w:tcW w:w="1304" w:type="dxa"/>
          </w:tcPr>
          <w:p w14:paraId="741EFC20" w14:textId="77777777" w:rsidR="00DD0923" w:rsidRPr="00D04C93" w:rsidRDefault="00DD0923">
            <w:pPr>
              <w:ind w:left="-1418"/>
              <w:jc w:val="right"/>
              <w:rPr>
                <w:rFonts w:ascii="Arial Narrow" w:hAnsi="Arial Narrow"/>
                <w:vanish/>
                <w:sz w:val="16"/>
                <w:szCs w:val="16"/>
                <w:highlight w:val="green"/>
              </w:rPr>
            </w:pPr>
          </w:p>
        </w:tc>
        <w:tc>
          <w:tcPr>
            <w:tcW w:w="284" w:type="dxa"/>
          </w:tcPr>
          <w:p w14:paraId="63BB4D09" w14:textId="77777777" w:rsidR="00DD0923" w:rsidRPr="00D04C93" w:rsidRDefault="00DD0923">
            <w:pPr>
              <w:tabs>
                <w:tab w:val="right" w:pos="-284"/>
                <w:tab w:val="left" w:pos="0"/>
              </w:tabs>
              <w:rPr>
                <w:highlight w:val="green"/>
              </w:rPr>
            </w:pPr>
          </w:p>
        </w:tc>
        <w:tc>
          <w:tcPr>
            <w:tcW w:w="8636" w:type="dxa"/>
          </w:tcPr>
          <w:p w14:paraId="23874463" w14:textId="77777777" w:rsidR="00DD0923" w:rsidRPr="00D04C93" w:rsidRDefault="00DD0923">
            <w:pPr>
              <w:tabs>
                <w:tab w:val="right" w:pos="-284"/>
                <w:tab w:val="left" w:pos="0"/>
              </w:tabs>
              <w:rPr>
                <w:highlight w:val="green"/>
              </w:rPr>
            </w:pPr>
          </w:p>
        </w:tc>
      </w:tr>
    </w:tbl>
    <w:p w14:paraId="2883B83B" w14:textId="330DE2AB" w:rsidR="00DD0923" w:rsidRPr="00D04C93" w:rsidRDefault="00DD0923" w:rsidP="00DD0923">
      <w:pPr>
        <w:tabs>
          <w:tab w:val="right" w:pos="-284"/>
          <w:tab w:val="left" w:pos="0"/>
        </w:tabs>
        <w:jc w:val="both"/>
        <w:rPr>
          <w:spacing w:val="-2"/>
          <w:highlight w:val="green"/>
        </w:rPr>
      </w:pPr>
      <w:r w:rsidRPr="00D04C93">
        <w:rPr>
          <w:spacing w:val="-2"/>
          <w:highlight w:val="green"/>
        </w:rPr>
        <w:t xml:space="preserve">Wie mit Schreiben vom 1. Juli 2022 an das Generalsekretariat des Eidgenössischen Departements für Verteidigung, Bevölkerungsschutz und Sport (GS-VBS) angekündigt, hat die Eidgenössische Finanzkontrolle (EFK) eine Prüfung der Botschaft «Räumung ehemaliges Munitionslager </w:t>
      </w:r>
      <w:proofErr w:type="spellStart"/>
      <w:r w:rsidRPr="00D04C93">
        <w:rPr>
          <w:spacing w:val="-2"/>
          <w:highlight w:val="green"/>
        </w:rPr>
        <w:t>Mitholz</w:t>
      </w:r>
      <w:proofErr w:type="spellEnd"/>
      <w:r w:rsidRPr="00D04C93">
        <w:rPr>
          <w:spacing w:val="-2"/>
          <w:highlight w:val="green"/>
        </w:rPr>
        <w:t>» (PA 22159) vorgenommen. Ziel war es, den Botschaftsentwurf unter dem Gesichtspunkt der finanziellen Auswirkungen zu analysieren und, falls nötig, im Rahmen der Ämterkonsultation zu kommentieren. Dazu hat die EFK wesentliche Projektmanagementdokumente wie den Projektstrukturplan, Risikoberichte, den Terminplan und die Kostenschätzung mit Stand August 2022 des GS-VBS durchgesehen und die Kosten in Teilen plausibilisiert.</w:t>
      </w:r>
    </w:p>
    <w:p w14:paraId="36BD9649" w14:textId="77777777" w:rsidR="00DD0923" w:rsidRPr="00D04C93" w:rsidRDefault="00DD0923" w:rsidP="00DD0923">
      <w:pPr>
        <w:tabs>
          <w:tab w:val="right" w:pos="-284"/>
          <w:tab w:val="left" w:pos="0"/>
        </w:tabs>
        <w:jc w:val="both"/>
        <w:rPr>
          <w:spacing w:val="-2"/>
          <w:highlight w:val="green"/>
        </w:rPr>
      </w:pPr>
    </w:p>
    <w:p w14:paraId="603F8779" w14:textId="316A8B55" w:rsidR="00DD0923" w:rsidRPr="00D04C93" w:rsidRDefault="00DD0923" w:rsidP="00DD0923">
      <w:pPr>
        <w:tabs>
          <w:tab w:val="right" w:pos="-284"/>
          <w:tab w:val="left" w:pos="0"/>
        </w:tabs>
        <w:jc w:val="both"/>
        <w:rPr>
          <w:spacing w:val="-2"/>
          <w:highlight w:val="green"/>
        </w:rPr>
      </w:pPr>
      <w:r w:rsidRPr="00D04C93">
        <w:rPr>
          <w:spacing w:val="-2"/>
          <w:highlight w:val="green"/>
        </w:rPr>
        <w:t>Die EFK hat während der Prüfung der Botschaft ihre umfassenden Erkenntnisse im Rahmen der Vernehmlassung am 17. August 2022 und der Ämterkonsultation am 9. September 2022 an das GS-VBS übermittelt. Ein grosser Teil der von der EFK gestellten Anträge ist in den definitiven Botschaftstext eingeflossen. Wichtige Punkte sind aus Sicht der EFK aber noch nicht ausreichend adressiert.</w:t>
      </w:r>
    </w:p>
    <w:p w14:paraId="53FB29A2" w14:textId="77777777" w:rsidR="00DD0923" w:rsidRPr="00D04C93" w:rsidRDefault="00DD0923" w:rsidP="00DD0923">
      <w:pPr>
        <w:tabs>
          <w:tab w:val="right" w:pos="-284"/>
          <w:tab w:val="left" w:pos="0"/>
        </w:tabs>
        <w:jc w:val="both"/>
        <w:rPr>
          <w:spacing w:val="-2"/>
          <w:highlight w:val="green"/>
        </w:rPr>
      </w:pPr>
    </w:p>
    <w:p w14:paraId="003D1736" w14:textId="657905B0" w:rsidR="00DD0923" w:rsidRPr="00D04C93" w:rsidRDefault="00DD0923" w:rsidP="00DD0923">
      <w:pPr>
        <w:tabs>
          <w:tab w:val="right" w:pos="-284"/>
          <w:tab w:val="left" w:pos="0"/>
        </w:tabs>
        <w:jc w:val="both"/>
        <w:rPr>
          <w:bCs/>
          <w:spacing w:val="-2"/>
          <w:highlight w:val="green"/>
        </w:rPr>
      </w:pPr>
      <w:r w:rsidRPr="00D04C93">
        <w:rPr>
          <w:bCs/>
          <w:spacing w:val="-2"/>
          <w:highlight w:val="green"/>
        </w:rPr>
        <w:t xml:space="preserve">Der Bundesrat hat an seiner Sitzung vom 16. November 2022 die Botschaft zu einem Verpflichtungskredit (VK) für die Räumung des ehemaligen Munitionslagers </w:t>
      </w:r>
      <w:proofErr w:type="spellStart"/>
      <w:r w:rsidRPr="00D04C93">
        <w:rPr>
          <w:bCs/>
          <w:spacing w:val="-2"/>
          <w:highlight w:val="green"/>
        </w:rPr>
        <w:t>Mitholz</w:t>
      </w:r>
      <w:proofErr w:type="spellEnd"/>
      <w:r w:rsidRPr="00D04C93">
        <w:rPr>
          <w:bCs/>
          <w:spacing w:val="-2"/>
          <w:highlight w:val="green"/>
        </w:rPr>
        <w:t xml:space="preserve"> verabschiedet. Er beantragt dem Parlament die Genehmigung von 2,59 Milliarden Franken für die umfassende Räumung der Munitionsrückstände. Der Bundesrat bestätigt somit den Räumungsbeschluss von Ende 2020.</w:t>
      </w:r>
    </w:p>
    <w:p w14:paraId="6EDC28F8" w14:textId="77777777" w:rsidR="00DD0923" w:rsidRPr="00D04C93" w:rsidRDefault="00DD0923" w:rsidP="00DD0923">
      <w:pPr>
        <w:tabs>
          <w:tab w:val="right" w:pos="-284"/>
          <w:tab w:val="left" w:pos="0"/>
        </w:tabs>
        <w:jc w:val="both"/>
        <w:rPr>
          <w:spacing w:val="-2"/>
          <w:highlight w:val="green"/>
        </w:rPr>
      </w:pPr>
    </w:p>
    <w:p w14:paraId="78341519" w14:textId="6EA96551" w:rsidR="00DD0923" w:rsidRPr="00990A8C" w:rsidRDefault="00DD0923" w:rsidP="00DD0923">
      <w:pPr>
        <w:tabs>
          <w:tab w:val="right" w:pos="-284"/>
          <w:tab w:val="left" w:pos="0"/>
        </w:tabs>
        <w:jc w:val="both"/>
        <w:rPr>
          <w:spacing w:val="-2"/>
        </w:rPr>
      </w:pPr>
      <w:r w:rsidRPr="00D04C93">
        <w:rPr>
          <w:spacing w:val="-2"/>
          <w:highlight w:val="green"/>
        </w:rPr>
        <w:t>Diese Berichterstattung fasst die wesentlichen Feststellungen und Beurteilungen zusammen und soll aufzeigen, weshalb die EFK zu ihrer Gesamteinschätzung kommt. Sie hebt in diesem Zusammenhang die konstruktive Zusammenarbeit und die grundsätzlich gute Arbeit des GS-VBS hervor, möchte jedoch auf Risiken hinweisen, die aus ihrer Sicht für den Leser der Botschaft nicht explizit erkennbar sind. Die EFK hat die Möglichkeit wahrgenommen, diese Risiken in der Sitzung der Subkommission FK-N4 am 23. November 2022 vorzustellen. Anwesend waren ebenfalls Vertreter des GS-VBS.</w:t>
      </w:r>
    </w:p>
    <w:p w14:paraId="011A6861" w14:textId="77777777" w:rsidR="00DD0923" w:rsidRPr="00D04C93" w:rsidRDefault="00DD0923" w:rsidP="00990A8C">
      <w:pPr>
        <w:tabs>
          <w:tab w:val="right" w:pos="-284"/>
          <w:tab w:val="left" w:pos="0"/>
        </w:tabs>
        <w:spacing w:before="600" w:after="60"/>
        <w:jc w:val="both"/>
        <w:rPr>
          <w:rFonts w:ascii="Arial Black" w:hAnsi="Arial Black"/>
          <w:b/>
          <w:bCs/>
          <w:spacing w:val="-2"/>
          <w:highlight w:val="blue"/>
        </w:rPr>
      </w:pPr>
      <w:r w:rsidRPr="00D04C93">
        <w:rPr>
          <w:rFonts w:ascii="Arial Black" w:hAnsi="Arial Black"/>
          <w:b/>
          <w:bCs/>
          <w:spacing w:val="-2"/>
          <w:highlight w:val="blue"/>
        </w:rPr>
        <w:t>Gesamteinschätzung</w:t>
      </w:r>
    </w:p>
    <w:p w14:paraId="6D23144C" w14:textId="0F1CB1DA" w:rsidR="00DD0923" w:rsidRPr="00D04C93" w:rsidRDefault="00DD0923" w:rsidP="00DD0923">
      <w:pPr>
        <w:tabs>
          <w:tab w:val="right" w:pos="-284"/>
          <w:tab w:val="left" w:pos="0"/>
        </w:tabs>
        <w:jc w:val="both"/>
        <w:rPr>
          <w:spacing w:val="-2"/>
          <w:highlight w:val="blue"/>
        </w:rPr>
      </w:pPr>
      <w:r w:rsidRPr="00D04C93">
        <w:rPr>
          <w:spacing w:val="-2"/>
          <w:highlight w:val="blue"/>
        </w:rPr>
        <w:t xml:space="preserve">Aus der Botschaft zur Räumung des ehemaligen Munitionslagers </w:t>
      </w:r>
      <w:proofErr w:type="spellStart"/>
      <w:r w:rsidRPr="00D04C93">
        <w:rPr>
          <w:spacing w:val="-2"/>
          <w:highlight w:val="blue"/>
        </w:rPr>
        <w:t>Mitholz</w:t>
      </w:r>
      <w:proofErr w:type="spellEnd"/>
      <w:r w:rsidRPr="00D04C93">
        <w:rPr>
          <w:spacing w:val="-2"/>
          <w:highlight w:val="blue"/>
        </w:rPr>
        <w:t xml:space="preserve"> geht aus Sicht der EFK zu wenig klar hervor, dass die Kostenschätzung zum Verpflichtungskredit in Höhe von 2,59 Milliarden Franken teils, dem frühen Projektstand geschuldet, auf ungenauen oder noch unzureichenden Grundlagen mit erheblichen finanziellen Risiken basiert. Hinzu kommt das Alleinstellungsmerkmal, dass das Projekt, einmal angefangen, kaum mehr gestoppt bzw. unterbrochen werden kann. Dies hat zur Folge, dass die Finanzmittel, unabhängig von ihrer Höhe, permanent bereitgestellt werden müssen.</w:t>
      </w:r>
    </w:p>
    <w:p w14:paraId="5ADFA021" w14:textId="77777777" w:rsidR="00DD0923" w:rsidRPr="00D04C93" w:rsidRDefault="00DD0923" w:rsidP="00DD0923">
      <w:pPr>
        <w:tabs>
          <w:tab w:val="right" w:pos="-284"/>
          <w:tab w:val="left" w:pos="0"/>
        </w:tabs>
        <w:jc w:val="both"/>
        <w:rPr>
          <w:spacing w:val="-2"/>
          <w:highlight w:val="blue"/>
        </w:rPr>
      </w:pPr>
    </w:p>
    <w:p w14:paraId="6C289FC2" w14:textId="79F0B550" w:rsidR="00DD0923" w:rsidRPr="00D04C93" w:rsidRDefault="00DD0923" w:rsidP="00990A8C">
      <w:pPr>
        <w:tabs>
          <w:tab w:val="right" w:pos="-284"/>
          <w:tab w:val="left" w:pos="0"/>
        </w:tabs>
        <w:spacing w:after="120"/>
        <w:jc w:val="both"/>
        <w:rPr>
          <w:spacing w:val="-2"/>
          <w:highlight w:val="blue"/>
        </w:rPr>
      </w:pPr>
      <w:r w:rsidRPr="00D04C93">
        <w:rPr>
          <w:spacing w:val="-2"/>
          <w:highlight w:val="blue"/>
        </w:rPr>
        <w:t>Die EFK kommt zum Schluss, dass:</w:t>
      </w:r>
    </w:p>
    <w:p w14:paraId="118D705C" w14:textId="77777777" w:rsidR="00DD0923" w:rsidRPr="00D04C93" w:rsidRDefault="00DD0923" w:rsidP="00DD0923">
      <w:pPr>
        <w:numPr>
          <w:ilvl w:val="0"/>
          <w:numId w:val="22"/>
        </w:numPr>
        <w:tabs>
          <w:tab w:val="right" w:pos="-284"/>
          <w:tab w:val="left" w:pos="0"/>
        </w:tabs>
        <w:ind w:left="709" w:hanging="359"/>
        <w:jc w:val="both"/>
        <w:rPr>
          <w:spacing w:val="-2"/>
          <w:highlight w:val="blue"/>
        </w:rPr>
      </w:pPr>
      <w:r w:rsidRPr="00D04C93">
        <w:rPr>
          <w:spacing w:val="-2"/>
          <w:highlight w:val="blue"/>
        </w:rPr>
        <w:t>die Kostenverteilung des VK auf einzelne Positionen (wie Kostengenauigkeit, Projektrisiken etc.) aus dem Botschaftstext nur schwer erkennbar ist.</w:t>
      </w:r>
    </w:p>
    <w:p w14:paraId="7A1C2181" w14:textId="77777777" w:rsidR="00DD0923" w:rsidRPr="00D04C93" w:rsidRDefault="00DD0923" w:rsidP="00DD0923">
      <w:pPr>
        <w:numPr>
          <w:ilvl w:val="0"/>
          <w:numId w:val="22"/>
        </w:numPr>
        <w:tabs>
          <w:tab w:val="right" w:pos="-284"/>
          <w:tab w:val="left" w:pos="0"/>
        </w:tabs>
        <w:ind w:left="709" w:hanging="359"/>
        <w:jc w:val="both"/>
        <w:rPr>
          <w:spacing w:val="-2"/>
          <w:highlight w:val="blue"/>
        </w:rPr>
      </w:pPr>
      <w:r w:rsidRPr="00D04C93">
        <w:rPr>
          <w:spacing w:val="-2"/>
          <w:highlight w:val="blue"/>
        </w:rPr>
        <w:t>die Datengrundlage zur Bemessung der Kosten des VK teils noch wenig fundiert ist, um eine belastbare Aussage über dessen Höhe zu treffen und dieser Umstand in der Botschaft zu wenig zum Ausdruck kommt.</w:t>
      </w:r>
    </w:p>
    <w:p w14:paraId="243E58E3" w14:textId="77777777" w:rsidR="00DD0923" w:rsidRPr="00D04C93" w:rsidRDefault="00DD0923" w:rsidP="00DD0923">
      <w:pPr>
        <w:numPr>
          <w:ilvl w:val="0"/>
          <w:numId w:val="22"/>
        </w:numPr>
        <w:tabs>
          <w:tab w:val="right" w:pos="-284"/>
          <w:tab w:val="left" w:pos="0"/>
        </w:tabs>
        <w:ind w:left="709" w:hanging="359"/>
        <w:jc w:val="both"/>
        <w:rPr>
          <w:spacing w:val="-2"/>
          <w:highlight w:val="blue"/>
        </w:rPr>
      </w:pPr>
      <w:r w:rsidRPr="00D04C93">
        <w:rPr>
          <w:spacing w:val="-2"/>
          <w:highlight w:val="blue"/>
        </w:rPr>
        <w:t>die evaluierten Risiken aus der Botschaft generischer Natur sind und die projektspezifischen Risiken nicht ausreichend aufgreifen.</w:t>
      </w:r>
    </w:p>
    <w:p w14:paraId="0DE6E9F0" w14:textId="3BBC7071" w:rsidR="00990A8C" w:rsidRPr="00D04C93" w:rsidRDefault="00DD0923" w:rsidP="00990A8C">
      <w:pPr>
        <w:numPr>
          <w:ilvl w:val="0"/>
          <w:numId w:val="22"/>
        </w:numPr>
        <w:tabs>
          <w:tab w:val="right" w:pos="-284"/>
          <w:tab w:val="left" w:pos="0"/>
        </w:tabs>
        <w:ind w:left="709" w:hanging="359"/>
        <w:jc w:val="both"/>
        <w:rPr>
          <w:spacing w:val="-2"/>
          <w:highlight w:val="blue"/>
        </w:rPr>
      </w:pPr>
      <w:r w:rsidRPr="00D04C93">
        <w:rPr>
          <w:spacing w:val="-2"/>
          <w:highlight w:val="blue"/>
        </w:rPr>
        <w:t>die Projektrisiken und die Eintretenswahrscheinlichkeiten, trotz mangelnder Grundlagen, mehrheitlich kleiner als 50 </w:t>
      </w:r>
      <w:r w:rsidR="0041055A" w:rsidRPr="00D04C93">
        <w:rPr>
          <w:spacing w:val="-2"/>
          <w:highlight w:val="blue"/>
        </w:rPr>
        <w:t>Prozent</w:t>
      </w:r>
      <w:r w:rsidRPr="00D04C93">
        <w:rPr>
          <w:spacing w:val="-2"/>
          <w:highlight w:val="blue"/>
        </w:rPr>
        <w:t xml:space="preserve"> eingeschätzt wurden. Aus diesem Grund ist die beantragte Höhe der Rückstellung von ca. 1,59 Milliarden Franken mit erheblichen Unsicherheiten verbunden. Die definitive Beurteilung der Rückstellung seitens der EFK ist noch nicht erfolgt. Diese wird momentan im Rahmen der Zwischenrevision der Bundesrechnung 2022 mit der Eidgenössische Finanzverwaltung (EFV) und dem GS-VBS besprochen.</w:t>
      </w:r>
    </w:p>
    <w:p w14:paraId="1015ED04" w14:textId="42E2B281" w:rsidR="00DD0923" w:rsidRPr="00D04C93" w:rsidRDefault="00DD0923" w:rsidP="0041055A">
      <w:pPr>
        <w:pStyle w:val="berschrift1"/>
        <w:tabs>
          <w:tab w:val="clear" w:pos="851"/>
          <w:tab w:val="left" w:pos="709"/>
        </w:tabs>
        <w:spacing w:before="600"/>
        <w:ind w:left="709" w:hanging="709"/>
        <w:rPr>
          <w:spacing w:val="-2"/>
          <w:highlight w:val="blue"/>
          <w:lang w:val="de-CH"/>
        </w:rPr>
      </w:pPr>
      <w:r w:rsidRPr="00D04C93">
        <w:rPr>
          <w:spacing w:val="-2"/>
          <w:highlight w:val="blue"/>
          <w:lang w:val="de-CH"/>
        </w:rPr>
        <w:t xml:space="preserve">Die Kosten sind schwer erkennbar </w:t>
      </w:r>
    </w:p>
    <w:p w14:paraId="3432742B" w14:textId="69FF9631" w:rsidR="00DD0923" w:rsidRPr="00D04C93" w:rsidRDefault="00DD0923" w:rsidP="00DD0923">
      <w:pPr>
        <w:jc w:val="both"/>
        <w:rPr>
          <w:spacing w:val="-2"/>
          <w:highlight w:val="blue"/>
        </w:rPr>
      </w:pPr>
      <w:r w:rsidRPr="00D04C93">
        <w:rPr>
          <w:spacing w:val="-2"/>
          <w:highlight w:val="blue"/>
        </w:rPr>
        <w:t xml:space="preserve">Die EFK wies das VBS darauf hin, dass die Kosten in der Botschaft transparenter darzulegen und mit einer entsprechenden Abbildung im Sinne der Nachvollziehbarkeit zu ergänzen sind. Eine kompakte Darstellung der in der Botschaft über mehrere Kapitel verstreuten schriftlichen Informationen wäre dem Leser dienlich. Eine Abbildung wurde zwar eingefügt, aber folgende wichtige Punkte, die zum Verständnis beitragen würden, sind daraus nicht ersichtlich: die Höhen der Kostengenauigkeit, Investitionen und Sachausgaben, die Höhen der Kostenprognose, Rückstellung und Personalausgaben </w:t>
      </w:r>
      <w:r w:rsidRPr="00D04C93">
        <w:rPr>
          <w:spacing w:val="-3"/>
          <w:highlight w:val="blue"/>
        </w:rPr>
        <w:t>sowie die Aufsplittung der Projektrisiken und deren Eintretenswahrscheinlichkeiten, siehe Abbildung</w:t>
      </w:r>
      <w:r w:rsidR="00990A8C" w:rsidRPr="00D04C93">
        <w:rPr>
          <w:spacing w:val="-3"/>
          <w:highlight w:val="blue"/>
        </w:rPr>
        <w:t> </w:t>
      </w:r>
      <w:r w:rsidRPr="00D04C93">
        <w:rPr>
          <w:spacing w:val="-3"/>
          <w:highlight w:val="blue"/>
        </w:rPr>
        <w:t>1.</w:t>
      </w:r>
    </w:p>
    <w:p w14:paraId="0E9F5490" w14:textId="77777777" w:rsidR="00DD0923" w:rsidRPr="00D04C93" w:rsidRDefault="00DD0923" w:rsidP="00DD0923">
      <w:pPr>
        <w:tabs>
          <w:tab w:val="right" w:pos="-284"/>
          <w:tab w:val="left" w:pos="0"/>
        </w:tabs>
        <w:jc w:val="center"/>
        <w:rPr>
          <w:spacing w:val="-2"/>
          <w:highlight w:val="blue"/>
        </w:rPr>
      </w:pPr>
      <w:r w:rsidRPr="00D04C93">
        <w:rPr>
          <w:noProof/>
          <w:spacing w:val="-2"/>
          <w:highlight w:val="blue"/>
          <w:lang w:eastAsia="de-CH"/>
        </w:rPr>
        <w:lastRenderedPageBreak/>
        <w:drawing>
          <wp:inline distT="0" distB="0" distL="0" distR="0" wp14:anchorId="6D351811" wp14:editId="28E94235">
            <wp:extent cx="4432300" cy="3188531"/>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549"/>
                    <a:stretch/>
                  </pic:blipFill>
                  <pic:spPr bwMode="auto">
                    <a:xfrm>
                      <a:off x="0" y="0"/>
                      <a:ext cx="4513355" cy="3246841"/>
                    </a:xfrm>
                    <a:prstGeom prst="rect">
                      <a:avLst/>
                    </a:prstGeom>
                    <a:ln>
                      <a:noFill/>
                    </a:ln>
                    <a:extLst>
                      <a:ext uri="{53640926-AAD7-44D8-BBD7-CCE9431645EC}">
                        <a14:shadowObscured xmlns:a14="http://schemas.microsoft.com/office/drawing/2010/main"/>
                      </a:ext>
                    </a:extLst>
                  </pic:spPr>
                </pic:pic>
              </a:graphicData>
            </a:graphic>
          </wp:inline>
        </w:drawing>
      </w:r>
    </w:p>
    <w:p w14:paraId="117BE1F8" w14:textId="77777777" w:rsidR="00DD0923" w:rsidRPr="00990A8C" w:rsidRDefault="00DD0923" w:rsidP="00DD0923">
      <w:pPr>
        <w:tabs>
          <w:tab w:val="right" w:pos="-284"/>
          <w:tab w:val="left" w:pos="0"/>
        </w:tabs>
        <w:spacing w:line="240" w:lineRule="auto"/>
        <w:jc w:val="both"/>
        <w:rPr>
          <w:b/>
          <w:bCs/>
          <w:spacing w:val="-2"/>
          <w:sz w:val="16"/>
          <w:szCs w:val="16"/>
        </w:rPr>
      </w:pPr>
      <w:r w:rsidRPr="00D04C93">
        <w:rPr>
          <w:b/>
          <w:bCs/>
          <w:spacing w:val="-2"/>
          <w:sz w:val="16"/>
          <w:szCs w:val="16"/>
          <w:highlight w:val="blue"/>
        </w:rPr>
        <w:t>Abbildung 1: Darstellung zur Aufsplittung der Kosten aus der Botschaft und fehlende Informationen gekennzeichnet mit «?» (Darstellung mit Ergänzungen EFK, Quelle: Botschaft)</w:t>
      </w:r>
    </w:p>
    <w:p w14:paraId="5898AFC6" w14:textId="77777777" w:rsidR="00DD0923" w:rsidRPr="00D04C93" w:rsidRDefault="00DD0923" w:rsidP="0041055A">
      <w:pPr>
        <w:pStyle w:val="berschrift1"/>
        <w:tabs>
          <w:tab w:val="clear" w:pos="851"/>
          <w:tab w:val="left" w:pos="709"/>
        </w:tabs>
        <w:spacing w:before="600"/>
        <w:ind w:left="709" w:hanging="709"/>
        <w:rPr>
          <w:spacing w:val="-2"/>
          <w:highlight w:val="darkYellow"/>
          <w:lang w:val="de-CH"/>
        </w:rPr>
      </w:pPr>
      <w:r w:rsidRPr="00D04C93">
        <w:rPr>
          <w:spacing w:val="-2"/>
          <w:highlight w:val="darkYellow"/>
          <w:lang w:val="de-CH"/>
        </w:rPr>
        <w:t>Enorme Kostenrisiken aufgrund des frühen Projektstands</w:t>
      </w:r>
    </w:p>
    <w:p w14:paraId="749C201C" w14:textId="6D85B6BB" w:rsidR="00DD0923" w:rsidRPr="00990A8C" w:rsidRDefault="00DD0923" w:rsidP="00DD0923">
      <w:pPr>
        <w:jc w:val="both"/>
        <w:rPr>
          <w:spacing w:val="-2"/>
        </w:rPr>
      </w:pPr>
      <w:r w:rsidRPr="00D04C93">
        <w:rPr>
          <w:spacing w:val="-2"/>
          <w:highlight w:val="darkYellow"/>
        </w:rPr>
        <w:t>Die EFK empfahl dem VBS, in der Botschaft deutlicher herauszuarbeiten, dass die Kostenschätzung auf Vorprojekten bzw. Machbarkeitsstudien basiert und damit grosse Unsicherheiten hinsichtlich der Kosten bestehen.</w:t>
      </w:r>
      <w:r w:rsidRPr="00990A8C">
        <w:rPr>
          <w:spacing w:val="-2"/>
        </w:rPr>
        <w:t xml:space="preserve"> </w:t>
      </w:r>
    </w:p>
    <w:p w14:paraId="3DC01B72" w14:textId="77777777" w:rsidR="00DD0923" w:rsidRPr="00990A8C" w:rsidRDefault="00DD0923" w:rsidP="00DD0923">
      <w:pPr>
        <w:jc w:val="both"/>
        <w:rPr>
          <w:spacing w:val="-2"/>
        </w:rPr>
      </w:pPr>
    </w:p>
    <w:p w14:paraId="2488C291" w14:textId="0DE9B377" w:rsidR="00DD0923" w:rsidRPr="00D04C93" w:rsidRDefault="00DD0923" w:rsidP="00DD0923">
      <w:pPr>
        <w:jc w:val="both"/>
        <w:rPr>
          <w:spacing w:val="-2"/>
          <w:highlight w:val="blue"/>
        </w:rPr>
      </w:pPr>
      <w:r w:rsidRPr="00D04C93">
        <w:rPr>
          <w:spacing w:val="-2"/>
          <w:highlight w:val="blue"/>
        </w:rPr>
        <w:t xml:space="preserve">Zwar wird in der Botschaft mehrfach darauf hingewiesen, dass die Kostenschätzung Unsicherheiten birgt, die Gründe werden jedoch zu wenig hervorgehoben. Die von der EFK in Teilen plausibilisierte Kostenschätzung ist nachvollziehbar aufgestellt, allerdings erweckt sie den Eindruck einer Sicherheit, welche zum gegenwärtigen Zeitpunkt gar nicht vorliegen kann. </w:t>
      </w:r>
    </w:p>
    <w:p w14:paraId="5996A7E8" w14:textId="77777777" w:rsidR="00DD0923" w:rsidRPr="00D04C93" w:rsidRDefault="00DD0923" w:rsidP="00DD0923">
      <w:pPr>
        <w:jc w:val="both"/>
        <w:rPr>
          <w:spacing w:val="-2"/>
          <w:highlight w:val="blue"/>
        </w:rPr>
      </w:pPr>
    </w:p>
    <w:p w14:paraId="39069DAC" w14:textId="3A21D8DA" w:rsidR="00DD0923" w:rsidRPr="00990A8C" w:rsidRDefault="00DD0923" w:rsidP="00990A8C">
      <w:pPr>
        <w:widowControl w:val="0"/>
        <w:jc w:val="both"/>
        <w:rPr>
          <w:spacing w:val="-2"/>
        </w:rPr>
      </w:pPr>
      <w:r w:rsidRPr="00D04C93">
        <w:rPr>
          <w:spacing w:val="-2"/>
          <w:highlight w:val="blue"/>
        </w:rPr>
        <w:t>Die EFK kommt zum Schluss, dass mehrere kostentreibende Teilprojekte, etwa die Räumung und Entsorgung der Munitionsrückstände, dem frühen Projektstand entsprechend nicht auf Grundlagen, wie Gutachten (insbesondere Geologie und Altlasten), Benchmarks, Methodenevaluierung oder Massenbilanzierung basieren. Hinzukommt, dass teils von einem «</w:t>
      </w:r>
      <w:proofErr w:type="spellStart"/>
      <w:r w:rsidRPr="00D04C93">
        <w:rPr>
          <w:spacing w:val="-2"/>
          <w:highlight w:val="blue"/>
        </w:rPr>
        <w:t>best</w:t>
      </w:r>
      <w:proofErr w:type="spellEnd"/>
      <w:r w:rsidRPr="00D04C93">
        <w:rPr>
          <w:spacing w:val="-2"/>
          <w:highlight w:val="blue"/>
        </w:rPr>
        <w:t xml:space="preserve"> </w:t>
      </w:r>
      <w:proofErr w:type="spellStart"/>
      <w:r w:rsidRPr="00D04C93">
        <w:rPr>
          <w:spacing w:val="-2"/>
          <w:highlight w:val="blue"/>
        </w:rPr>
        <w:t>case</w:t>
      </w:r>
      <w:proofErr w:type="spellEnd"/>
      <w:r w:rsidRPr="00D04C93">
        <w:rPr>
          <w:spacing w:val="-2"/>
          <w:highlight w:val="blue"/>
        </w:rPr>
        <w:t xml:space="preserve">»-Szenario ausgegangen wird. So sind beispielsweise die Kosten für die Reinigung des belasteten Gesteins aus dem Abbau der </w:t>
      </w:r>
      <w:proofErr w:type="spellStart"/>
      <w:r w:rsidRPr="00D04C93">
        <w:rPr>
          <w:spacing w:val="-2"/>
          <w:highlight w:val="blue"/>
        </w:rPr>
        <w:t>Flue</w:t>
      </w:r>
      <w:proofErr w:type="spellEnd"/>
      <w:r w:rsidRPr="00D04C93">
        <w:rPr>
          <w:spacing w:val="-2"/>
          <w:highlight w:val="blue"/>
        </w:rPr>
        <w:t xml:space="preserve"> mit einem plausiblen m3-Preis beziffert, die Massenbilanzierungen jedoch ohne Altlastengutachten erstellt worden. Die Verlässlichkeit der Entsorgungsmenge ist folglich fragwürdig. Zudem ist heute nicht bekannt, ob die Reinigungsmethode zur Behandlung des Gesteins überhaupt funktioniert, da bisher solche Tests nicht durchgeführt wurden. Dies führt zu weiteren Unsicherheiten hinsichtlich der zu entsorgenden Mengen. Solche Unsicherheiten können erhebliche Kostenfolgen nach sich ziehen.</w:t>
      </w:r>
    </w:p>
    <w:p w14:paraId="7A295351" w14:textId="77777777" w:rsidR="00DD0923" w:rsidRPr="00D04C93" w:rsidRDefault="00DD0923" w:rsidP="0041055A">
      <w:pPr>
        <w:pStyle w:val="berschrift1"/>
        <w:tabs>
          <w:tab w:val="clear" w:pos="851"/>
          <w:tab w:val="left" w:pos="709"/>
        </w:tabs>
        <w:spacing w:before="600"/>
        <w:ind w:left="709" w:hanging="709"/>
        <w:rPr>
          <w:spacing w:val="-2"/>
          <w:highlight w:val="blue"/>
          <w:lang w:val="de-CH"/>
        </w:rPr>
      </w:pPr>
      <w:r w:rsidRPr="00D04C93">
        <w:rPr>
          <w:spacing w:val="-2"/>
          <w:highlight w:val="blue"/>
          <w:lang w:val="de-CH"/>
        </w:rPr>
        <w:lastRenderedPageBreak/>
        <w:t>Projektrisiken und deren Eintretenswahrscheinlichkeit sind unzureichend begründet</w:t>
      </w:r>
    </w:p>
    <w:p w14:paraId="1E6E3CB2" w14:textId="4DDBA3A1" w:rsidR="00DD0923" w:rsidRPr="00D04C93" w:rsidRDefault="00DD0923" w:rsidP="00DD0923">
      <w:pPr>
        <w:jc w:val="both"/>
        <w:rPr>
          <w:spacing w:val="-2"/>
          <w:highlight w:val="blue"/>
        </w:rPr>
      </w:pPr>
      <w:r w:rsidRPr="00D04C93">
        <w:rPr>
          <w:spacing w:val="-2"/>
          <w:highlight w:val="blue"/>
        </w:rPr>
        <w:t xml:space="preserve">Die EFK machte das VBS darauf aufmerksam, dass die neun Projektrisiken und Einschätzungen zu den Eintretenswahrscheinlichkeiten in der Botschaft genauer beschrieben werden sollen. Eine Ergänzung der Eintretenswahrscheinlichkeiten wurde inzwischen vorgenommen, allerdings kann die EFK diese </w:t>
      </w:r>
      <w:proofErr w:type="gramStart"/>
      <w:r w:rsidRPr="00D04C93">
        <w:rPr>
          <w:spacing w:val="-2"/>
          <w:highlight w:val="blue"/>
        </w:rPr>
        <w:t>aus folgenden</w:t>
      </w:r>
      <w:proofErr w:type="gramEnd"/>
      <w:r w:rsidRPr="00D04C93">
        <w:rPr>
          <w:spacing w:val="-2"/>
          <w:highlight w:val="blue"/>
        </w:rPr>
        <w:t xml:space="preserve"> Gründen nur bedingt nachvollziehen: </w:t>
      </w:r>
    </w:p>
    <w:p w14:paraId="7E2130A6" w14:textId="77777777" w:rsidR="00DD0923" w:rsidRPr="00D04C93" w:rsidRDefault="00DD0923" w:rsidP="00DD0923">
      <w:pPr>
        <w:jc w:val="both"/>
        <w:rPr>
          <w:spacing w:val="-2"/>
          <w:highlight w:val="blue"/>
        </w:rPr>
      </w:pPr>
    </w:p>
    <w:p w14:paraId="0D233889" w14:textId="7FC36375" w:rsidR="00DD0923" w:rsidRPr="00D04C93" w:rsidRDefault="00DD0923" w:rsidP="0041055A">
      <w:pPr>
        <w:pStyle w:val="Listenabsatz"/>
        <w:numPr>
          <w:ilvl w:val="0"/>
          <w:numId w:val="23"/>
        </w:numPr>
        <w:tabs>
          <w:tab w:val="left" w:pos="709"/>
        </w:tabs>
        <w:ind w:left="709" w:hanging="345"/>
        <w:jc w:val="both"/>
        <w:rPr>
          <w:spacing w:val="-2"/>
          <w:highlight w:val="blue"/>
        </w:rPr>
      </w:pPr>
      <w:r w:rsidRPr="00D04C93">
        <w:rPr>
          <w:spacing w:val="-2"/>
          <w:highlight w:val="blue"/>
        </w:rPr>
        <w:t>Das VBS erwähnt in der Botschaft mehrfach, dass das Projekt von Unsicherheiten gekennzeichnet ist. Trotzdem werden acht von neun projektbezogenen Risiken erstaunlicherweise mit einer Eintretenswahrscheinlichkeit kleiner als 50 </w:t>
      </w:r>
      <w:r w:rsidR="0041055A" w:rsidRPr="00D04C93">
        <w:rPr>
          <w:spacing w:val="-2"/>
          <w:highlight w:val="blue"/>
        </w:rPr>
        <w:t>Prozent</w:t>
      </w:r>
      <w:r w:rsidRPr="00D04C93">
        <w:rPr>
          <w:spacing w:val="-2"/>
          <w:highlight w:val="blue"/>
        </w:rPr>
        <w:t xml:space="preserve"> bewertet und sind damit auch nicht rückstellungsrelevant. </w:t>
      </w:r>
    </w:p>
    <w:p w14:paraId="5B7EF27D" w14:textId="4FEC81B4" w:rsidR="00DD0923" w:rsidRPr="00D04C93" w:rsidRDefault="00DD0923" w:rsidP="0041055A">
      <w:pPr>
        <w:tabs>
          <w:tab w:val="left" w:pos="709"/>
        </w:tabs>
        <w:spacing w:before="120"/>
        <w:ind w:left="709" w:hanging="345"/>
        <w:jc w:val="both"/>
        <w:rPr>
          <w:spacing w:val="-2"/>
          <w:highlight w:val="blue"/>
        </w:rPr>
      </w:pPr>
      <w:r w:rsidRPr="00D04C93">
        <w:rPr>
          <w:spacing w:val="-2"/>
          <w:highlight w:val="blue"/>
        </w:rPr>
        <w:t>2)</w:t>
      </w:r>
      <w:r w:rsidRPr="00D04C93">
        <w:rPr>
          <w:spacing w:val="-2"/>
          <w:highlight w:val="blue"/>
        </w:rPr>
        <w:tab/>
        <w:t xml:space="preserve">Die EFK erachtet z. B. die Bewertung des Risikos zur Bergung der Munitionsrückstände als nicht nachvollziehbar. Gemäss Botschaftstext heisst es: «Die Bergung der Munitionsrückstände im Bahnstollen und </w:t>
      </w:r>
      <w:proofErr w:type="gramStart"/>
      <w:r w:rsidRPr="00D04C93">
        <w:rPr>
          <w:spacing w:val="-2"/>
          <w:highlight w:val="blue"/>
        </w:rPr>
        <w:t>im Schuttkegel</w:t>
      </w:r>
      <w:proofErr w:type="gramEnd"/>
      <w:r w:rsidRPr="00D04C93">
        <w:rPr>
          <w:spacing w:val="-2"/>
          <w:highlight w:val="blue"/>
        </w:rPr>
        <w:t xml:space="preserve"> ist wegen deren Lage, Verteilung oder Menge schwieriger oder aufwendiger als erwartet. Das Vorgehen bei der Räumung muss grundsätzlich angepasst werden. Aufgrund der konservativen Annahmen in den Risikoanalysen wird das Risiko als unwahrscheinlich [Anmerkung EFK: Eintretenswahrscheinlichkeit 1 </w:t>
      </w:r>
      <w:r w:rsidR="0041055A" w:rsidRPr="00D04C93">
        <w:rPr>
          <w:spacing w:val="-2"/>
          <w:highlight w:val="blue"/>
        </w:rPr>
        <w:t>bis 2 Prozent</w:t>
      </w:r>
      <w:r w:rsidRPr="00D04C93">
        <w:rPr>
          <w:spacing w:val="-2"/>
          <w:highlight w:val="blue"/>
        </w:rPr>
        <w:t>] eingeschätzt. Diese Einschätzung kann aber zum Zeitpunkt der Botschaftserstellung aufgrund der nicht abgeschlossenen technischen Untersuchungen nicht überprüft werden.» Gerade, weil die technischen Untersuchungen fehlen, ist das Risiko bedeutend höher einzurechnen. Hinzukommt, dass die eingestellten Kosten sowie die Kostengenauigkeit für diese Position an sich unsicher sind, da insbesondere Benchmarks anderer Projekte oder eine zweite externe Meinung eines Gesamtlösungsanbieters nicht vorliegen. Räumungsmethoden und Kosten wurden ausschliesslich durch den Kampfmittelräumdienst (KAMIR) beziffert.</w:t>
      </w:r>
    </w:p>
    <w:p w14:paraId="30299CEC" w14:textId="77777777" w:rsidR="00DD0923" w:rsidRPr="00D04C93" w:rsidRDefault="00DD0923" w:rsidP="00DD0923">
      <w:pPr>
        <w:tabs>
          <w:tab w:val="left" w:pos="709"/>
        </w:tabs>
        <w:ind w:left="709" w:hanging="345"/>
        <w:jc w:val="both"/>
        <w:rPr>
          <w:spacing w:val="-2"/>
          <w:highlight w:val="blue"/>
        </w:rPr>
      </w:pPr>
    </w:p>
    <w:p w14:paraId="4775D8B5" w14:textId="77777777" w:rsidR="00DD0923" w:rsidRPr="00D04C93" w:rsidRDefault="00DD0923" w:rsidP="00DD0923">
      <w:pPr>
        <w:jc w:val="both"/>
        <w:rPr>
          <w:spacing w:val="-2"/>
          <w:highlight w:val="blue"/>
        </w:rPr>
      </w:pPr>
      <w:r w:rsidRPr="00D04C93">
        <w:rPr>
          <w:spacing w:val="-2"/>
          <w:highlight w:val="blue"/>
        </w:rPr>
        <w:t xml:space="preserve">Die EFK überlässt es Ihnen, den vorliegenden Kurzbericht an die zuständigen Sachbereichskommissionen weiterzuleiten. Eine Publikation des Kurzberichts ist nicht vorgesehen. </w:t>
      </w:r>
    </w:p>
    <w:p w14:paraId="0F0782D4" w14:textId="77777777" w:rsidR="00DD0923" w:rsidRPr="00D04C93" w:rsidRDefault="00DD0923" w:rsidP="00DD0923">
      <w:pPr>
        <w:jc w:val="both"/>
        <w:rPr>
          <w:spacing w:val="-2"/>
          <w:highlight w:val="blue"/>
        </w:rPr>
      </w:pPr>
    </w:p>
    <w:p w14:paraId="06F48D5F" w14:textId="6B9FE0EA" w:rsidR="00667FF9" w:rsidRDefault="00DD0923" w:rsidP="00DD0923">
      <w:pPr>
        <w:tabs>
          <w:tab w:val="left" w:pos="0"/>
        </w:tabs>
        <w:rPr>
          <w:spacing w:val="-2"/>
        </w:rPr>
      </w:pPr>
      <w:r w:rsidRPr="00D04C93">
        <w:rPr>
          <w:spacing w:val="-2"/>
          <w:highlight w:val="blue"/>
        </w:rPr>
        <w:t>Wir hoffen, dass wir Sie mit unseren Erläuterungen auf wesentliche Punkte resp. Risiken aus der Botschaft aufmerksam machen konnten und dass sich diese bei der weiteren Beratung des Geschäfts als nützlich erweisen werden.</w:t>
      </w:r>
    </w:p>
    <w:p w14:paraId="6F8458EE" w14:textId="77777777" w:rsidR="0041055A" w:rsidRDefault="0041055A" w:rsidP="00DD0923">
      <w:pPr>
        <w:tabs>
          <w:tab w:val="left" w:pos="0"/>
        </w:tabs>
        <w:rPr>
          <w:spacing w:val="-2"/>
        </w:rPr>
      </w:pPr>
    </w:p>
    <w:p w14:paraId="4EB377A0" w14:textId="77777777" w:rsidR="00DD0923" w:rsidRDefault="00DD0923" w:rsidP="00DD0923">
      <w:pPr>
        <w:tabs>
          <w:tab w:val="left" w:pos="0"/>
        </w:tabs>
      </w:pPr>
    </w:p>
    <w:p w14:paraId="6EE025EA" w14:textId="77777777" w:rsidR="00667FF9" w:rsidRDefault="0090624A" w:rsidP="00DD0923">
      <w:pPr>
        <w:keepNext/>
      </w:pPr>
      <w:r>
        <w:t>Mit freundlichen Grüssen</w:t>
      </w:r>
    </w:p>
    <w:p w14:paraId="281B68E3" w14:textId="77777777" w:rsidR="00667FF9" w:rsidRDefault="0090624A" w:rsidP="00DD0923">
      <w:pPr>
        <w:keepNext/>
      </w:pPr>
      <w:r>
        <w:t>EIDGENÖSSISCHE FINANZKONTROLLE</w:t>
      </w:r>
    </w:p>
    <w:p w14:paraId="3E938F14" w14:textId="77777777" w:rsidR="00667FF9" w:rsidRDefault="0090624A" w:rsidP="00DD0923">
      <w:pPr>
        <w:keepNext/>
      </w:pPr>
      <w:r>
        <w:t>Der Direktor</w:t>
      </w:r>
    </w:p>
    <w:tbl>
      <w:tblPr>
        <w:tblW w:w="0" w:type="auto"/>
        <w:tblInd w:w="-1701" w:type="dxa"/>
        <w:tblLayout w:type="fixed"/>
        <w:tblLook w:val="01E0" w:firstRow="1" w:lastRow="1" w:firstColumn="1" w:lastColumn="1" w:noHBand="0" w:noVBand="0"/>
      </w:tblPr>
      <w:tblGrid>
        <w:gridCol w:w="1304"/>
        <w:gridCol w:w="284"/>
        <w:gridCol w:w="8636"/>
      </w:tblGrid>
      <w:tr w:rsidR="00667FF9" w14:paraId="58C3A9FD" w14:textId="77777777">
        <w:tc>
          <w:tcPr>
            <w:tcW w:w="1304" w:type="dxa"/>
          </w:tcPr>
          <w:p w14:paraId="3DE4B819" w14:textId="77777777" w:rsidR="00667FF9" w:rsidRDefault="00667FF9" w:rsidP="00DD0923">
            <w:pPr>
              <w:keepNext/>
              <w:ind w:left="-1531"/>
              <w:jc w:val="right"/>
              <w:rPr>
                <w:rFonts w:ascii="Arial Narrow" w:hAnsi="Arial Narrow"/>
                <w:sz w:val="16"/>
              </w:rPr>
            </w:pPr>
          </w:p>
        </w:tc>
        <w:tc>
          <w:tcPr>
            <w:tcW w:w="284" w:type="dxa"/>
          </w:tcPr>
          <w:p w14:paraId="0A777C04" w14:textId="77777777" w:rsidR="00667FF9" w:rsidRDefault="00667FF9" w:rsidP="00DD0923">
            <w:pPr>
              <w:keepNext/>
              <w:tabs>
                <w:tab w:val="right" w:pos="-284"/>
                <w:tab w:val="left" w:pos="0"/>
              </w:tabs>
            </w:pPr>
          </w:p>
        </w:tc>
        <w:tc>
          <w:tcPr>
            <w:tcW w:w="8636" w:type="dxa"/>
          </w:tcPr>
          <w:p w14:paraId="24DD4C45" w14:textId="77777777" w:rsidR="00667FF9" w:rsidRDefault="00667FF9" w:rsidP="00DD0923">
            <w:pPr>
              <w:keepNext/>
              <w:tabs>
                <w:tab w:val="right" w:pos="-284"/>
                <w:tab w:val="left" w:pos="0"/>
              </w:tabs>
            </w:pPr>
          </w:p>
        </w:tc>
      </w:tr>
      <w:tr w:rsidR="00667FF9" w14:paraId="1FD7E628" w14:textId="77777777">
        <w:tc>
          <w:tcPr>
            <w:tcW w:w="1304" w:type="dxa"/>
          </w:tcPr>
          <w:p w14:paraId="655D2E38" w14:textId="77777777" w:rsidR="00667FF9" w:rsidRDefault="00667FF9" w:rsidP="00DD0923">
            <w:pPr>
              <w:keepNext/>
              <w:tabs>
                <w:tab w:val="right" w:pos="-284"/>
                <w:tab w:val="left" w:pos="0"/>
              </w:tabs>
            </w:pPr>
          </w:p>
        </w:tc>
        <w:tc>
          <w:tcPr>
            <w:tcW w:w="284" w:type="dxa"/>
          </w:tcPr>
          <w:p w14:paraId="42C2F5FB" w14:textId="77777777" w:rsidR="00667FF9" w:rsidRDefault="00667FF9" w:rsidP="00DD0923">
            <w:pPr>
              <w:keepNext/>
              <w:tabs>
                <w:tab w:val="right" w:pos="-284"/>
                <w:tab w:val="left" w:pos="0"/>
              </w:tabs>
            </w:pPr>
          </w:p>
        </w:tc>
        <w:tc>
          <w:tcPr>
            <w:tcW w:w="8636" w:type="dxa"/>
          </w:tcPr>
          <w:p w14:paraId="4C637DA4" w14:textId="77777777" w:rsidR="00667FF9" w:rsidRDefault="00667FF9" w:rsidP="00DD0923">
            <w:pPr>
              <w:keepNext/>
              <w:tabs>
                <w:tab w:val="right" w:pos="-284"/>
                <w:tab w:val="left" w:pos="0"/>
              </w:tabs>
            </w:pPr>
          </w:p>
        </w:tc>
      </w:tr>
      <w:tr w:rsidR="00667FF9" w14:paraId="71A0148A" w14:textId="77777777">
        <w:tc>
          <w:tcPr>
            <w:tcW w:w="1304" w:type="dxa"/>
          </w:tcPr>
          <w:p w14:paraId="38A53D63" w14:textId="77777777" w:rsidR="00667FF9" w:rsidRDefault="00667FF9" w:rsidP="00DD0923">
            <w:pPr>
              <w:keepNext/>
              <w:tabs>
                <w:tab w:val="right" w:pos="-284"/>
                <w:tab w:val="left" w:pos="0"/>
              </w:tabs>
            </w:pPr>
          </w:p>
        </w:tc>
        <w:tc>
          <w:tcPr>
            <w:tcW w:w="284" w:type="dxa"/>
          </w:tcPr>
          <w:p w14:paraId="3630C2ED" w14:textId="77777777" w:rsidR="00667FF9" w:rsidRDefault="00667FF9" w:rsidP="00DD0923">
            <w:pPr>
              <w:keepNext/>
              <w:tabs>
                <w:tab w:val="right" w:pos="-284"/>
                <w:tab w:val="left" w:pos="0"/>
              </w:tabs>
            </w:pPr>
          </w:p>
        </w:tc>
        <w:tc>
          <w:tcPr>
            <w:tcW w:w="8636" w:type="dxa"/>
          </w:tcPr>
          <w:p w14:paraId="07B2CE46" w14:textId="77777777" w:rsidR="00667FF9" w:rsidRDefault="00667FF9" w:rsidP="00DD0923">
            <w:pPr>
              <w:keepNext/>
              <w:tabs>
                <w:tab w:val="right" w:pos="-284"/>
                <w:tab w:val="left" w:pos="0"/>
              </w:tabs>
            </w:pPr>
          </w:p>
        </w:tc>
      </w:tr>
      <w:tr w:rsidR="00667FF9" w:rsidRPr="00B160E2" w14:paraId="0E1A6744" w14:textId="77777777">
        <w:trPr>
          <w:hidden/>
        </w:trPr>
        <w:tc>
          <w:tcPr>
            <w:tcW w:w="1304" w:type="dxa"/>
          </w:tcPr>
          <w:p w14:paraId="2540EC6B" w14:textId="77777777" w:rsidR="00667FF9" w:rsidRPr="00B160E2" w:rsidRDefault="0090624A">
            <w:pPr>
              <w:ind w:left="-1418"/>
              <w:jc w:val="right"/>
              <w:rPr>
                <w:rFonts w:ascii="Arial Narrow" w:hAnsi="Arial Narrow"/>
                <w:sz w:val="16"/>
              </w:rPr>
            </w:pPr>
            <w:r w:rsidRPr="00B160E2">
              <w:rPr>
                <w:rFonts w:ascii="Arial Narrow" w:hAnsi="Arial Narrow"/>
                <w:vanish/>
                <w:sz w:val="16"/>
                <w:szCs w:val="17"/>
              </w:rPr>
              <w:t>Name, Funktion</w:t>
            </w:r>
          </w:p>
        </w:tc>
        <w:tc>
          <w:tcPr>
            <w:tcW w:w="284" w:type="dxa"/>
          </w:tcPr>
          <w:p w14:paraId="46BA8921" w14:textId="77777777" w:rsidR="00667FF9" w:rsidRPr="00B160E2" w:rsidRDefault="00667FF9">
            <w:pPr>
              <w:tabs>
                <w:tab w:val="right" w:pos="-284"/>
                <w:tab w:val="left" w:pos="0"/>
              </w:tabs>
            </w:pPr>
          </w:p>
        </w:tc>
        <w:tc>
          <w:tcPr>
            <w:tcW w:w="8636" w:type="dxa"/>
          </w:tcPr>
          <w:p w14:paraId="7D2BA308" w14:textId="77777777" w:rsidR="00667FF9" w:rsidRPr="00B160E2" w:rsidRDefault="007F2DC8">
            <w:pPr>
              <w:tabs>
                <w:tab w:val="right" w:pos="-284"/>
                <w:tab w:val="left" w:pos="0"/>
              </w:tabs>
            </w:pPr>
            <w:r w:rsidRPr="00B160E2">
              <w:rPr>
                <w:color w:val="auto"/>
              </w:rPr>
              <w:t>Pascal Stirnimann</w:t>
            </w:r>
          </w:p>
        </w:tc>
      </w:tr>
    </w:tbl>
    <w:p w14:paraId="32306B8E" w14:textId="362CB170" w:rsidR="00DD0923" w:rsidRDefault="0041055A" w:rsidP="00DD0923">
      <w:pPr>
        <w:keepNext/>
        <w:spacing w:before="480" w:after="40"/>
      </w:pPr>
      <w:r>
        <w:lastRenderedPageBreak/>
        <w:t>K</w:t>
      </w:r>
      <w:r w:rsidR="00DD0923" w:rsidRPr="00B160E2">
        <w:t>opie</w:t>
      </w:r>
      <w:r w:rsidR="00DD0923">
        <w:t>:</w:t>
      </w:r>
    </w:p>
    <w:p w14:paraId="069B03E0" w14:textId="77777777" w:rsidR="00DD0923" w:rsidRDefault="00DD0923" w:rsidP="00DD0923">
      <w:pPr>
        <w:keepNext/>
      </w:pPr>
      <w:r>
        <w:t>–</w:t>
      </w:r>
      <w:r>
        <w:tab/>
        <w:t>Finanzdelegation</w:t>
      </w:r>
    </w:p>
    <w:p w14:paraId="03F06153" w14:textId="77777777" w:rsidR="00DD0923" w:rsidRDefault="00DD0923" w:rsidP="00DD0923">
      <w:pPr>
        <w:keepNext/>
      </w:pPr>
      <w:r>
        <w:t>–</w:t>
      </w:r>
      <w:r>
        <w:tab/>
        <w:t>Toni Eder, Generalsekretär VBS</w:t>
      </w:r>
    </w:p>
    <w:p w14:paraId="37D2626D" w14:textId="77777777" w:rsidR="00DD0923" w:rsidRDefault="00DD0923" w:rsidP="00DD0923">
      <w:pPr>
        <w:keepNext/>
      </w:pPr>
      <w:r>
        <w:t>–</w:t>
      </w:r>
      <w:r>
        <w:tab/>
        <w:t>Simon Pfammatter, Leiter Interne Revision VBS</w:t>
      </w:r>
    </w:p>
    <w:p w14:paraId="1D16CF0F" w14:textId="77777777" w:rsidR="00DD0923" w:rsidRDefault="00DD0923" w:rsidP="00DD0923">
      <w:pPr>
        <w:keepNext/>
      </w:pPr>
      <w:r>
        <w:t>–</w:t>
      </w:r>
      <w:r>
        <w:tab/>
        <w:t>Davide Serrago, Stabschef GS-VBS</w:t>
      </w:r>
    </w:p>
    <w:p w14:paraId="0F1235AA" w14:textId="77777777" w:rsidR="00DD0923" w:rsidRDefault="00DD0923" w:rsidP="00DD0923">
      <w:r>
        <w:t>–</w:t>
      </w:r>
      <w:r>
        <w:tab/>
        <w:t xml:space="preserve">Sabine </w:t>
      </w:r>
      <w:proofErr w:type="spellStart"/>
      <w:r>
        <w:t>D’Amelio</w:t>
      </w:r>
      <w:proofErr w:type="spellEnd"/>
      <w:r>
        <w:t>, Direktorin EFV</w:t>
      </w:r>
    </w:p>
    <w:p w14:paraId="0B114FD6" w14:textId="77777777" w:rsidR="00DD0923" w:rsidRPr="00937707" w:rsidRDefault="00DD0923" w:rsidP="00937707"/>
    <w:p w14:paraId="759DB054" w14:textId="77777777" w:rsidR="00667FF9" w:rsidRDefault="00667FF9"/>
    <w:sectPr w:rsidR="00667FF9">
      <w:headerReference w:type="default" r:id="rId11"/>
      <w:footerReference w:type="default" r:id="rId12"/>
      <w:type w:val="continuous"/>
      <w:pgSz w:w="11906" w:h="16838" w:code="9"/>
      <w:pgMar w:top="1843" w:right="1418" w:bottom="1701" w:left="1814"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636A" w14:textId="77777777" w:rsidR="00E74B45" w:rsidRDefault="00E74B45">
      <w:r>
        <w:separator/>
      </w:r>
    </w:p>
  </w:endnote>
  <w:endnote w:type="continuationSeparator" w:id="0">
    <w:p w14:paraId="03ECD7E0" w14:textId="77777777" w:rsidR="00E74B45" w:rsidRDefault="00E7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48" w:type="dxa"/>
      <w:tblInd w:w="-108" w:type="dxa"/>
      <w:tblLook w:val="01E0" w:firstRow="1" w:lastRow="1" w:firstColumn="1" w:lastColumn="1" w:noHBand="0" w:noVBand="0"/>
    </w:tblPr>
    <w:tblGrid>
      <w:gridCol w:w="5788"/>
      <w:gridCol w:w="2556"/>
      <w:gridCol w:w="1704"/>
    </w:tblGrid>
    <w:tr w:rsidR="00667FF9" w14:paraId="4915630A" w14:textId="77777777">
      <w:tc>
        <w:tcPr>
          <w:tcW w:w="5788" w:type="dxa"/>
        </w:tcPr>
        <w:p w14:paraId="660C4A83" w14:textId="77777777" w:rsidR="00667FF9" w:rsidRDefault="00667FF9">
          <w:pPr>
            <w:pStyle w:val="Fuzeile"/>
            <w:rPr>
              <w:rFonts w:ascii="Arial Narrow" w:hAnsi="Arial Narrow"/>
            </w:rPr>
          </w:pPr>
        </w:p>
      </w:tc>
      <w:tc>
        <w:tcPr>
          <w:tcW w:w="2556" w:type="dxa"/>
        </w:tcPr>
        <w:p w14:paraId="00936932" w14:textId="77777777" w:rsidR="00667FF9" w:rsidRPr="007F2DC8" w:rsidRDefault="007F2DC8">
          <w:pPr>
            <w:pStyle w:val="Fuzeile"/>
            <w:jc w:val="right"/>
            <w:rPr>
              <w:rFonts w:ascii="Arial Narrow" w:hAnsi="Arial Narrow"/>
            </w:rPr>
          </w:pPr>
          <w:r w:rsidRPr="007F2DC8">
            <w:rPr>
              <w:rFonts w:ascii="Arial Narrow" w:hAnsi="Arial Narrow"/>
            </w:rPr>
            <w:t>Pascal Stirnimann</w:t>
          </w:r>
        </w:p>
        <w:p w14:paraId="32376254" w14:textId="77777777" w:rsidR="00667FF9" w:rsidRPr="007F2DC8" w:rsidRDefault="007F2DC8">
          <w:pPr>
            <w:pStyle w:val="Fuzeile"/>
            <w:jc w:val="right"/>
            <w:rPr>
              <w:rFonts w:ascii="Arial Narrow" w:hAnsi="Arial Narrow"/>
            </w:rPr>
          </w:pPr>
          <w:r w:rsidRPr="007F2DC8">
            <w:rPr>
              <w:rFonts w:ascii="Arial Narrow" w:hAnsi="Arial Narrow"/>
            </w:rPr>
            <w:t>T +41 58 481 03 21</w:t>
          </w:r>
        </w:p>
        <w:p w14:paraId="11C40F14" w14:textId="77777777" w:rsidR="00667FF9" w:rsidRPr="007F2DC8" w:rsidRDefault="007F2DC8">
          <w:pPr>
            <w:pStyle w:val="Fuzeile"/>
            <w:jc w:val="right"/>
            <w:rPr>
              <w:rFonts w:ascii="Arial Narrow" w:hAnsi="Arial Narrow"/>
            </w:rPr>
          </w:pPr>
          <w:r>
            <w:rPr>
              <w:rFonts w:ascii="Arial Narrow" w:hAnsi="Arial Narrow"/>
            </w:rPr>
            <w:t>p</w:t>
          </w:r>
          <w:r w:rsidRPr="007F2DC8">
            <w:rPr>
              <w:rFonts w:ascii="Arial Narrow" w:hAnsi="Arial Narrow"/>
            </w:rPr>
            <w:t>asca</w:t>
          </w:r>
          <w:r>
            <w:rPr>
              <w:rFonts w:ascii="Arial Narrow" w:hAnsi="Arial Narrow"/>
            </w:rPr>
            <w:t>l.stirnimann</w:t>
          </w:r>
          <w:r w:rsidR="0090624A" w:rsidRPr="007F2DC8">
            <w:rPr>
              <w:rFonts w:ascii="Arial Narrow" w:hAnsi="Arial Narrow"/>
            </w:rPr>
            <w:t>@efk.admin.ch</w:t>
          </w:r>
        </w:p>
        <w:p w14:paraId="29833A16" w14:textId="77777777" w:rsidR="00667FF9" w:rsidRPr="007F2DC8" w:rsidRDefault="0090624A">
          <w:pPr>
            <w:pStyle w:val="Fuzeile"/>
            <w:jc w:val="right"/>
            <w:rPr>
              <w:rFonts w:ascii="Arial Narrow" w:hAnsi="Arial Narrow"/>
            </w:rPr>
          </w:pPr>
          <w:r w:rsidRPr="007F2DC8">
            <w:rPr>
              <w:rFonts w:ascii="Arial Narrow" w:hAnsi="Arial Narrow"/>
            </w:rPr>
            <w:t>www.efk.admin.ch</w:t>
          </w:r>
        </w:p>
      </w:tc>
      <w:tc>
        <w:tcPr>
          <w:tcW w:w="1704" w:type="dxa"/>
        </w:tcPr>
        <w:p w14:paraId="2A582896" w14:textId="77777777" w:rsidR="00667FF9" w:rsidRDefault="0090624A">
          <w:pPr>
            <w:pStyle w:val="Fuzeile"/>
            <w:rPr>
              <w:rFonts w:ascii="Arial Narrow" w:hAnsi="Arial Narrow"/>
            </w:rPr>
          </w:pPr>
          <w:proofErr w:type="spellStart"/>
          <w:r>
            <w:rPr>
              <w:rFonts w:ascii="Arial Narrow" w:hAnsi="Arial Narrow"/>
            </w:rPr>
            <w:t>Monbijoustrasse</w:t>
          </w:r>
          <w:proofErr w:type="spellEnd"/>
          <w:r>
            <w:rPr>
              <w:rFonts w:ascii="Arial Narrow" w:hAnsi="Arial Narrow"/>
            </w:rPr>
            <w:t xml:space="preserve"> 45</w:t>
          </w:r>
        </w:p>
        <w:p w14:paraId="1319C25F" w14:textId="77777777" w:rsidR="00667FF9" w:rsidRDefault="0090624A">
          <w:pPr>
            <w:pStyle w:val="Fuzeile"/>
            <w:rPr>
              <w:rFonts w:ascii="Arial Narrow" w:hAnsi="Arial Narrow"/>
            </w:rPr>
          </w:pPr>
          <w:r>
            <w:rPr>
              <w:rFonts w:ascii="Arial Narrow" w:hAnsi="Arial Narrow"/>
            </w:rPr>
            <w:t>CH-3003 Bern</w:t>
          </w:r>
        </w:p>
        <w:p w14:paraId="5E42775C" w14:textId="77777777" w:rsidR="00667FF9" w:rsidRDefault="0090624A">
          <w:pPr>
            <w:pStyle w:val="Fuzeile"/>
            <w:rPr>
              <w:rFonts w:ascii="Arial Narrow" w:hAnsi="Arial Narrow"/>
            </w:rPr>
          </w:pPr>
          <w:r>
            <w:rPr>
              <w:rFonts w:ascii="Arial Narrow" w:hAnsi="Arial Narrow"/>
            </w:rPr>
            <w:t>T +41 58 463 11 11</w:t>
          </w:r>
        </w:p>
        <w:p w14:paraId="36E9F980" w14:textId="77777777" w:rsidR="00667FF9" w:rsidRDefault="00667FF9">
          <w:pPr>
            <w:pStyle w:val="Fuzeile"/>
            <w:rPr>
              <w:rFonts w:ascii="Arial Narrow" w:hAnsi="Arial Narrow"/>
            </w:rPr>
          </w:pPr>
        </w:p>
      </w:tc>
    </w:tr>
  </w:tbl>
  <w:p w14:paraId="548551AB" w14:textId="77777777" w:rsidR="00667FF9" w:rsidRDefault="00667FF9">
    <w:pPr>
      <w:pStyle w:val="Fuzeil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48" w:type="dxa"/>
      <w:tblLook w:val="01E0" w:firstRow="1" w:lastRow="1" w:firstColumn="1" w:lastColumn="1" w:noHBand="0" w:noVBand="0"/>
    </w:tblPr>
    <w:tblGrid>
      <w:gridCol w:w="5788"/>
      <w:gridCol w:w="2556"/>
      <w:gridCol w:w="1704"/>
    </w:tblGrid>
    <w:tr w:rsidR="00667FF9" w14:paraId="3B2FED2D" w14:textId="77777777">
      <w:tc>
        <w:tcPr>
          <w:tcW w:w="5788" w:type="dxa"/>
        </w:tcPr>
        <w:p w14:paraId="52392663" w14:textId="77777777" w:rsidR="00667FF9" w:rsidRDefault="00667FF9">
          <w:pPr>
            <w:pStyle w:val="Fuzeile"/>
          </w:pPr>
        </w:p>
      </w:tc>
      <w:tc>
        <w:tcPr>
          <w:tcW w:w="2556" w:type="dxa"/>
        </w:tcPr>
        <w:p w14:paraId="75827F86" w14:textId="474A1AF7" w:rsidR="00667FF9" w:rsidRDefault="0090624A">
          <w:pPr>
            <w:pStyle w:val="Fuzeile"/>
            <w:jc w:val="right"/>
            <w:rPr>
              <w:i w:val="0"/>
            </w:rPr>
          </w:pPr>
          <w:r>
            <w:rPr>
              <w:rStyle w:val="Seitenzahl"/>
              <w:i w:val="0"/>
            </w:rPr>
            <w:fldChar w:fldCharType="begin"/>
          </w:r>
          <w:r>
            <w:rPr>
              <w:rStyle w:val="Seitenzahl"/>
              <w:i w:val="0"/>
            </w:rPr>
            <w:instrText xml:space="preserve"> PAGE </w:instrText>
          </w:r>
          <w:r>
            <w:rPr>
              <w:rStyle w:val="Seitenzahl"/>
              <w:i w:val="0"/>
            </w:rPr>
            <w:fldChar w:fldCharType="separate"/>
          </w:r>
          <w:r w:rsidR="000B4ECF">
            <w:rPr>
              <w:rStyle w:val="Seitenzahl"/>
              <w:i w:val="0"/>
              <w:noProof/>
            </w:rPr>
            <w:t>4</w:t>
          </w:r>
          <w:r>
            <w:rPr>
              <w:rStyle w:val="Seitenzahl"/>
              <w:i w:val="0"/>
            </w:rPr>
            <w:fldChar w:fldCharType="end"/>
          </w:r>
        </w:p>
      </w:tc>
      <w:tc>
        <w:tcPr>
          <w:tcW w:w="1704" w:type="dxa"/>
        </w:tcPr>
        <w:p w14:paraId="2A633689" w14:textId="77777777" w:rsidR="00667FF9" w:rsidRDefault="00667FF9">
          <w:pPr>
            <w:pStyle w:val="Fuzeile"/>
            <w:rPr>
              <w:i w:val="0"/>
            </w:rPr>
          </w:pPr>
        </w:p>
      </w:tc>
    </w:tr>
  </w:tbl>
  <w:p w14:paraId="38AAB529" w14:textId="77777777" w:rsidR="00667FF9" w:rsidRDefault="00667FF9">
    <w:pPr>
      <w:pStyle w:val="Fuzeile"/>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84C1" w14:textId="77777777" w:rsidR="00E74B45" w:rsidRDefault="00E74B45">
      <w:r>
        <w:separator/>
      </w:r>
    </w:p>
  </w:footnote>
  <w:footnote w:type="continuationSeparator" w:id="0">
    <w:p w14:paraId="1AE9A7DE" w14:textId="77777777" w:rsidR="00E74B45" w:rsidRDefault="00E7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4E25" w14:textId="77777777" w:rsidR="00667FF9" w:rsidRDefault="0090624A">
    <w:pPr>
      <w:pStyle w:val="Kopfzeile"/>
    </w:pPr>
    <w:r>
      <w:rPr>
        <w:noProof/>
        <w:lang w:eastAsia="de-CH"/>
      </w:rPr>
      <w:drawing>
        <wp:anchor distT="0" distB="0" distL="114300" distR="114300" simplePos="0" relativeHeight="251660288" behindDoc="1" locked="0" layoutInCell="1" allowOverlap="1" wp14:anchorId="454CCC49" wp14:editId="2E45DD72">
          <wp:simplePos x="0" y="0"/>
          <wp:positionH relativeFrom="column">
            <wp:posOffset>3877310</wp:posOffset>
          </wp:positionH>
          <wp:positionV relativeFrom="paragraph">
            <wp:posOffset>-183515</wp:posOffset>
          </wp:positionV>
          <wp:extent cx="2028825" cy="619125"/>
          <wp:effectExtent l="19050" t="0" r="9525" b="0"/>
          <wp:wrapTight wrapText="bothSides">
            <wp:wrapPolygon edited="0">
              <wp:start x="-203" y="0"/>
              <wp:lineTo x="-203" y="21268"/>
              <wp:lineTo x="21701" y="21268"/>
              <wp:lineTo x="21701" y="0"/>
              <wp:lineTo x="-203" y="0"/>
            </wp:wrapPolygon>
          </wp:wrapTight>
          <wp:docPr id="7" name="Bild 3" descr="L:\Support\Betrieb\Vorlagen_Logo\Logos\2010\091209_dfie_bri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upport\Betrieb\Vorlagen_Logo\Logos\2010\091209_dfie_brief.tif"/>
                  <pic:cNvPicPr>
                    <a:picLocks noChangeAspect="1" noChangeArrowheads="1"/>
                  </pic:cNvPicPr>
                </pic:nvPicPr>
                <pic:blipFill>
                  <a:blip r:embed="rId1" cstate="print"/>
                  <a:srcRect/>
                  <a:stretch>
                    <a:fillRect/>
                  </a:stretch>
                </pic:blipFill>
                <pic:spPr bwMode="auto">
                  <a:xfrm>
                    <a:off x="0" y="0"/>
                    <a:ext cx="2028825" cy="6191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AF20" w14:textId="77777777" w:rsidR="00667FF9" w:rsidRDefault="00667F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AA405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6AA9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970EE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32E151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714080E"/>
    <w:lvl w:ilvl="0">
      <w:start w:val="1"/>
      <w:numFmt w:val="bullet"/>
      <w:pStyle w:val="Aufzhlungszeichen5"/>
      <w:lvlText w:val=""/>
      <w:lvlJc w:val="left"/>
      <w:pPr>
        <w:tabs>
          <w:tab w:val="num" w:pos="1418"/>
        </w:tabs>
        <w:ind w:left="1418" w:hanging="284"/>
      </w:pPr>
      <w:rPr>
        <w:rFonts w:ascii="Wingdings" w:hAnsi="Wingdings" w:hint="default"/>
        <w:sz w:val="30"/>
        <w:szCs w:val="30"/>
      </w:rPr>
    </w:lvl>
  </w:abstractNum>
  <w:abstractNum w:abstractNumId="5" w15:restartNumberingAfterBreak="0">
    <w:nsid w:val="FFFFFF81"/>
    <w:multiLevelType w:val="singleLevel"/>
    <w:tmpl w:val="12CA1846"/>
    <w:lvl w:ilvl="0">
      <w:start w:val="1"/>
      <w:numFmt w:val="bullet"/>
      <w:pStyle w:val="Aufzhlungszeichen4"/>
      <w:lvlText w:val=""/>
      <w:lvlJc w:val="left"/>
      <w:pPr>
        <w:tabs>
          <w:tab w:val="num" w:pos="1134"/>
        </w:tabs>
        <w:ind w:left="1134" w:hanging="283"/>
      </w:pPr>
      <w:rPr>
        <w:rFonts w:ascii="Wingdings" w:hAnsi="Wingdings" w:hint="default"/>
        <w:sz w:val="30"/>
        <w:szCs w:val="30"/>
      </w:rPr>
    </w:lvl>
  </w:abstractNum>
  <w:abstractNum w:abstractNumId="6" w15:restartNumberingAfterBreak="0">
    <w:nsid w:val="FFFFFF82"/>
    <w:multiLevelType w:val="singleLevel"/>
    <w:tmpl w:val="C37E2F24"/>
    <w:lvl w:ilvl="0">
      <w:start w:val="1"/>
      <w:numFmt w:val="bullet"/>
      <w:pStyle w:val="Aufzhlungszeichen3"/>
      <w:lvlText w:val=""/>
      <w:lvlJc w:val="left"/>
      <w:pPr>
        <w:tabs>
          <w:tab w:val="num" w:pos="1135"/>
        </w:tabs>
        <w:ind w:left="1135" w:hanging="284"/>
      </w:pPr>
      <w:rPr>
        <w:rFonts w:ascii="Wingdings" w:hAnsi="Wingdings" w:hint="default"/>
        <w:sz w:val="30"/>
        <w:szCs w:val="30"/>
      </w:rPr>
    </w:lvl>
  </w:abstractNum>
  <w:abstractNum w:abstractNumId="7" w15:restartNumberingAfterBreak="0">
    <w:nsid w:val="FFFFFF83"/>
    <w:multiLevelType w:val="singleLevel"/>
    <w:tmpl w:val="7B447DE8"/>
    <w:lvl w:ilvl="0">
      <w:start w:val="1"/>
      <w:numFmt w:val="bullet"/>
      <w:pStyle w:val="Aufzhlungszeichen2"/>
      <w:lvlText w:val=""/>
      <w:lvlJc w:val="left"/>
      <w:pPr>
        <w:tabs>
          <w:tab w:val="num" w:pos="644"/>
        </w:tabs>
        <w:ind w:left="567" w:hanging="283"/>
      </w:pPr>
      <w:rPr>
        <w:rFonts w:ascii="Wingdings" w:hAnsi="Wingdings" w:hint="default"/>
        <w:sz w:val="30"/>
        <w:szCs w:val="30"/>
      </w:rPr>
    </w:lvl>
  </w:abstractNum>
  <w:abstractNum w:abstractNumId="8" w15:restartNumberingAfterBreak="0">
    <w:nsid w:val="FFFFFF88"/>
    <w:multiLevelType w:val="singleLevel"/>
    <w:tmpl w:val="6CD46D2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DFC9A42"/>
    <w:lvl w:ilvl="0">
      <w:start w:val="1"/>
      <w:numFmt w:val="bullet"/>
      <w:pStyle w:val="Aufzhlungszeichen"/>
      <w:lvlText w:val=""/>
      <w:lvlJc w:val="left"/>
      <w:pPr>
        <w:tabs>
          <w:tab w:val="num" w:pos="360"/>
        </w:tabs>
        <w:ind w:left="284" w:hanging="284"/>
      </w:pPr>
      <w:rPr>
        <w:rFonts w:ascii="Wingdings" w:hAnsi="Wingdings" w:hint="default"/>
        <w:sz w:val="30"/>
        <w:szCs w:val="30"/>
      </w:rPr>
    </w:lvl>
  </w:abstractNum>
  <w:abstractNum w:abstractNumId="10" w15:restartNumberingAfterBreak="0">
    <w:nsid w:val="FFFFFFFB"/>
    <w:multiLevelType w:val="multilevel"/>
    <w:tmpl w:val="88EC3C80"/>
    <w:lvl w:ilvl="0">
      <w:numFmt w:val="decimal"/>
      <w:lvlText w:val="%1"/>
      <w:lvlJc w:val="left"/>
      <w:pPr>
        <w:tabs>
          <w:tab w:val="num" w:pos="0"/>
        </w:tabs>
        <w:ind w:left="0" w:firstLine="0"/>
      </w:pPr>
      <w:rPr>
        <w:rFonts w:hint="default"/>
      </w:rPr>
    </w:lvl>
    <w:lvl w:ilvl="1">
      <w:start w:val="1"/>
      <w:numFmt w:val="decimal"/>
      <w:lvlText w:val="%1.%2"/>
      <w:lvlJc w:val="left"/>
      <w:pPr>
        <w:tabs>
          <w:tab w:val="num" w:pos="426"/>
        </w:tabs>
        <w:ind w:left="426"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F732EA"/>
    <w:multiLevelType w:val="hybridMultilevel"/>
    <w:tmpl w:val="F1804492"/>
    <w:lvl w:ilvl="0" w:tplc="25884ABE">
      <w:start w:val="1"/>
      <w:numFmt w:val="decimal"/>
      <w:lvlText w:val="%1)"/>
      <w:lvlJc w:val="left"/>
      <w:pPr>
        <w:ind w:left="769" w:hanging="405"/>
      </w:pPr>
      <w:rPr>
        <w:rFonts w:hint="default"/>
      </w:rPr>
    </w:lvl>
    <w:lvl w:ilvl="1" w:tplc="08070019" w:tentative="1">
      <w:start w:val="1"/>
      <w:numFmt w:val="lowerLetter"/>
      <w:lvlText w:val="%2."/>
      <w:lvlJc w:val="left"/>
      <w:pPr>
        <w:ind w:left="1444" w:hanging="360"/>
      </w:pPr>
    </w:lvl>
    <w:lvl w:ilvl="2" w:tplc="0807001B" w:tentative="1">
      <w:start w:val="1"/>
      <w:numFmt w:val="lowerRoman"/>
      <w:lvlText w:val="%3."/>
      <w:lvlJc w:val="right"/>
      <w:pPr>
        <w:ind w:left="2164" w:hanging="180"/>
      </w:pPr>
    </w:lvl>
    <w:lvl w:ilvl="3" w:tplc="0807000F" w:tentative="1">
      <w:start w:val="1"/>
      <w:numFmt w:val="decimal"/>
      <w:lvlText w:val="%4."/>
      <w:lvlJc w:val="left"/>
      <w:pPr>
        <w:ind w:left="2884" w:hanging="360"/>
      </w:pPr>
    </w:lvl>
    <w:lvl w:ilvl="4" w:tplc="08070019" w:tentative="1">
      <w:start w:val="1"/>
      <w:numFmt w:val="lowerLetter"/>
      <w:lvlText w:val="%5."/>
      <w:lvlJc w:val="left"/>
      <w:pPr>
        <w:ind w:left="3604" w:hanging="360"/>
      </w:pPr>
    </w:lvl>
    <w:lvl w:ilvl="5" w:tplc="0807001B" w:tentative="1">
      <w:start w:val="1"/>
      <w:numFmt w:val="lowerRoman"/>
      <w:lvlText w:val="%6."/>
      <w:lvlJc w:val="right"/>
      <w:pPr>
        <w:ind w:left="4324" w:hanging="180"/>
      </w:pPr>
    </w:lvl>
    <w:lvl w:ilvl="6" w:tplc="0807000F" w:tentative="1">
      <w:start w:val="1"/>
      <w:numFmt w:val="decimal"/>
      <w:lvlText w:val="%7."/>
      <w:lvlJc w:val="left"/>
      <w:pPr>
        <w:ind w:left="5044" w:hanging="360"/>
      </w:pPr>
    </w:lvl>
    <w:lvl w:ilvl="7" w:tplc="08070019" w:tentative="1">
      <w:start w:val="1"/>
      <w:numFmt w:val="lowerLetter"/>
      <w:lvlText w:val="%8."/>
      <w:lvlJc w:val="left"/>
      <w:pPr>
        <w:ind w:left="5764" w:hanging="360"/>
      </w:pPr>
    </w:lvl>
    <w:lvl w:ilvl="8" w:tplc="0807001B" w:tentative="1">
      <w:start w:val="1"/>
      <w:numFmt w:val="lowerRoman"/>
      <w:lvlText w:val="%9."/>
      <w:lvlJc w:val="right"/>
      <w:pPr>
        <w:ind w:left="6484" w:hanging="180"/>
      </w:pPr>
    </w:lvl>
  </w:abstractNum>
  <w:abstractNum w:abstractNumId="12" w15:restartNumberingAfterBreak="0">
    <w:nsid w:val="10084468"/>
    <w:multiLevelType w:val="hybridMultilevel"/>
    <w:tmpl w:val="1DD03738"/>
    <w:lvl w:ilvl="0" w:tplc="3AE00790">
      <w:start w:val="1"/>
      <w:numFmt w:val="bullet"/>
      <w:lvlText w:val=""/>
      <w:lvlJc w:val="left"/>
      <w:pPr>
        <w:ind w:left="720" w:hanging="360"/>
      </w:pPr>
      <w:rPr>
        <w:rFonts w:ascii="Wingdings" w:hAnsi="Wingdings" w:hint="default"/>
        <w:sz w:val="3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6B280B"/>
    <w:multiLevelType w:val="hybridMultilevel"/>
    <w:tmpl w:val="D0C217C0"/>
    <w:lvl w:ilvl="0" w:tplc="F7BA1E22">
      <w:start w:val="1"/>
      <w:numFmt w:val="decimal"/>
      <w:pStyle w:val="Kasten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AFA2C1E"/>
    <w:multiLevelType w:val="hybridMultilevel"/>
    <w:tmpl w:val="C82495B4"/>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CEE1137"/>
    <w:multiLevelType w:val="hybridMultilevel"/>
    <w:tmpl w:val="E24E5E84"/>
    <w:lvl w:ilvl="0" w:tplc="754E9F02">
      <w:start w:val="1"/>
      <w:numFmt w:val="bullet"/>
      <w:pStyle w:val="KastenlistemitAufzhlung"/>
      <w:lvlText w:val=""/>
      <w:lvlJc w:val="left"/>
      <w:pPr>
        <w:ind w:left="360" w:hanging="360"/>
      </w:pPr>
      <w:rPr>
        <w:rFonts w:ascii="Wingdings" w:hAnsi="Wingdings" w:hint="default"/>
        <w:sz w:val="36"/>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DEF0410"/>
    <w:multiLevelType w:val="multilevel"/>
    <w:tmpl w:val="4DF047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1541930"/>
    <w:multiLevelType w:val="hybridMultilevel"/>
    <w:tmpl w:val="D638B6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A55D0D"/>
    <w:multiLevelType w:val="hybridMultilevel"/>
    <w:tmpl w:val="1D326484"/>
    <w:lvl w:ilvl="0" w:tplc="3AE00790">
      <w:start w:val="1"/>
      <w:numFmt w:val="bullet"/>
      <w:lvlText w:val=""/>
      <w:lvlJc w:val="left"/>
      <w:pPr>
        <w:ind w:left="720" w:hanging="360"/>
      </w:pPr>
      <w:rPr>
        <w:rFonts w:ascii="Wingdings" w:hAnsi="Wingdings" w:hint="default"/>
        <w:sz w:val="3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F61215E"/>
    <w:multiLevelType w:val="hybridMultilevel"/>
    <w:tmpl w:val="23B414C2"/>
    <w:lvl w:ilvl="0" w:tplc="FA763CC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F7B083D"/>
    <w:multiLevelType w:val="hybridMultilevel"/>
    <w:tmpl w:val="78BA1608"/>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7D487BB8"/>
    <w:multiLevelType w:val="hybridMultilevel"/>
    <w:tmpl w:val="EFA41DDA"/>
    <w:lvl w:ilvl="0" w:tplc="79B490A8">
      <w:start w:val="1"/>
      <w:numFmt w:val="bullet"/>
      <w:pStyle w:val="Liste"/>
      <w:lvlText w:val=""/>
      <w:lvlJc w:val="left"/>
      <w:pPr>
        <w:tabs>
          <w:tab w:val="num" w:pos="284"/>
        </w:tabs>
        <w:ind w:left="284" w:hanging="284"/>
      </w:pPr>
      <w:rPr>
        <w:rFonts w:ascii="Wingdings" w:hAnsi="Wingdings" w:hint="default"/>
        <w:sz w:val="28"/>
        <w:szCs w:val="2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1"/>
  </w:num>
  <w:num w:numId="13">
    <w:abstractNumId w:val="8"/>
  </w:num>
  <w:num w:numId="14">
    <w:abstractNumId w:val="16"/>
  </w:num>
  <w:num w:numId="15">
    <w:abstractNumId w:val="14"/>
  </w:num>
  <w:num w:numId="16">
    <w:abstractNumId w:val="17"/>
  </w:num>
  <w:num w:numId="17">
    <w:abstractNumId w:val="13"/>
  </w:num>
  <w:num w:numId="18">
    <w:abstractNumId w:val="18"/>
  </w:num>
  <w:num w:numId="19">
    <w:abstractNumId w:val="12"/>
  </w:num>
  <w:num w:numId="20">
    <w:abstractNumId w:val="15"/>
  </w:num>
  <w:num w:numId="21">
    <w:abstractNumId w:val="20"/>
  </w:num>
  <w:num w:numId="22">
    <w:abstractNumId w:val="19"/>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ctiveWritingStyle w:appName="MSWord" w:lang="de-CH" w:vendorID="64" w:dllVersion="6" w:nlCheck="1" w:checkStyle="0"/>
  <w:activeWritingStyle w:appName="MSWord" w:lang="en-US" w:vendorID="64" w:dllVersion="6" w:nlCheck="1" w:checkStyle="1"/>
  <w:activeWritingStyle w:appName="MSWord" w:lang="de-DE" w:vendorID="64" w:dllVersion="6" w:nlCheck="1" w:checkStyle="1"/>
  <w:activeWritingStyle w:appName="MSWord" w:lang="fr-CH" w:vendorID="64" w:dllVersion="6" w:nlCheck="1" w:checkStyle="1"/>
  <w:activeWritingStyle w:appName="MSWord" w:lang="it-CH" w:vendorID="64" w:dllVersion="6" w:nlCheck="1" w:checkStyle="0"/>
  <w:activeWritingStyle w:appName="MSWord" w:lang="de-CH" w:vendorID="64" w:dllVersion="4096" w:nlCheck="1" w:checkStyle="0"/>
  <w:activeWritingStyle w:appName="MSWord" w:lang="fr-CH" w:vendorID="64" w:dllVersion="4096" w:nlCheck="1" w:checkStyle="0"/>
  <w:activeWritingStyle w:appName="MSWord" w:lang="de-CH" w:vendorID="9" w:dllVersion="512" w:checkStyle="1"/>
  <w:proofState w:spelling="clean" w:grammar="clean"/>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LockTheme/>
  <w:defaultTabStop w:val="284"/>
  <w:autoHyphenation/>
  <w:hyphenationZone w:val="425"/>
  <w:drawingGridHorizontalSpacing w:val="181"/>
  <w:drawingGridVerticalSpacing w:val="181"/>
  <w:doNotUseMarginsForDrawingGridOrigin/>
  <w:drawingGridHorizontalOrigin w:val="1418"/>
  <w:drawingGridVerticalOrigin w:val="1418"/>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C8"/>
    <w:rsid w:val="000056CF"/>
    <w:rsid w:val="00096712"/>
    <w:rsid w:val="000B4ECF"/>
    <w:rsid w:val="000B7B32"/>
    <w:rsid w:val="000C707B"/>
    <w:rsid w:val="001311E7"/>
    <w:rsid w:val="00154BCF"/>
    <w:rsid w:val="001A4A91"/>
    <w:rsid w:val="001C11D7"/>
    <w:rsid w:val="001C24AC"/>
    <w:rsid w:val="001E4F56"/>
    <w:rsid w:val="001F10A7"/>
    <w:rsid w:val="00200E65"/>
    <w:rsid w:val="0021608A"/>
    <w:rsid w:val="00221EC6"/>
    <w:rsid w:val="0022664E"/>
    <w:rsid w:val="0024249B"/>
    <w:rsid w:val="00242B1B"/>
    <w:rsid w:val="00253235"/>
    <w:rsid w:val="00265A00"/>
    <w:rsid w:val="00282DF1"/>
    <w:rsid w:val="002975C2"/>
    <w:rsid w:val="002A5270"/>
    <w:rsid w:val="002A5C7C"/>
    <w:rsid w:val="002D20F4"/>
    <w:rsid w:val="002E150A"/>
    <w:rsid w:val="002E43C0"/>
    <w:rsid w:val="002F08A7"/>
    <w:rsid w:val="003069F6"/>
    <w:rsid w:val="00314741"/>
    <w:rsid w:val="003221BC"/>
    <w:rsid w:val="003269CE"/>
    <w:rsid w:val="00352E2A"/>
    <w:rsid w:val="00367972"/>
    <w:rsid w:val="0037424E"/>
    <w:rsid w:val="003C42F7"/>
    <w:rsid w:val="003E7417"/>
    <w:rsid w:val="0041055A"/>
    <w:rsid w:val="0041201F"/>
    <w:rsid w:val="00422C9E"/>
    <w:rsid w:val="00427102"/>
    <w:rsid w:val="00432AA6"/>
    <w:rsid w:val="0043380F"/>
    <w:rsid w:val="0043491E"/>
    <w:rsid w:val="004416F5"/>
    <w:rsid w:val="00442F64"/>
    <w:rsid w:val="004469B1"/>
    <w:rsid w:val="00451507"/>
    <w:rsid w:val="004526FC"/>
    <w:rsid w:val="00452E44"/>
    <w:rsid w:val="004668BA"/>
    <w:rsid w:val="00477259"/>
    <w:rsid w:val="00480B80"/>
    <w:rsid w:val="004A48EB"/>
    <w:rsid w:val="004B1B78"/>
    <w:rsid w:val="004E19BB"/>
    <w:rsid w:val="005518AA"/>
    <w:rsid w:val="00575341"/>
    <w:rsid w:val="0059057C"/>
    <w:rsid w:val="005A569C"/>
    <w:rsid w:val="005A7453"/>
    <w:rsid w:val="005C50CA"/>
    <w:rsid w:val="005E05AE"/>
    <w:rsid w:val="0062270B"/>
    <w:rsid w:val="00654C69"/>
    <w:rsid w:val="00667FF9"/>
    <w:rsid w:val="00677D0C"/>
    <w:rsid w:val="006871F9"/>
    <w:rsid w:val="006A2220"/>
    <w:rsid w:val="006E6F59"/>
    <w:rsid w:val="00756E3F"/>
    <w:rsid w:val="00786E6D"/>
    <w:rsid w:val="0079235B"/>
    <w:rsid w:val="007A4622"/>
    <w:rsid w:val="007B283E"/>
    <w:rsid w:val="007C3B18"/>
    <w:rsid w:val="007D66F9"/>
    <w:rsid w:val="007E4F93"/>
    <w:rsid w:val="007E6E38"/>
    <w:rsid w:val="007F2DC8"/>
    <w:rsid w:val="007F706D"/>
    <w:rsid w:val="008247D6"/>
    <w:rsid w:val="008272AD"/>
    <w:rsid w:val="0083581E"/>
    <w:rsid w:val="00846522"/>
    <w:rsid w:val="0084792E"/>
    <w:rsid w:val="00856548"/>
    <w:rsid w:val="00867ED5"/>
    <w:rsid w:val="00884C9D"/>
    <w:rsid w:val="008A5451"/>
    <w:rsid w:val="008D5251"/>
    <w:rsid w:val="008F3CEA"/>
    <w:rsid w:val="008F75E4"/>
    <w:rsid w:val="0090188E"/>
    <w:rsid w:val="0090624A"/>
    <w:rsid w:val="00913858"/>
    <w:rsid w:val="009151A0"/>
    <w:rsid w:val="0092013B"/>
    <w:rsid w:val="009254CF"/>
    <w:rsid w:val="00937707"/>
    <w:rsid w:val="00944ACF"/>
    <w:rsid w:val="00950FAA"/>
    <w:rsid w:val="00971ABE"/>
    <w:rsid w:val="00980F11"/>
    <w:rsid w:val="00990A8C"/>
    <w:rsid w:val="009A06BB"/>
    <w:rsid w:val="009A2BF2"/>
    <w:rsid w:val="009B1E07"/>
    <w:rsid w:val="00A03791"/>
    <w:rsid w:val="00A050C0"/>
    <w:rsid w:val="00A35488"/>
    <w:rsid w:val="00A4256A"/>
    <w:rsid w:val="00A55078"/>
    <w:rsid w:val="00A6309E"/>
    <w:rsid w:val="00A67C22"/>
    <w:rsid w:val="00A80410"/>
    <w:rsid w:val="00A828B2"/>
    <w:rsid w:val="00A871C6"/>
    <w:rsid w:val="00AA2528"/>
    <w:rsid w:val="00AC1A6F"/>
    <w:rsid w:val="00AC3813"/>
    <w:rsid w:val="00AD1082"/>
    <w:rsid w:val="00AD305B"/>
    <w:rsid w:val="00AD595C"/>
    <w:rsid w:val="00AE5E5B"/>
    <w:rsid w:val="00B160E2"/>
    <w:rsid w:val="00B22AB2"/>
    <w:rsid w:val="00B309AD"/>
    <w:rsid w:val="00B30F5D"/>
    <w:rsid w:val="00B32FBD"/>
    <w:rsid w:val="00B658A3"/>
    <w:rsid w:val="00B66451"/>
    <w:rsid w:val="00B715AA"/>
    <w:rsid w:val="00B72995"/>
    <w:rsid w:val="00B72FB9"/>
    <w:rsid w:val="00B745AB"/>
    <w:rsid w:val="00B76ED8"/>
    <w:rsid w:val="00B95314"/>
    <w:rsid w:val="00BC3D84"/>
    <w:rsid w:val="00BC50A0"/>
    <w:rsid w:val="00BD4901"/>
    <w:rsid w:val="00BE6C83"/>
    <w:rsid w:val="00C20D8E"/>
    <w:rsid w:val="00C25198"/>
    <w:rsid w:val="00C45C73"/>
    <w:rsid w:val="00C46F8A"/>
    <w:rsid w:val="00C73A1F"/>
    <w:rsid w:val="00C73A3D"/>
    <w:rsid w:val="00C804AD"/>
    <w:rsid w:val="00CB1322"/>
    <w:rsid w:val="00CC1775"/>
    <w:rsid w:val="00CC7A7C"/>
    <w:rsid w:val="00CE63F8"/>
    <w:rsid w:val="00CF66BF"/>
    <w:rsid w:val="00D04C93"/>
    <w:rsid w:val="00D06D9E"/>
    <w:rsid w:val="00D11968"/>
    <w:rsid w:val="00D253C4"/>
    <w:rsid w:val="00D36C76"/>
    <w:rsid w:val="00D62F35"/>
    <w:rsid w:val="00D76723"/>
    <w:rsid w:val="00D8002A"/>
    <w:rsid w:val="00D9053B"/>
    <w:rsid w:val="00DA19BA"/>
    <w:rsid w:val="00DA7FC0"/>
    <w:rsid w:val="00DB3105"/>
    <w:rsid w:val="00DB3180"/>
    <w:rsid w:val="00DD0923"/>
    <w:rsid w:val="00DD0DD0"/>
    <w:rsid w:val="00DD42CB"/>
    <w:rsid w:val="00DF229C"/>
    <w:rsid w:val="00DF63AD"/>
    <w:rsid w:val="00E104D0"/>
    <w:rsid w:val="00E15DF7"/>
    <w:rsid w:val="00E16857"/>
    <w:rsid w:val="00E24F48"/>
    <w:rsid w:val="00E325D3"/>
    <w:rsid w:val="00E3334F"/>
    <w:rsid w:val="00E45CA9"/>
    <w:rsid w:val="00E74B45"/>
    <w:rsid w:val="00E81BC0"/>
    <w:rsid w:val="00E91736"/>
    <w:rsid w:val="00E95193"/>
    <w:rsid w:val="00E95BBF"/>
    <w:rsid w:val="00EA2D47"/>
    <w:rsid w:val="00EA350F"/>
    <w:rsid w:val="00EB23EB"/>
    <w:rsid w:val="00EC2067"/>
    <w:rsid w:val="00EC499B"/>
    <w:rsid w:val="00EF2441"/>
    <w:rsid w:val="00F245EF"/>
    <w:rsid w:val="00F5235E"/>
    <w:rsid w:val="00F53203"/>
    <w:rsid w:val="00F6527F"/>
    <w:rsid w:val="00F7496E"/>
    <w:rsid w:val="00F97C21"/>
    <w:rsid w:val="00FD3E9E"/>
    <w:rsid w:val="00FF63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B11E1F"/>
  <w15:docId w15:val="{3C91201B-B1D6-4BAF-8B7E-DE5D9390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CH" w:eastAsia="de-CH" w:bidi="ar-SA"/>
      </w:rPr>
    </w:rPrDefault>
    <w:pPrDefault>
      <w:pPr>
        <w:spacing w:line="30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iPriority="98" w:unhideWhenUsed="1"/>
    <w:lsdException w:name="index 2" w:semiHidden="1" w:uiPriority="98" w:unhideWhenUsed="1"/>
    <w:lsdException w:name="index 3" w:semiHidden="1" w:uiPriority="98" w:unhideWhenUsed="1"/>
    <w:lsdException w:name="index 4" w:semiHidden="1" w:uiPriority="98" w:unhideWhenUsed="1"/>
    <w:lsdException w:name="index 5" w:semiHidden="1" w:uiPriority="98" w:unhideWhenUsed="1"/>
    <w:lsdException w:name="index 6" w:semiHidden="1" w:uiPriority="98" w:unhideWhenUsed="1"/>
    <w:lsdException w:name="index 7" w:semiHidden="1" w:uiPriority="98" w:unhideWhenUsed="1"/>
    <w:lsdException w:name="index 8" w:semiHidden="1" w:uiPriority="98" w:unhideWhenUsed="1"/>
    <w:lsdException w:name="index 9" w:semiHidden="1" w:uiPriority="98"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iPriority="98" w:unhideWhenUsed="1" w:qFormat="1"/>
    <w:lsdException w:name="header" w:semiHidden="1" w:unhideWhenUsed="1" w:qFormat="1"/>
    <w:lsdException w:name="footer" w:semiHidden="1" w:unhideWhenUsed="1"/>
    <w:lsdException w:name="index heading" w:semiHidden="1" w:uiPriority="98" w:unhideWhenUsed="1"/>
    <w:lsdException w:name="caption" w:semiHidden="1" w:unhideWhenUsed="1" w:qFormat="1"/>
    <w:lsdException w:name="table of figures" w:semiHidden="1" w:unhideWhenUsed="1" w:qFormat="1"/>
    <w:lsdException w:name="envelope address" w:locked="1" w:semiHidden="1" w:uiPriority="98" w:unhideWhenUsed="1"/>
    <w:lsdException w:name="envelope return" w:locked="1" w:semiHidden="1" w:unhideWhenUsed="1"/>
    <w:lsdException w:name="footnote reference" w:semiHidden="1" w:unhideWhenUsed="1"/>
    <w:lsdException w:name="annotation reference" w:semiHidden="1" w:uiPriority="98" w:unhideWhenUsed="1"/>
    <w:lsdException w:name="line number" w:locked="1" w:semiHidden="1" w:unhideWhenUsed="1"/>
    <w:lsdException w:name="page number" w:semiHidden="1" w:unhideWhenUsed="1"/>
    <w:lsdException w:name="endnote reference" w:semiHidden="1" w:uiPriority="11" w:unhideWhenUsed="1"/>
    <w:lsdException w:name="endnote text" w:semiHidden="1" w:uiPriority="11" w:unhideWhenUsed="1"/>
    <w:lsdException w:name="table of authorities" w:semiHidden="1" w:uiPriority="98" w:unhideWhenUsed="1"/>
    <w:lsdException w:name="macro" w:semiHidden="1" w:uiPriority="98" w:unhideWhenUsed="1"/>
    <w:lsdException w:name="toa heading" w:semiHidden="1" w:uiPriority="98"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iPriority="98"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8" w:unhideWhenUsed="1"/>
    <w:lsdException w:name="Subtitle" w:uiPriority="98"/>
    <w:lsdException w:name="Body Text First Indent" w:lock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iPriority="98" w:unhideWhenUsed="1"/>
    <w:lsdException w:name="Hyperlink" w:semiHidden="1" w:unhideWhenUsed="1"/>
    <w:lsdException w:name="FollowedHyperlink" w:semiHidden="1" w:unhideWhenUsed="1"/>
    <w:lsdException w:name="Strong" w:qFormat="1"/>
    <w:lsdException w:name="Emphasis" w:locked="1" w:qFormat="1"/>
    <w:lsdException w:name="Document Map" w:semiHidden="1" w:uiPriority="98" w:unhideWhenUsed="1"/>
    <w:lsdException w:name="Plain Text" w:semiHidden="1" w:unhideWhenUsed="1"/>
    <w:lsdException w:name="E-mail Signature" w:semiHidden="1" w:uiPriority="98" w:unhideWhenUsed="1"/>
    <w:lsdException w:name="HTML Top of Form" w:semiHidden="1" w:unhideWhenUsed="1"/>
    <w:lsdException w:name="HTML Bottom of Form" w:semiHidden="1" w:unhideWhenUsed="1"/>
    <w:lsdException w:name="Normal (Web)" w:semiHidden="1" w:unhideWhenUsed="1"/>
    <w:lsdException w:name="HTML Acronym" w:locked="1" w:semiHidden="1" w:uiPriority="98" w:unhideWhenUsed="1"/>
    <w:lsdException w:name="HTML Address" w:locked="1" w:semiHidden="1" w:uiPriority="98" w:unhideWhenUsed="1"/>
    <w:lsdException w:name="HTML Cite" w:locked="1" w:semiHidden="1" w:uiPriority="98" w:unhideWhenUsed="1"/>
    <w:lsdException w:name="HTML Code" w:locked="1" w:semiHidden="1" w:uiPriority="98" w:unhideWhenUsed="1"/>
    <w:lsdException w:name="HTML Definition" w:locked="1" w:semiHidden="1" w:uiPriority="98" w:unhideWhenUsed="1"/>
    <w:lsdException w:name="HTML Keyboard" w:locked="1" w:semiHidden="1" w:uiPriority="98" w:unhideWhenUsed="1"/>
    <w:lsdException w:name="HTML Preformatted" w:locked="1" w:semiHidden="1" w:uiPriority="98" w:unhideWhenUsed="1"/>
    <w:lsdException w:name="HTML Sample" w:locked="1" w:semiHidden="1" w:uiPriority="98" w:unhideWhenUsed="1"/>
    <w:lsdException w:name="HTML Typewriter" w:locked="1" w:semiHidden="1" w:uiPriority="98" w:unhideWhenUsed="1"/>
    <w:lsdException w:name="HTML Variable" w:locked="1" w:semiHidden="1" w:uiPriority="98"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8" w:unhideWhenUsed="1"/>
    <w:lsdException w:name="Table Grid" w:locked="1"/>
    <w:lsdException w:name="Table Theme" w:locked="1" w:semiHidden="1" w:unhideWhenUsed="1"/>
    <w:lsdException w:name="Placeholder Text" w:semiHidden="1" w:uiPriority="99"/>
    <w:lsdException w:name="No Spacing" w:uiPriority="98"/>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lsdException w:name="Quote" w:locked="1" w:uiPriority="98"/>
    <w:lsdException w:name="Intense Quote" w:uiPriority="98"/>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98"/>
    <w:lsdException w:name="Intense Emphasis" w:uiPriority="98"/>
    <w:lsdException w:name="Subtle Reference" w:uiPriority="98"/>
    <w:lsdException w:name="Intense Reference" w:uiPriority="98"/>
    <w:lsdException w:name="Book Title" w:uiPriority="98"/>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uiPriority w:val="2"/>
    <w:qFormat/>
    <w:pPr>
      <w:spacing w:line="300" w:lineRule="atLeast"/>
    </w:pPr>
    <w:rPr>
      <w:rFonts w:cs="Arial"/>
      <w:lang w:eastAsia="en-US"/>
    </w:rPr>
  </w:style>
  <w:style w:type="paragraph" w:styleId="berschrift1">
    <w:name w:val="heading 1"/>
    <w:basedOn w:val="Standard"/>
    <w:next w:val="Standard"/>
    <w:uiPriority w:val="1"/>
    <w:qFormat/>
    <w:pPr>
      <w:keepNext/>
      <w:numPr>
        <w:numId w:val="14"/>
      </w:numPr>
      <w:tabs>
        <w:tab w:val="left" w:pos="851"/>
      </w:tabs>
      <w:spacing w:before="240" w:after="60" w:line="240" w:lineRule="auto"/>
      <w:ind w:left="851" w:hanging="851"/>
      <w:outlineLvl w:val="0"/>
    </w:pPr>
    <w:rPr>
      <w:rFonts w:ascii="Arial Black" w:eastAsia="Arial" w:hAnsi="Arial Black"/>
      <w:b/>
      <w:bCs/>
      <w:noProof/>
      <w:kern w:val="32"/>
      <w:szCs w:val="32"/>
      <w:lang w:val="en-US"/>
    </w:rPr>
  </w:style>
  <w:style w:type="paragraph" w:styleId="berschrift2">
    <w:name w:val="heading 2"/>
    <w:basedOn w:val="berschrift1"/>
    <w:next w:val="Standard"/>
    <w:uiPriority w:val="1"/>
    <w:qFormat/>
    <w:pPr>
      <w:numPr>
        <w:ilvl w:val="1"/>
      </w:numPr>
      <w:spacing w:before="60"/>
      <w:ind w:left="851" w:hanging="851"/>
      <w:outlineLvl w:val="1"/>
    </w:pPr>
    <w:rPr>
      <w:iCs/>
      <w:szCs w:val="28"/>
    </w:rPr>
  </w:style>
  <w:style w:type="paragraph" w:styleId="berschrift3">
    <w:name w:val="heading 3"/>
    <w:basedOn w:val="berschrift2"/>
    <w:next w:val="Standard"/>
    <w:uiPriority w:val="1"/>
    <w:qFormat/>
    <w:pPr>
      <w:numPr>
        <w:ilvl w:val="2"/>
      </w:numPr>
      <w:spacing w:before="120"/>
      <w:ind w:left="851" w:hanging="851"/>
      <w:outlineLvl w:val="2"/>
    </w:pPr>
    <w:rPr>
      <w:szCs w:val="26"/>
      <w:lang w:val="de-DE" w:eastAsia="de-DE"/>
    </w:rPr>
  </w:style>
  <w:style w:type="paragraph" w:styleId="berschrift4">
    <w:name w:val="heading 4"/>
    <w:basedOn w:val="Standard"/>
    <w:next w:val="Standard"/>
    <w:uiPriority w:val="98"/>
    <w:pPr>
      <w:keepNext/>
      <w:numPr>
        <w:ilvl w:val="3"/>
        <w:numId w:val="14"/>
      </w:numPr>
      <w:ind w:left="851" w:hanging="851"/>
      <w:outlineLvl w:val="3"/>
    </w:pPr>
    <w:rPr>
      <w:b/>
      <w:bCs/>
    </w:rPr>
  </w:style>
  <w:style w:type="paragraph" w:styleId="berschrift5">
    <w:name w:val="heading 5"/>
    <w:basedOn w:val="Standard"/>
    <w:next w:val="Standard"/>
    <w:autoRedefine/>
    <w:uiPriority w:val="98"/>
    <w:pPr>
      <w:numPr>
        <w:ilvl w:val="4"/>
        <w:numId w:val="14"/>
      </w:numPr>
      <w:outlineLvl w:val="4"/>
    </w:pPr>
    <w:rPr>
      <w:b/>
      <w:bCs/>
      <w:iCs/>
    </w:rPr>
  </w:style>
  <w:style w:type="paragraph" w:styleId="berschrift6">
    <w:name w:val="heading 6"/>
    <w:basedOn w:val="Standard"/>
    <w:next w:val="Standard"/>
    <w:uiPriority w:val="98"/>
    <w:pPr>
      <w:numPr>
        <w:ilvl w:val="5"/>
        <w:numId w:val="14"/>
      </w:numPr>
      <w:outlineLvl w:val="5"/>
    </w:pPr>
    <w:rPr>
      <w:bCs/>
    </w:rPr>
  </w:style>
  <w:style w:type="paragraph" w:styleId="berschrift7">
    <w:name w:val="heading 7"/>
    <w:basedOn w:val="Standard"/>
    <w:next w:val="Standard"/>
    <w:uiPriority w:val="98"/>
    <w:pPr>
      <w:numPr>
        <w:ilvl w:val="6"/>
        <w:numId w:val="14"/>
      </w:numPr>
      <w:outlineLvl w:val="6"/>
    </w:pPr>
  </w:style>
  <w:style w:type="paragraph" w:styleId="berschrift8">
    <w:name w:val="heading 8"/>
    <w:basedOn w:val="Standard"/>
    <w:next w:val="Standard"/>
    <w:uiPriority w:val="98"/>
    <w:pPr>
      <w:numPr>
        <w:ilvl w:val="7"/>
        <w:numId w:val="14"/>
      </w:numPr>
      <w:outlineLvl w:val="7"/>
    </w:pPr>
    <w:rPr>
      <w:iCs/>
    </w:rPr>
  </w:style>
  <w:style w:type="paragraph" w:styleId="berschrift9">
    <w:name w:val="heading 9"/>
    <w:basedOn w:val="Standard"/>
    <w:next w:val="Standard"/>
    <w:uiPriority w:val="98"/>
    <w:pPr>
      <w:numPr>
        <w:ilvl w:val="8"/>
        <w:numId w:val="14"/>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pPr>
      <w:tabs>
        <w:tab w:val="left" w:pos="851"/>
        <w:tab w:val="right" w:leader="dot" w:pos="7938"/>
      </w:tabs>
      <w:spacing w:before="240" w:after="60" w:line="240" w:lineRule="auto"/>
      <w:ind w:left="851" w:hanging="851"/>
    </w:pPr>
    <w:rPr>
      <w:b/>
      <w:lang w:eastAsia="de-DE"/>
    </w:rPr>
  </w:style>
  <w:style w:type="paragraph" w:styleId="Kopfzeile">
    <w:name w:val="header"/>
    <w:basedOn w:val="Standard"/>
    <w:uiPriority w:val="10"/>
    <w:qFormat/>
    <w:pPr>
      <w:tabs>
        <w:tab w:val="center" w:pos="4536"/>
        <w:tab w:val="right" w:pos="9072"/>
      </w:tabs>
    </w:pPr>
    <w:rPr>
      <w:rFonts w:ascii="Helvetica-Narrow" w:hAnsi="Helvetica-Narrow"/>
      <w:i/>
      <w:sz w:val="17"/>
      <w:szCs w:val="17"/>
    </w:rPr>
  </w:style>
  <w:style w:type="paragraph" w:styleId="Fuzeile">
    <w:name w:val="footer"/>
    <w:basedOn w:val="Standard"/>
    <w:uiPriority w:val="10"/>
    <w:pPr>
      <w:tabs>
        <w:tab w:val="center" w:pos="4536"/>
        <w:tab w:val="right" w:pos="9072"/>
      </w:tabs>
    </w:pPr>
    <w:rPr>
      <w:rFonts w:ascii="Helvetica-Narrow" w:hAnsi="Helvetica-Narrow"/>
      <w:i/>
      <w:sz w:val="17"/>
      <w:szCs w:val="17"/>
    </w:rPr>
  </w:style>
  <w:style w:type="paragraph" w:styleId="Fu-Endnotenberschrift">
    <w:name w:val="Note Heading"/>
    <w:basedOn w:val="Standard"/>
    <w:next w:val="Standard"/>
    <w:uiPriority w:val="11"/>
    <w:rPr>
      <w:sz w:val="17"/>
    </w:rPr>
  </w:style>
  <w:style w:type="paragraph" w:styleId="Funotentext">
    <w:name w:val="footnote text"/>
    <w:basedOn w:val="Standard"/>
    <w:semiHidden/>
    <w:rPr>
      <w:sz w:val="17"/>
    </w:rPr>
  </w:style>
  <w:style w:type="character" w:styleId="Funotenzeichen">
    <w:name w:val="footnote reference"/>
    <w:basedOn w:val="Absatz-Standardschriftart"/>
    <w:semiHidden/>
    <w:rPr>
      <w:vertAlign w:val="superscript"/>
    </w:rPr>
  </w:style>
  <w:style w:type="paragraph" w:styleId="Titel">
    <w:name w:val="Title"/>
    <w:basedOn w:val="Standard"/>
    <w:next w:val="Standard"/>
    <w:link w:val="TitelZchn"/>
    <w:qFormat/>
    <w:pPr>
      <w:outlineLvl w:val="0"/>
    </w:pPr>
    <w:rPr>
      <w:rFonts w:ascii="Arial Black" w:hAnsi="Arial Black"/>
      <w:bCs/>
      <w:kern w:val="28"/>
    </w:rPr>
  </w:style>
  <w:style w:type="paragraph" w:styleId="Verzeichnis2">
    <w:name w:val="toc 2"/>
    <w:basedOn w:val="Verzeichnis1"/>
    <w:next w:val="Standard"/>
    <w:autoRedefine/>
    <w:semiHidden/>
    <w:pPr>
      <w:spacing w:before="60" w:after="0"/>
    </w:pPr>
    <w:rPr>
      <w:b w:val="0"/>
    </w:rPr>
  </w:style>
  <w:style w:type="paragraph" w:styleId="Verzeichnis3">
    <w:name w:val="toc 3"/>
    <w:basedOn w:val="Standard"/>
    <w:next w:val="Standard"/>
    <w:autoRedefine/>
    <w:semiHidden/>
    <w:pPr>
      <w:tabs>
        <w:tab w:val="left" w:pos="851"/>
        <w:tab w:val="right" w:pos="9072"/>
      </w:tabs>
      <w:ind w:left="851" w:hanging="851"/>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8"/>
    <w:rPr>
      <w:rFonts w:ascii="Arial" w:hAnsi="Arial"/>
      <w:color w:val="0000FF"/>
      <w:sz w:val="20"/>
      <w:u w:val="single" w:color="0000FF"/>
    </w:rPr>
  </w:style>
  <w:style w:type="paragraph" w:styleId="Standardeinzug">
    <w:name w:val="Normal Indent"/>
    <w:basedOn w:val="Standard"/>
    <w:uiPriority w:val="3"/>
    <w:qFormat/>
    <w:pPr>
      <w:ind w:left="851"/>
    </w:pPr>
  </w:style>
  <w:style w:type="paragraph" w:styleId="Aufzhlungszeichen">
    <w:name w:val="List Bullet"/>
    <w:basedOn w:val="Standard"/>
    <w:uiPriority w:val="4"/>
    <w:qFormat/>
    <w:pPr>
      <w:numPr>
        <w:numId w:val="3"/>
      </w:numPr>
      <w:tabs>
        <w:tab w:val="clear" w:pos="360"/>
        <w:tab w:val="left" w:pos="284"/>
      </w:tabs>
    </w:pPr>
  </w:style>
  <w:style w:type="paragraph" w:styleId="Liste">
    <w:name w:val="List"/>
    <w:basedOn w:val="Standard"/>
    <w:uiPriority w:val="98"/>
    <w:pPr>
      <w:numPr>
        <w:numId w:val="12"/>
      </w:numPr>
    </w:pPr>
  </w:style>
  <w:style w:type="paragraph" w:styleId="Liste2">
    <w:name w:val="List 2"/>
    <w:basedOn w:val="Liste"/>
    <w:uiPriority w:val="98"/>
    <w:pPr>
      <w:numPr>
        <w:numId w:val="0"/>
      </w:numPr>
      <w:tabs>
        <w:tab w:val="left" w:pos="567"/>
      </w:tabs>
    </w:pPr>
  </w:style>
  <w:style w:type="paragraph" w:styleId="Liste3">
    <w:name w:val="List 3"/>
    <w:basedOn w:val="Liste"/>
    <w:uiPriority w:val="98"/>
    <w:pPr>
      <w:numPr>
        <w:numId w:val="0"/>
      </w:numPr>
      <w:tabs>
        <w:tab w:val="left" w:pos="851"/>
      </w:tabs>
    </w:pPr>
  </w:style>
  <w:style w:type="paragraph" w:styleId="Liste4">
    <w:name w:val="List 4"/>
    <w:basedOn w:val="Liste"/>
    <w:uiPriority w:val="98"/>
    <w:pPr>
      <w:numPr>
        <w:numId w:val="0"/>
      </w:numPr>
      <w:tabs>
        <w:tab w:val="left" w:pos="1134"/>
      </w:tabs>
    </w:pPr>
  </w:style>
  <w:style w:type="paragraph" w:styleId="Liste5">
    <w:name w:val="List 5"/>
    <w:basedOn w:val="Liste"/>
    <w:uiPriority w:val="98"/>
    <w:pPr>
      <w:numPr>
        <w:numId w:val="0"/>
      </w:numPr>
      <w:tabs>
        <w:tab w:val="left" w:pos="1418"/>
      </w:tabs>
    </w:pPr>
  </w:style>
  <w:style w:type="paragraph" w:styleId="Listenfortsetzung">
    <w:name w:val="List Continue"/>
    <w:basedOn w:val="Standard"/>
    <w:autoRedefine/>
    <w:uiPriority w:val="98"/>
    <w:pPr>
      <w:ind w:left="284"/>
    </w:pPr>
  </w:style>
  <w:style w:type="paragraph" w:styleId="Listenfortsetzung2">
    <w:name w:val="List Continue 2"/>
    <w:basedOn w:val="Listenfortsetzung"/>
    <w:autoRedefine/>
    <w:uiPriority w:val="98"/>
    <w:pPr>
      <w:ind w:left="567"/>
    </w:pPr>
  </w:style>
  <w:style w:type="paragraph" w:styleId="Listenfortsetzung3">
    <w:name w:val="List Continue 3"/>
    <w:basedOn w:val="Listenfortsetzung"/>
    <w:autoRedefine/>
    <w:uiPriority w:val="98"/>
    <w:pPr>
      <w:ind w:left="851"/>
    </w:pPr>
  </w:style>
  <w:style w:type="paragraph" w:styleId="Listenfortsetzung4">
    <w:name w:val="List Continue 4"/>
    <w:basedOn w:val="Listenfortsetzung"/>
    <w:autoRedefine/>
    <w:uiPriority w:val="98"/>
    <w:pPr>
      <w:ind w:left="1134"/>
    </w:pPr>
  </w:style>
  <w:style w:type="paragraph" w:styleId="Listenfortsetzung5">
    <w:name w:val="List Continue 5"/>
    <w:basedOn w:val="Listenfortsetzung"/>
    <w:autoRedefine/>
    <w:uiPriority w:val="98"/>
    <w:pPr>
      <w:ind w:left="1418"/>
    </w:pPr>
  </w:style>
  <w:style w:type="paragraph" w:styleId="Listennummer">
    <w:name w:val="List Number"/>
    <w:basedOn w:val="Liste"/>
    <w:uiPriority w:val="7"/>
    <w:qFormat/>
    <w:pPr>
      <w:numPr>
        <w:numId w:val="13"/>
      </w:numPr>
    </w:pPr>
  </w:style>
  <w:style w:type="paragraph" w:styleId="Listennummer2">
    <w:name w:val="List Number 2"/>
    <w:basedOn w:val="Liste"/>
    <w:uiPriority w:val="7"/>
    <w:qFormat/>
    <w:pPr>
      <w:numPr>
        <w:numId w:val="8"/>
      </w:numPr>
    </w:pPr>
  </w:style>
  <w:style w:type="paragraph" w:styleId="Listennummer3">
    <w:name w:val="List Number 3"/>
    <w:basedOn w:val="Liste"/>
    <w:uiPriority w:val="7"/>
    <w:qFormat/>
    <w:pPr>
      <w:numPr>
        <w:numId w:val="9"/>
      </w:numPr>
    </w:pPr>
  </w:style>
  <w:style w:type="paragraph" w:styleId="Listennummer4">
    <w:name w:val="List Number 4"/>
    <w:basedOn w:val="Liste"/>
    <w:uiPriority w:val="7"/>
    <w:pPr>
      <w:numPr>
        <w:numId w:val="10"/>
      </w:numPr>
    </w:pPr>
  </w:style>
  <w:style w:type="paragraph" w:styleId="Listennummer5">
    <w:name w:val="List Number 5"/>
    <w:basedOn w:val="Liste"/>
    <w:uiPriority w:val="7"/>
    <w:pPr>
      <w:numPr>
        <w:numId w:val="11"/>
      </w:numPr>
      <w:tabs>
        <w:tab w:val="left" w:pos="1418"/>
      </w:tabs>
    </w:pPr>
  </w:style>
  <w:style w:type="paragraph" w:styleId="NurText">
    <w:name w:val="Plain Text"/>
    <w:basedOn w:val="Standard"/>
    <w:uiPriority w:val="98"/>
    <w:rPr>
      <w:rFonts w:cs="Courier New"/>
    </w:rPr>
  </w:style>
  <w:style w:type="character" w:styleId="Seitenzahl">
    <w:name w:val="page number"/>
    <w:basedOn w:val="Absatz-Standardschriftart"/>
    <w:rPr>
      <w:rFonts w:ascii="Arial" w:hAnsi="Arial"/>
      <w:sz w:val="20"/>
    </w:rPr>
  </w:style>
  <w:style w:type="paragraph" w:styleId="StandardWeb">
    <w:name w:val="Normal (Web)"/>
    <w:basedOn w:val="Standard"/>
    <w:uiPriority w:val="98"/>
    <w:rPr>
      <w:sz w:val="24"/>
      <w:szCs w:val="24"/>
    </w:rPr>
  </w:style>
  <w:style w:type="paragraph" w:styleId="Aufzhlungszeichen2">
    <w:name w:val="List Bullet 2"/>
    <w:basedOn w:val="Aufzhlungszeichen"/>
    <w:uiPriority w:val="4"/>
    <w:qFormat/>
    <w:pPr>
      <w:numPr>
        <w:numId w:val="4"/>
      </w:numPr>
      <w:tabs>
        <w:tab w:val="clear" w:pos="284"/>
        <w:tab w:val="clear" w:pos="644"/>
        <w:tab w:val="left" w:pos="567"/>
      </w:tabs>
    </w:pPr>
  </w:style>
  <w:style w:type="paragraph" w:styleId="Aufzhlungszeichen3">
    <w:name w:val="List Bullet 3"/>
    <w:basedOn w:val="Aufzhlungszeichen"/>
    <w:uiPriority w:val="4"/>
    <w:qFormat/>
    <w:pPr>
      <w:numPr>
        <w:numId w:val="5"/>
      </w:numPr>
      <w:tabs>
        <w:tab w:val="clear" w:pos="284"/>
        <w:tab w:val="clear" w:pos="1135"/>
        <w:tab w:val="left" w:pos="851"/>
      </w:tabs>
      <w:ind w:left="851"/>
    </w:pPr>
  </w:style>
  <w:style w:type="paragraph" w:styleId="Aufzhlungszeichen4">
    <w:name w:val="List Bullet 4"/>
    <w:basedOn w:val="Aufzhlungszeichen"/>
    <w:uiPriority w:val="4"/>
    <w:pPr>
      <w:numPr>
        <w:numId w:val="6"/>
      </w:numPr>
      <w:tabs>
        <w:tab w:val="clear" w:pos="284"/>
      </w:tabs>
    </w:pPr>
  </w:style>
  <w:style w:type="paragraph" w:styleId="Aufzhlungszeichen5">
    <w:name w:val="List Bullet 5"/>
    <w:basedOn w:val="Aufzhlungszeichen"/>
    <w:uiPriority w:val="4"/>
    <w:pPr>
      <w:numPr>
        <w:numId w:val="7"/>
      </w:numPr>
      <w:tabs>
        <w:tab w:val="clear" w:pos="284"/>
      </w:tabs>
    </w:pPr>
  </w:style>
  <w:style w:type="character" w:styleId="BesuchterLink">
    <w:name w:val="FollowedHyperlink"/>
    <w:basedOn w:val="Absatz-Standardschriftart"/>
    <w:uiPriority w:val="98"/>
    <w:rPr>
      <w:rFonts w:ascii="Arial" w:hAnsi="Arial"/>
      <w:color w:val="993366"/>
      <w:sz w:val="20"/>
      <w:u w:val="single" w:color="993366"/>
    </w:rPr>
  </w:style>
  <w:style w:type="paragraph" w:styleId="Anrede">
    <w:name w:val="Salutation"/>
    <w:basedOn w:val="Standard"/>
    <w:next w:val="Standard"/>
    <w:uiPriority w:val="98"/>
  </w:style>
  <w:style w:type="character" w:styleId="Fett">
    <w:name w:val="Strong"/>
    <w:basedOn w:val="Absatz-Standardschriftart"/>
    <w:uiPriority w:val="11"/>
    <w:rPr>
      <w:rFonts w:ascii="Arial" w:hAnsi="Arial"/>
      <w:b/>
      <w:bCs/>
      <w:sz w:val="20"/>
    </w:rPr>
  </w:style>
  <w:style w:type="paragraph" w:styleId="Gruformel">
    <w:name w:val="Closing"/>
    <w:basedOn w:val="Standard"/>
    <w:uiPriority w:val="9"/>
    <w:pPr>
      <w:ind w:left="4252"/>
    </w:pPr>
  </w:style>
  <w:style w:type="paragraph" w:styleId="Textkrper">
    <w:name w:val="Body Text"/>
    <w:basedOn w:val="Standard"/>
    <w:uiPriority w:val="98"/>
    <w:locked/>
    <w:pPr>
      <w:spacing w:after="120"/>
    </w:pPr>
  </w:style>
  <w:style w:type="paragraph" w:styleId="Textkrper2">
    <w:name w:val="Body Text 2"/>
    <w:basedOn w:val="Textkrper"/>
    <w:uiPriority w:val="98"/>
    <w:locked/>
  </w:style>
  <w:style w:type="paragraph" w:styleId="Textkrper3">
    <w:name w:val="Body Text 3"/>
    <w:basedOn w:val="Textkrper"/>
    <w:uiPriority w:val="98"/>
    <w:locked/>
    <w:rPr>
      <w:sz w:val="16"/>
      <w:szCs w:val="16"/>
    </w:rPr>
  </w:style>
  <w:style w:type="paragraph" w:styleId="Textkrper-Einzug2">
    <w:name w:val="Body Text Indent 2"/>
    <w:basedOn w:val="Standard"/>
    <w:uiPriority w:val="98"/>
    <w:locked/>
    <w:pPr>
      <w:spacing w:after="120" w:line="480" w:lineRule="auto"/>
      <w:ind w:left="283"/>
    </w:pPr>
  </w:style>
  <w:style w:type="paragraph" w:styleId="Textkrper-Einzug3">
    <w:name w:val="Body Text Indent 3"/>
    <w:basedOn w:val="Standard"/>
    <w:uiPriority w:val="98"/>
    <w:locked/>
    <w:pPr>
      <w:spacing w:after="120"/>
      <w:ind w:left="284"/>
    </w:pPr>
    <w:rPr>
      <w:szCs w:val="16"/>
    </w:rPr>
  </w:style>
  <w:style w:type="paragraph" w:styleId="Textkrper-Erstzeileneinzug">
    <w:name w:val="Body Text First Indent"/>
    <w:basedOn w:val="Textkrper"/>
    <w:uiPriority w:val="98"/>
    <w:locked/>
    <w:pPr>
      <w:ind w:firstLine="210"/>
    </w:pPr>
  </w:style>
  <w:style w:type="paragraph" w:styleId="Textkrper-Zeileneinzug">
    <w:name w:val="Body Text Indent"/>
    <w:basedOn w:val="Standard"/>
    <w:uiPriority w:val="98"/>
    <w:locked/>
    <w:pPr>
      <w:ind w:left="284"/>
    </w:pPr>
  </w:style>
  <w:style w:type="paragraph" w:styleId="Textkrper-Erstzeileneinzug2">
    <w:name w:val="Body Text First Indent 2"/>
    <w:basedOn w:val="Textkrper-Zeileneinzug"/>
    <w:uiPriority w:val="98"/>
    <w:locked/>
    <w:pPr>
      <w:ind w:firstLine="284"/>
    </w:pPr>
  </w:style>
  <w:style w:type="paragraph" w:styleId="Umschlagabsenderadresse">
    <w:name w:val="envelope return"/>
    <w:basedOn w:val="Standard"/>
    <w:uiPriority w:val="98"/>
    <w:locked/>
  </w:style>
  <w:style w:type="character" w:styleId="Zeilennummer">
    <w:name w:val="line number"/>
    <w:basedOn w:val="Absatz-Standardschriftart"/>
    <w:uiPriority w:val="98"/>
    <w:locked/>
    <w:rPr>
      <w:rFonts w:ascii="Arial" w:hAnsi="Arial"/>
    </w:rPr>
  </w:style>
  <w:style w:type="paragraph" w:customStyle="1" w:styleId="Einzugllinks1cm">
    <w:name w:val="Einzug llinks 1 cm"/>
    <w:basedOn w:val="Standard"/>
    <w:uiPriority w:val="98"/>
    <w:pPr>
      <w:ind w:left="568"/>
    </w:pPr>
    <w:rPr>
      <w:noProof/>
    </w:rPr>
  </w:style>
  <w:style w:type="paragraph" w:customStyle="1" w:styleId="Einzuglinks1cm">
    <w:name w:val="Einzug links 1 cm"/>
    <w:basedOn w:val="Einzugllinks1cm"/>
    <w:uiPriority w:val="5"/>
  </w:style>
  <w:style w:type="paragraph" w:customStyle="1" w:styleId="Einzuglinks2cm">
    <w:name w:val="Einzug links 2 cm"/>
    <w:basedOn w:val="Einzuglinks1cm"/>
    <w:uiPriority w:val="5"/>
    <w:pPr>
      <w:ind w:left="1136"/>
    </w:pPr>
  </w:style>
  <w:style w:type="paragraph" w:customStyle="1" w:styleId="Einzuglinks3cm">
    <w:name w:val="Einzug links 3 cm"/>
    <w:basedOn w:val="Einzuglinks2cm"/>
    <w:uiPriority w:val="5"/>
    <w:pPr>
      <w:ind w:left="1701"/>
    </w:pPr>
  </w:style>
  <w:style w:type="paragraph" w:styleId="Datum">
    <w:name w:val="Date"/>
    <w:basedOn w:val="Standard"/>
    <w:next w:val="Standard"/>
    <w:uiPriority w:val="98"/>
  </w:style>
  <w:style w:type="paragraph" w:customStyle="1" w:styleId="EFKMarginalien">
    <w:name w:val="EFK Marginalien"/>
    <w:basedOn w:val="Standard"/>
    <w:uiPriority w:val="5"/>
    <w:qFormat/>
    <w:rPr>
      <w:rFonts w:ascii="Arial Narrow" w:hAnsi="Arial Narrow"/>
      <w:i/>
      <w:sz w:val="17"/>
    </w:rPr>
  </w:style>
  <w:style w:type="paragraph" w:customStyle="1" w:styleId="EFKAbsenderinfo">
    <w:name w:val="EFK Absenderinfo"/>
    <w:basedOn w:val="EFKMarginalien"/>
    <w:uiPriority w:val="5"/>
    <w:qFormat/>
    <w:pPr>
      <w:tabs>
        <w:tab w:val="right" w:pos="8789"/>
        <w:tab w:val="left" w:pos="9015"/>
      </w:tabs>
    </w:pPr>
  </w:style>
  <w:style w:type="paragraph" w:customStyle="1" w:styleId="Beilage1">
    <w:name w:val="Beilage1"/>
    <w:basedOn w:val="Titel"/>
    <w:next w:val="Beilage2"/>
    <w:uiPriority w:val="9"/>
    <w:qFormat/>
    <w:pPr>
      <w:keepNext/>
      <w:keepLines/>
      <w:overflowPunct w:val="0"/>
      <w:autoSpaceDE w:val="0"/>
      <w:autoSpaceDN w:val="0"/>
      <w:adjustRightInd w:val="0"/>
      <w:spacing w:before="360" w:line="240" w:lineRule="auto"/>
      <w:textAlignment w:val="baseline"/>
      <w:outlineLvl w:val="9"/>
    </w:pPr>
    <w:rPr>
      <w:rFonts w:cs="Times New Roman"/>
      <w:bCs w:val="0"/>
      <w:smallCaps/>
      <w:lang w:eastAsia="de-DE"/>
    </w:rPr>
  </w:style>
  <w:style w:type="paragraph" w:customStyle="1" w:styleId="Beilage2">
    <w:name w:val="Beilage2"/>
    <w:basedOn w:val="Standard"/>
    <w:uiPriority w:val="9"/>
    <w:qFormat/>
    <w:pPr>
      <w:overflowPunct w:val="0"/>
      <w:autoSpaceDE w:val="0"/>
      <w:autoSpaceDN w:val="0"/>
      <w:adjustRightInd w:val="0"/>
      <w:spacing w:line="240" w:lineRule="auto"/>
      <w:ind w:left="283" w:hanging="283"/>
      <w:textAlignment w:val="baseline"/>
    </w:pPr>
    <w:rPr>
      <w:lang w:eastAsia="de-DE"/>
    </w:rPr>
  </w:style>
  <w:style w:type="paragraph" w:customStyle="1" w:styleId="Kastenlliste">
    <w:name w:val="Kastenlliste"/>
    <w:basedOn w:val="Liste"/>
    <w:uiPriority w:val="8"/>
    <w:qFormat/>
    <w:pPr>
      <w:numPr>
        <w:numId w:val="0"/>
      </w:numPr>
      <w:pBdr>
        <w:top w:val="single" w:sz="4" w:space="1" w:color="auto"/>
        <w:left w:val="single" w:sz="4" w:space="4" w:color="auto"/>
        <w:bottom w:val="single" w:sz="4" w:space="1" w:color="auto"/>
        <w:right w:val="single" w:sz="4" w:space="4" w:color="auto"/>
      </w:pBdr>
      <w:shd w:val="clear" w:color="auto" w:fill="D9D9D9"/>
    </w:pPr>
  </w:style>
  <w:style w:type="paragraph" w:customStyle="1" w:styleId="Empfehlung">
    <w:name w:val="Empfehlung"/>
    <w:basedOn w:val="Standard"/>
    <w:uiPriority w:val="5"/>
    <w:pPr>
      <w:pBdr>
        <w:top w:val="single" w:sz="4" w:space="1" w:color="auto"/>
        <w:left w:val="single" w:sz="4" w:space="4" w:color="auto"/>
        <w:bottom w:val="single" w:sz="4" w:space="1" w:color="auto"/>
        <w:right w:val="single" w:sz="4" w:space="4" w:color="auto"/>
      </w:pBdr>
      <w:shd w:val="clear" w:color="auto" w:fill="D9D9D9"/>
    </w:pPr>
  </w:style>
  <w:style w:type="paragraph" w:customStyle="1" w:styleId="KastenNummerierung">
    <w:name w:val="Kasten_Nummerierung"/>
    <w:basedOn w:val="Listennummer"/>
    <w:uiPriority w:val="98"/>
    <w:pPr>
      <w:numPr>
        <w:numId w:val="17"/>
      </w:numPr>
      <w:pBdr>
        <w:top w:val="single" w:sz="4" w:space="1" w:color="auto"/>
        <w:left w:val="single" w:sz="4" w:space="4" w:color="auto"/>
        <w:bottom w:val="single" w:sz="4" w:space="1" w:color="auto"/>
        <w:right w:val="single" w:sz="4" w:space="4" w:color="auto"/>
      </w:pBdr>
      <w:shd w:val="clear" w:color="auto" w:fill="D9D9D9"/>
      <w:tabs>
        <w:tab w:val="left" w:pos="567"/>
      </w:tabs>
      <w:ind w:left="567" w:hanging="567"/>
    </w:pPr>
  </w:style>
  <w:style w:type="paragraph" w:customStyle="1" w:styleId="ProvZeile">
    <w:name w:val="ProvZeile"/>
    <w:basedOn w:val="Standard"/>
    <w:uiPriority w:val="98"/>
    <w:pPr>
      <w:tabs>
        <w:tab w:val="left" w:pos="5964"/>
      </w:tabs>
      <w:spacing w:line="240" w:lineRule="auto"/>
    </w:pPr>
    <w:rPr>
      <w:szCs w:val="24"/>
      <w:lang w:val="de-DE" w:eastAsia="de-DE"/>
    </w:rPr>
  </w:style>
  <w:style w:type="character" w:styleId="Hervorhebung">
    <w:name w:val="Emphasis"/>
    <w:basedOn w:val="Absatz-Standardschriftart"/>
    <w:uiPriority w:val="98"/>
    <w:locked/>
    <w:rPr>
      <w:i/>
      <w:iCs/>
    </w:rPr>
  </w:style>
  <w:style w:type="paragraph" w:styleId="Abbildungsverzeichnis">
    <w:name w:val="table of figures"/>
    <w:basedOn w:val="Standard"/>
    <w:next w:val="Standard"/>
    <w:uiPriority w:val="6"/>
    <w:qFormat/>
  </w:style>
  <w:style w:type="paragraph" w:styleId="Listenabsatz">
    <w:name w:val="List Paragraph"/>
    <w:basedOn w:val="Standard"/>
    <w:uiPriority w:val="98"/>
    <w:pPr>
      <w:contextualSpacing/>
    </w:pPr>
  </w:style>
  <w:style w:type="paragraph" w:styleId="Kommentartext">
    <w:name w:val="annotation text"/>
    <w:basedOn w:val="Standard"/>
    <w:link w:val="KommentartextZchn"/>
    <w:uiPriority w:val="98"/>
    <w:qFormat/>
    <w:pPr>
      <w:spacing w:line="240" w:lineRule="auto"/>
    </w:pPr>
  </w:style>
  <w:style w:type="character" w:customStyle="1" w:styleId="KommentartextZchn">
    <w:name w:val="Kommentartext Zchn"/>
    <w:basedOn w:val="Absatz-Standardschriftart"/>
    <w:link w:val="Kommentartext"/>
    <w:uiPriority w:val="98"/>
    <w:rPr>
      <w:rFonts w:cs="Arial"/>
      <w:lang w:eastAsia="en-US"/>
    </w:rPr>
  </w:style>
  <w:style w:type="paragraph" w:styleId="Kommentarthema">
    <w:name w:val="annotation subject"/>
    <w:basedOn w:val="Kommentartext"/>
    <w:next w:val="Kommentartext"/>
    <w:link w:val="KommentarthemaZchn"/>
    <w:uiPriority w:val="98"/>
    <w:rPr>
      <w:b/>
      <w:bCs/>
    </w:rPr>
  </w:style>
  <w:style w:type="character" w:customStyle="1" w:styleId="KommentarthemaZchn">
    <w:name w:val="Kommentarthema Zchn"/>
    <w:basedOn w:val="KommentartextZchn"/>
    <w:link w:val="Kommentarthema"/>
    <w:uiPriority w:val="98"/>
    <w:rPr>
      <w:rFonts w:cs="Arial"/>
      <w:b/>
      <w:bCs/>
      <w:lang w:eastAsia="en-US"/>
    </w:rPr>
  </w:style>
  <w:style w:type="paragraph" w:customStyle="1" w:styleId="KastenlistemitAufzhlung">
    <w:name w:val="Kastenliste mit Aufzählung"/>
    <w:basedOn w:val="Kastenlliste"/>
    <w:uiPriority w:val="8"/>
    <w:qFormat/>
    <w:pPr>
      <w:numPr>
        <w:numId w:val="20"/>
      </w:numPr>
      <w:ind w:left="567" w:hanging="567"/>
    </w:pPr>
  </w:style>
  <w:style w:type="paragraph" w:styleId="Sprechblasentext">
    <w:name w:val="Balloon Text"/>
    <w:basedOn w:val="Standard"/>
    <w:link w:val="SprechblasentextZchn"/>
    <w:uiPriority w:val="9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8"/>
    <w:rPr>
      <w:rFonts w:ascii="Tahoma" w:hAnsi="Tahoma" w:cs="Tahoma"/>
      <w:sz w:val="16"/>
      <w:szCs w:val="16"/>
      <w:lang w:eastAsia="en-US"/>
    </w:rPr>
  </w:style>
  <w:style w:type="character" w:customStyle="1" w:styleId="TitelZchn">
    <w:name w:val="Titel Zchn"/>
    <w:basedOn w:val="Absatz-Standardschriftart"/>
    <w:link w:val="Titel"/>
    <w:rPr>
      <w:rFonts w:ascii="Arial Black" w:hAnsi="Arial Black" w:cs="Arial"/>
      <w:bCs/>
      <w:kern w:val="28"/>
      <w:lang w:eastAsia="en-US"/>
    </w:rPr>
  </w:style>
  <w:style w:type="character" w:styleId="Kommentarzeichen">
    <w:name w:val="annotation reference"/>
    <w:basedOn w:val="Absatz-Standardschriftart"/>
    <w:uiPriority w:val="98"/>
    <w:semiHidden/>
    <w:unhideWhenUsed/>
    <w:rsid w:val="00EB23EB"/>
    <w:rPr>
      <w:sz w:val="16"/>
      <w:szCs w:val="16"/>
    </w:rPr>
  </w:style>
  <w:style w:type="paragraph" w:styleId="Beschriftung">
    <w:name w:val="caption"/>
    <w:basedOn w:val="Standard"/>
    <w:next w:val="Standard"/>
    <w:unhideWhenUsed/>
    <w:qFormat/>
    <w:rsid w:val="004A48EB"/>
    <w:pPr>
      <w:spacing w:after="200" w:line="240" w:lineRule="auto"/>
    </w:pPr>
    <w:rPr>
      <w:i/>
      <w:iCs/>
      <w:color w:val="1F497D" w:themeColor="text2"/>
      <w:sz w:val="18"/>
      <w:szCs w:val="18"/>
    </w:rPr>
  </w:style>
  <w:style w:type="paragraph" w:styleId="berarbeitung">
    <w:name w:val="Revision"/>
    <w:hidden/>
    <w:uiPriority w:val="99"/>
    <w:semiHidden/>
    <w:rsid w:val="00B309AD"/>
    <w:pPr>
      <w:spacing w:line="240" w:lineRule="auto"/>
    </w:pPr>
    <w:rPr>
      <w:rFonts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64673">
      <w:bodyDiv w:val="1"/>
      <w:marLeft w:val="0"/>
      <w:marRight w:val="0"/>
      <w:marTop w:val="0"/>
      <w:marBottom w:val="0"/>
      <w:divBdr>
        <w:top w:val="none" w:sz="0" w:space="0" w:color="auto"/>
        <w:left w:val="none" w:sz="0" w:space="0" w:color="auto"/>
        <w:bottom w:val="none" w:sz="0" w:space="0" w:color="auto"/>
        <w:right w:val="none" w:sz="0" w:space="0" w:color="auto"/>
      </w:divBdr>
    </w:div>
    <w:div w:id="1558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5D19-4BB3-4E67-B416-D699C2AE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1163</Words>
  <Characters>8025</Characters>
  <Application>Microsoft Office Word</Application>
  <DocSecurity>0</DocSecurity>
  <Lines>66</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EDU Consult GmbH</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Schneuwly Claudia EFK</dc:creator>
  <cp:lastModifiedBy>Ryan Gregory EFK</cp:lastModifiedBy>
  <cp:revision>2</cp:revision>
  <cp:lastPrinted>2022-12-13T09:31:00Z</cp:lastPrinted>
  <dcterms:created xsi:type="dcterms:W3CDTF">2025-05-26T15:45:00Z</dcterms:created>
  <dcterms:modified xsi:type="dcterms:W3CDTF">2025-05-26T15:45:00Z</dcterms:modified>
</cp:coreProperties>
</file>