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80" w:after="160"/>
      </w:pPr>
      <w:r>
        <w:rPr>
          <w:rFonts w:ascii="Calibri" w:hAnsi="Calibri"/>
          <w:b/>
          <w:color w:val="1A365D"/>
          <w:sz w:val="44"/>
        </w:rPr>
        <w:t>Med-Link: Project Report</w:t>
      </w:r>
    </w:p>
    <w:p>
      <w:pPr>
        <w:pStyle w:val="Heading2"/>
        <w:spacing w:before="240" w:after="120"/>
      </w:pPr>
      <w:r>
        <w:rPr>
          <w:rFonts w:ascii="Calibri" w:hAnsi="Calibri"/>
          <w:b/>
          <w:color w:val="2B6CB0"/>
          <w:sz w:val="32"/>
        </w:rPr>
        <w:t>What is Med-Link?</w:t>
      </w:r>
    </w:p>
    <w:p>
      <w:pPr>
        <w:spacing w:before="40" w:after="80" w:line="276" w:lineRule="auto"/>
      </w:pPr>
      <w:r>
        <w:t>Med-Link is a platform that allows hospitals to work together on medical research without sharing their patients' private data with each other.</w:t>
      </w:r>
    </w:p>
    <w:p>
      <w:pPr>
        <w:spacing w:before="40" w:after="80" w:line="276" w:lineRule="auto"/>
      </w:pPr>
      <w:r>
        <w:t>Today, if a researcher wants to study a disease like breast cancer using genetic data, they need samples from thousands of patients across multiple ethnic backgrounds to get reliable results. But privacy laws like HIPAA (in the US) and GDPR (in Europe) make it illegal or extremely difficult for hospitals to send patient records to a central database. This means most genetic studies end up using small, single-hospital datasets that produce weak, biased results.</w:t>
      </w:r>
    </w:p>
    <w:p>
      <w:pPr>
        <w:spacing w:before="40" w:after="80" w:line="276" w:lineRule="auto"/>
      </w:pPr>
      <w:r>
        <w:t>Med-Link solves this by flipping the approach: instead of bringing patient data to the researcher, it brings the researcher's analysis to the patient data. Each hospital runs the analysis on its own patients inside its own walls, and only shares the mathematical results (not the patient information) with a central coordinator. The coordinator combines these results to produce a study that is as powerful as if all the data had been pooled together -- but no patient record ever leaves the hospital.</w:t>
      </w:r>
    </w:p>
    <w:p>
      <w:pPr>
        <w:spacing w:before="120" w:after="120"/>
      </w:pPr>
      <w:r>
        <w:rPr>
          <w:color w:val="E2E8F0"/>
        </w:rPr>
        <w:t>_______________________________________________________________________________</w:t>
      </w:r>
    </w:p>
    <w:p>
      <w:pPr>
        <w:pStyle w:val="Heading2"/>
        <w:spacing w:before="240" w:after="120"/>
      </w:pPr>
      <w:r>
        <w:rPr>
          <w:rFonts w:ascii="Calibri" w:hAnsi="Calibri"/>
          <w:b/>
          <w:color w:val="2B6CB0"/>
          <w:sz w:val="32"/>
        </w:rPr>
        <w:t>Why Does This Matter?</w:t>
      </w:r>
    </w:p>
    <w:p>
      <w:pPr>
        <w:pStyle w:val="Heading3"/>
        <w:spacing w:before="200" w:after="80"/>
      </w:pPr>
      <w:r>
        <w:rPr>
          <w:rFonts w:ascii="Calibri" w:hAnsi="Calibri"/>
          <w:b/>
          <w:color w:val="2D3748"/>
          <w:sz w:val="26"/>
        </w:rPr>
        <w:t>The Privacy Problem</w:t>
      </w:r>
    </w:p>
    <w:p>
      <w:pPr>
        <w:spacing w:before="40" w:after="80" w:line="276" w:lineRule="auto"/>
      </w:pPr>
      <w:r>
        <w:t>Hospitals hold some of the most sensitive information that exists about a person -- their DNA, their medical diagnoses, their medications. Sharing this data, even for research, carries enormous legal and ethical risks. A single data breach involving genetic information cannot be undone (you cannot change your DNA like you can change a password). This fear of liability means hospitals default to not collaborating at all, even when collaboration could save lives.</w:t>
      </w:r>
    </w:p>
    <w:p>
      <w:pPr>
        <w:pStyle w:val="Heading3"/>
        <w:spacing w:before="200" w:after="80"/>
      </w:pPr>
      <w:r>
        <w:rPr>
          <w:rFonts w:ascii="Calibri" w:hAnsi="Calibri"/>
          <w:b/>
          <w:color w:val="2D3748"/>
          <w:sz w:val="26"/>
        </w:rPr>
        <w:t>The Bias Problem</w:t>
      </w:r>
    </w:p>
    <w:p>
      <w:pPr>
        <w:spacing w:before="40" w:after="80" w:line="276" w:lineRule="auto"/>
      </w:pPr>
      <w:r>
        <w:t>Because most genetic research has historically been conducted on patients of European descent, the risk prediction tools that doctors use today are significantly less accurate for patients of South Asian, African, and other ancestries. A 2019 study in Nature Genetics found that 93% of participants in genome-wide association studies were of European descent. This means a genetic risk score that works well for a European patient may give dangerously misleading results for a patient of African or South Asian heritage.</w:t>
      </w:r>
    </w:p>
    <w:p>
      <w:pPr>
        <w:spacing w:before="40" w:after="80" w:line="276" w:lineRule="auto"/>
      </w:pPr>
      <w:r>
        <w:t>Med-Link addresses this directly. Each hospital in the network is tagged with the ancestry population it primarily serves (European, South Asian, African), and the platform reports accuracy separately for each group after every round of analysis. If the model is performing poorly for one ancestry group, that gap is immediately visible -- not buried in an overall average.</w:t>
      </w:r>
    </w:p>
    <w:p>
      <w:pPr>
        <w:pStyle w:val="Heading3"/>
        <w:spacing w:before="200" w:after="80"/>
      </w:pPr>
      <w:r>
        <w:rPr>
          <w:rFonts w:ascii="Calibri" w:hAnsi="Calibri"/>
          <w:b/>
          <w:color w:val="2D3748"/>
          <w:sz w:val="26"/>
        </w:rPr>
        <w:t>The Scale Problem</w:t>
      </w:r>
    </w:p>
    <w:p>
      <w:pPr>
        <w:spacing w:before="40" w:after="80" w:line="276" w:lineRule="auto"/>
      </w:pPr>
      <w:r>
        <w:t>Individual hospitals typically have a few hundred patients with any given condition. That is not enough to train reliable prediction models, especially for rare genetic variants. By combining learning across multiple hospitals, Med-Link achieves the statistical power of thousands of patients without any single hospital needing to have that many.</w:t>
      </w:r>
    </w:p>
    <w:p>
      <w:pPr>
        <w:spacing w:before="120" w:after="120"/>
      </w:pPr>
      <w:r>
        <w:rPr>
          <w:color w:val="E2E8F0"/>
        </w:rPr>
        <w:t>_______________________________________________________________________________</w:t>
      </w:r>
    </w:p>
    <w:p>
      <w:pPr>
        <w:pStyle w:val="Heading2"/>
        <w:spacing w:before="240" w:after="120"/>
      </w:pPr>
      <w:r>
        <w:rPr>
          <w:rFonts w:ascii="Calibri" w:hAnsi="Calibri"/>
          <w:b/>
          <w:color w:val="2B6CB0"/>
          <w:sz w:val="32"/>
        </w:rPr>
        <w:t>How Does It Work? (Plain Language)</w:t>
      </w:r>
    </w:p>
    <w:p>
      <w:pPr>
        <w:spacing w:before="40" w:after="80" w:line="276" w:lineRule="auto"/>
      </w:pPr>
      <w:r>
        <w:t>Think of it like a group study session where nobody shares their notes:</w:t>
      </w:r>
    </w:p>
    <w:p>
      <w:pPr>
        <w:pStyle w:val="ListNumber"/>
        <w:spacing w:before="20" w:after="40"/>
      </w:pPr>
      <w:r/>
      <w:r>
        <w:rPr>
          <w:b/>
        </w:rPr>
        <w:t>Setup</w:t>
      </w:r>
      <w:r>
        <w:t>: Three hospitals join the Med-Link network. Each has its own patient database with genetic information, diagnoses, and medication records. None of this data will leave the hospital.</w:t>
      </w:r>
    </w:p>
    <w:p>
      <w:pPr>
        <w:pStyle w:val="ListNumber"/>
        <w:spacing w:before="20" w:after="40"/>
      </w:pPr>
      <w:r/>
      <w:r>
        <w:rPr>
          <w:b/>
        </w:rPr>
        <w:t>Starting Point</w:t>
      </w:r>
      <w:r>
        <w:t>: Med-Link sends each hospital the same blank "answer sheet" -- a mathematical model that has not learned anything yet.</w:t>
      </w:r>
    </w:p>
    <w:p>
      <w:pPr>
        <w:pStyle w:val="ListNumber"/>
        <w:spacing w:before="20" w:after="40"/>
      </w:pPr>
      <w:r/>
      <w:r>
        <w:rPr>
          <w:b/>
        </w:rPr>
        <w:t>Local Study</w:t>
      </w:r>
      <w:r>
        <w:t>: Each hospital uses its own patient data to fill in the answer sheet -- essentially teaching the model what patterns exist in its patients. For example, "patients with this gene variant tend to develop this condition."</w:t>
      </w:r>
    </w:p>
    <w:p>
      <w:pPr>
        <w:pStyle w:val="ListNumber"/>
        <w:spacing w:before="20" w:after="40"/>
      </w:pPr>
      <w:r/>
      <w:r>
        <w:rPr>
          <w:b/>
        </w:rPr>
        <w:t>Privacy Protection</w:t>
      </w:r>
      <w:r>
        <w:t>: Before sending anything back, each hospital adds a small amount of random noise to its answers. This is called "differential privacy" -- it is a mathematical technique that makes it impossible to reverse-engineer any individual patient's information from the submitted answers, while still preserving the overall patterns.</w:t>
      </w:r>
    </w:p>
    <w:p>
      <w:pPr>
        <w:pStyle w:val="ListNumber"/>
        <w:spacing w:before="20" w:after="40"/>
      </w:pPr>
      <w:r/>
      <w:r>
        <w:rPr>
          <w:b/>
        </w:rPr>
        <w:t>Combining Knowledge</w:t>
      </w:r>
      <w:r>
        <w:t>: Med-Link's coordinator receives the noisy answers from all three hospitals and averages them together, weighted by how many patients each hospital contributed. This produces a single improved answer sheet that reflects what all three hospitals collectively know.</w:t>
      </w:r>
    </w:p>
    <w:p>
      <w:pPr>
        <w:pStyle w:val="ListNumber"/>
        <w:spacing w:before="20" w:after="40"/>
      </w:pPr>
      <w:r/>
      <w:r>
        <w:rPr>
          <w:b/>
        </w:rPr>
        <w:t>Sending Back</w:t>
      </w:r>
      <w:r>
        <w:t>: The improved answer sheet is sent back to all hospitals, and the process repeats. With each round, the model gets smarter.</w:t>
      </w:r>
    </w:p>
    <w:p>
      <w:pPr>
        <w:pStyle w:val="ListNumber"/>
        <w:spacing w:before="20" w:after="40"/>
      </w:pPr>
      <w:r/>
      <w:r>
        <w:rPr>
          <w:b/>
        </w:rPr>
        <w:t>Using the Model</w:t>
      </w:r>
      <w:r>
        <w:t>: A researcher can now use the trained model to assess a new patient's risk. The model provides two separate assessments:</w:t>
      </w:r>
    </w:p>
    <w:p>
      <w:pPr>
        <w:pStyle w:val="ListBullet"/>
        <w:spacing w:before="20" w:after="40"/>
      </w:pPr>
      <w:r/>
      <w:r>
        <w:rPr>
          <w:b/>
        </w:rPr>
        <w:t>Monogenic findings</w:t>
      </w:r>
      <w:r>
        <w:t>: Does this patient carry a known high-risk gene variant (like BRCA1 for breast cancer)? Answer: YES or NO with clinical context.</w:t>
      </w:r>
    </w:p>
    <w:p>
      <w:pPr>
        <w:pStyle w:val="ListBullet"/>
        <w:spacing w:before="20" w:after="40"/>
      </w:pPr>
      <w:r/>
      <w:r>
        <w:rPr>
          <w:b/>
        </w:rPr>
        <w:t>Polygenic risk score</w:t>
      </w:r>
      <w:r>
        <w:t>: Where does this patient fall compared to the general population when considering multiple common gene variants together? Answer: a percentile (e.g., "87th percentile -- higher risk than 87% of the population").</w:t>
      </w:r>
    </w:p>
    <w:p>
      <w:pPr>
        <w:spacing w:before="120" w:after="120"/>
      </w:pPr>
      <w:r>
        <w:rPr>
          <w:color w:val="E2E8F0"/>
        </w:rPr>
        <w:t>_______________________________________________________________________________</w:t>
      </w:r>
    </w:p>
    <w:p>
      <w:pPr>
        <w:pStyle w:val="Heading2"/>
        <w:spacing w:before="240" w:after="120"/>
      </w:pPr>
      <w:r>
        <w:rPr>
          <w:rFonts w:ascii="Calibri" w:hAnsi="Calibri"/>
          <w:b/>
          <w:color w:val="2B6CB0"/>
          <w:sz w:val="32"/>
        </w:rPr>
        <w:t>What Can Med-Link Do?</w:t>
      </w:r>
    </w:p>
    <w:p>
      <w:pPr>
        <w:pStyle w:val="Heading3"/>
        <w:spacing w:before="200" w:after="80"/>
      </w:pPr>
      <w:r>
        <w:rPr>
          <w:rFonts w:ascii="Calibri" w:hAnsi="Calibri"/>
          <w:b/>
          <w:color w:val="2D3748"/>
          <w:sz w:val="26"/>
        </w:rPr>
        <w:t>For Researchers</w:t>
      </w:r>
    </w:p>
    <w:p>
      <w:pPr>
        <w:pStyle w:val="ListBullet"/>
        <w:spacing w:before="20" w:after="40"/>
      </w:pPr>
      <w:r>
        <w:t>Run multi-hospital studies without navigating months of data-sharing agreements</w:t>
      </w:r>
    </w:p>
    <w:p>
      <w:pPr>
        <w:pStyle w:val="ListBullet"/>
        <w:spacing w:before="20" w:after="40"/>
      </w:pPr>
      <w:r>
        <w:t>Discover how many patients across the entire network match specific research criteria (e.g., "How many BRCA1 carriers exist across all hospitals?") without seeing any individual patient data</w:t>
      </w:r>
    </w:p>
    <w:p>
      <w:pPr>
        <w:pStyle w:val="ListBullet"/>
        <w:spacing w:before="20" w:after="40"/>
      </w:pPr>
      <w:r>
        <w:t>Get ancestry-specific accuracy reports to ensure their findings apply fairly across populations</w:t>
      </w:r>
    </w:p>
    <w:p>
      <w:pPr>
        <w:pStyle w:val="ListBullet"/>
        <w:spacing w:before="20" w:after="40"/>
      </w:pPr>
      <w:r>
        <w:t>Export results in standard healthcare data formats (FHIR and OMOP) that integrate with existing hospital systems</w:t>
      </w:r>
    </w:p>
    <w:p>
      <w:pPr>
        <w:pStyle w:val="Heading3"/>
        <w:spacing w:before="200" w:after="80"/>
      </w:pPr>
      <w:r>
        <w:rPr>
          <w:rFonts w:ascii="Calibri" w:hAnsi="Calibri"/>
          <w:b/>
          <w:color w:val="2D3748"/>
          <w:sz w:val="26"/>
        </w:rPr>
        <w:t>For Patients</w:t>
      </w:r>
    </w:p>
    <w:p>
      <w:pPr>
        <w:pStyle w:val="ListBullet"/>
        <w:spacing w:before="20" w:after="40"/>
      </w:pPr>
      <w:r>
        <w:t>Their genetic data never leaves their hospital</w:t>
      </w:r>
    </w:p>
    <w:p>
      <w:pPr>
        <w:pStyle w:val="ListBullet"/>
        <w:spacing w:before="20" w:after="40"/>
      </w:pPr>
      <w:r>
        <w:t>They benefit from research that draws on a much larger and more diverse patient population</w:t>
      </w:r>
    </w:p>
    <w:p>
      <w:pPr>
        <w:pStyle w:val="ListBullet"/>
        <w:spacing w:before="20" w:after="40"/>
      </w:pPr>
      <w:r>
        <w:t>Risk assessments are ancestry-aware, reducing the chance of receiving inaccurate results due to ethnic bias</w:t>
      </w:r>
    </w:p>
    <w:p>
      <w:pPr>
        <w:pStyle w:val="Heading3"/>
        <w:spacing w:before="200" w:after="80"/>
      </w:pPr>
      <w:r>
        <w:rPr>
          <w:rFonts w:ascii="Calibri" w:hAnsi="Calibri"/>
          <w:b/>
          <w:color w:val="2D3748"/>
          <w:sz w:val="26"/>
        </w:rPr>
        <w:t>For Hospitals and Institutions</w:t>
      </w:r>
    </w:p>
    <w:p>
      <w:pPr>
        <w:pStyle w:val="ListBullet"/>
        <w:spacing w:before="20" w:after="40"/>
      </w:pPr>
      <w:r>
        <w:t>Participate in large-scale research without legal exposure from data sharing</w:t>
      </w:r>
    </w:p>
    <w:p>
      <w:pPr>
        <w:pStyle w:val="ListBullet"/>
        <w:spacing w:before="20" w:after="40"/>
      </w:pPr>
      <w:r>
        <w:t>Maintain full custody of patient records at all times</w:t>
      </w:r>
    </w:p>
    <w:p>
      <w:pPr>
        <w:pStyle w:val="ListBullet"/>
        <w:spacing w:before="20" w:after="40"/>
      </w:pPr>
      <w:r>
        <w:t>Contribute to and benefit from collective medical knowledge</w:t>
      </w:r>
    </w:p>
    <w:p>
      <w:pPr>
        <w:pStyle w:val="ListBullet"/>
        <w:spacing w:before="20" w:after="40"/>
      </w:pPr>
      <w:r>
        <w:t>Meet regulatory compliance requirements (HIPAA, GDPR) by design rather than by workaround</w:t>
      </w:r>
    </w:p>
    <w:p>
      <w:pPr>
        <w:spacing w:before="120" w:after="120"/>
      </w:pPr>
      <w:r>
        <w:rPr>
          <w:color w:val="E2E8F0"/>
        </w:rPr>
        <w:t>_______________________________________________________________________________</w:t>
      </w:r>
    </w:p>
    <w:p>
      <w:pPr>
        <w:pStyle w:val="Heading2"/>
        <w:spacing w:before="240" w:after="120"/>
      </w:pPr>
      <w:r>
        <w:rPr>
          <w:rFonts w:ascii="Calibri" w:hAnsi="Calibri"/>
          <w:b/>
          <w:color w:val="2B6CB0"/>
          <w:sz w:val="32"/>
        </w:rPr>
        <w:t>What Data Does Med-Link Use?</w:t>
      </w:r>
    </w:p>
    <w:p>
      <w:pPr>
        <w:spacing w:before="40" w:after="80" w:line="276" w:lineRule="auto"/>
      </w:pPr>
      <w:r>
        <w:t>Med-Link's current dataset is built from publicly available genomic databases:</w:t>
      </w:r>
    </w:p>
    <w:p>
      <w:pPr>
        <w:pStyle w:val="ListBullet"/>
        <w:spacing w:before="20" w:after="40"/>
      </w:pPr>
      <w:r/>
      <w:r>
        <w:rPr>
          <w:b/>
        </w:rPr>
        <w:t>1000 Genomes Project</w:t>
      </w:r>
      <w:r>
        <w:t xml:space="preserve"> -- provides the multi-ancestry population structure (European, South Asian, African cohorts)</w:t>
      </w:r>
    </w:p>
    <w:p>
      <w:pPr>
        <w:pStyle w:val="ListBullet"/>
        <w:spacing w:before="20" w:after="40"/>
      </w:pPr>
      <w:r/>
      <w:r>
        <w:rPr>
          <w:b/>
        </w:rPr>
        <w:t>ClinVar</w:t>
      </w:r>
      <w:r>
        <w:t xml:space="preserve"> (NCBI) -- provides clinical significance classifications for gene variants (which variants are known to cause disease)</w:t>
      </w:r>
    </w:p>
    <w:p>
      <w:pPr>
        <w:pStyle w:val="ListBullet"/>
        <w:spacing w:before="20" w:after="40"/>
      </w:pPr>
      <w:r/>
      <w:r>
        <w:rPr>
          <w:b/>
        </w:rPr>
        <w:t>Ensembl</w:t>
      </w:r>
      <w:r>
        <w:t xml:space="preserve"> (EMBL-EBI) -- provides gene coordinates and variant annotations</w:t>
      </w:r>
    </w:p>
    <w:p>
      <w:pPr>
        <w:spacing w:before="40" w:after="80" w:line="276" w:lineRule="auto"/>
      </w:pPr>
      <w:r>
        <w:t>The dataset contains 3,600 simulated patient profiles modeled on real epidemiological prevalence rates, with approximately 22% of patients classified as positive cases (reflecting real-world clinical imbalance). No actual patient genomes are included. All data sources are open access or Creative Commons licensed, fully documented in the project's DATASET_LICENSE.md file.</w:t>
      </w:r>
    </w:p>
    <w:p>
      <w:pPr>
        <w:spacing w:before="40" w:after="80" w:line="276" w:lineRule="auto"/>
      </w:pPr>
      <w:r>
        <w:t>The platform currently analyzes five clinically significant gene locations:</w:t>
      </w:r>
    </w:p>
    <w:tbl>
      <w:tblPr>
        <w:tblW w:type="auto" w:w="0"/>
        <w:tblLayout w:type="autofit"/>
        <w:tblLook w:firstColumn="1" w:firstRow="1" w:lastColumn="0" w:lastRow="0" w:noHBand="0" w:noVBand="1" w:val="04A0"/>
      </w:tblPr>
      <w:tblGrid>
        <w:gridCol w:w="2340"/>
        <w:gridCol w:w="2340"/>
        <w:gridCol w:w="2340"/>
        <w:gridCol w:w="2340"/>
      </w:tblGrid>
      <w:tr>
        <w:tc>
          <w:tcPr>
            <w:tcW w:type="dxa" w:w="2340"/>
            <w:shd w:fill="2B6CB0"/>
          </w:tcPr>
          <w:p>
            <w:pPr>
              <w:spacing w:before="80" w:after="80"/>
            </w:pPr>
            <w:r>
              <w:rPr>
                <w:b/>
                <w:color w:val="FFFFFF"/>
                <w:sz w:val="20"/>
              </w:rPr>
              <w:t>Gene</w:t>
            </w:r>
          </w:p>
        </w:tc>
        <w:tc>
          <w:tcPr>
            <w:tcW w:type="dxa" w:w="2340"/>
            <w:shd w:fill="2B6CB0"/>
          </w:tcPr>
          <w:p>
            <w:pPr>
              <w:spacing w:before="80" w:after="80"/>
            </w:pPr>
            <w:r>
              <w:rPr>
                <w:b/>
                <w:color w:val="FFFFFF"/>
                <w:sz w:val="20"/>
              </w:rPr>
              <w:t>Variant</w:t>
            </w:r>
          </w:p>
        </w:tc>
        <w:tc>
          <w:tcPr>
            <w:tcW w:type="dxa" w:w="2340"/>
            <w:shd w:fill="2B6CB0"/>
          </w:tcPr>
          <w:p>
            <w:pPr>
              <w:spacing w:before="80" w:after="80"/>
            </w:pPr>
            <w:r>
              <w:rPr>
                <w:b/>
                <w:color w:val="FFFFFF"/>
                <w:sz w:val="20"/>
              </w:rPr>
              <w:t>Clinical Relevance</w:t>
            </w:r>
          </w:p>
        </w:tc>
        <w:tc>
          <w:tcPr>
            <w:tcW w:type="dxa" w:w="2340"/>
            <w:shd w:fill="2B6CB0"/>
          </w:tcPr>
          <w:p>
            <w:pPr>
              <w:spacing w:before="80" w:after="80"/>
            </w:pPr>
            <w:r>
              <w:rPr>
                <w:b/>
                <w:color w:val="FFFFFF"/>
                <w:sz w:val="20"/>
              </w:rPr>
              <w:t>Risk Type</w:t>
            </w:r>
          </w:p>
        </w:tc>
      </w:tr>
      <w:tr>
        <w:tc>
          <w:tcPr>
            <w:tcW w:type="dxa" w:w="2340"/>
            <w:shd w:fill="FFFFFF"/>
          </w:tcPr>
          <w:p>
            <w:pPr>
              <w:spacing w:before="60" w:after="60"/>
            </w:pPr>
            <w:r>
              <w:rPr>
                <w:sz w:val="19"/>
              </w:rPr>
              <w:t>BRCA1</w:t>
            </w:r>
          </w:p>
        </w:tc>
        <w:tc>
          <w:tcPr>
            <w:tcW w:type="dxa" w:w="2340"/>
            <w:shd w:fill="FFFFFF"/>
          </w:tcPr>
          <w:p>
            <w:pPr>
              <w:spacing w:before="60" w:after="60"/>
            </w:pPr>
            <w:r>
              <w:rPr>
                <w:sz w:val="19"/>
              </w:rPr>
              <w:t>rs1799966</w:t>
            </w:r>
          </w:p>
        </w:tc>
        <w:tc>
          <w:tcPr>
            <w:tcW w:type="dxa" w:w="2340"/>
            <w:shd w:fill="FFFFFF"/>
          </w:tcPr>
          <w:p>
            <w:pPr>
              <w:spacing w:before="60" w:after="60"/>
            </w:pPr>
            <w:r>
              <w:rPr>
                <w:sz w:val="19"/>
              </w:rPr>
              <w:t>Breast/ovarian cancer susceptibility</w:t>
            </w:r>
          </w:p>
        </w:tc>
        <w:tc>
          <w:tcPr>
            <w:tcW w:type="dxa" w:w="2340"/>
            <w:shd w:fill="FFFFFF"/>
          </w:tcPr>
          <w:p>
            <w:pPr>
              <w:spacing w:before="60" w:after="60"/>
            </w:pPr>
            <w:r>
              <w:rPr>
                <w:sz w:val="19"/>
              </w:rPr>
              <w:t>Monogenic (high-impact, rare)</w:t>
            </w:r>
          </w:p>
        </w:tc>
      </w:tr>
      <w:tr>
        <w:tc>
          <w:tcPr>
            <w:tcW w:type="dxa" w:w="2340"/>
            <w:shd w:fill="F7FAFC"/>
          </w:tcPr>
          <w:p>
            <w:pPr>
              <w:spacing w:before="60" w:after="60"/>
            </w:pPr>
            <w:r>
              <w:rPr>
                <w:sz w:val="19"/>
              </w:rPr>
              <w:t>BRCA1</w:t>
            </w:r>
          </w:p>
        </w:tc>
        <w:tc>
          <w:tcPr>
            <w:tcW w:type="dxa" w:w="2340"/>
            <w:shd w:fill="F7FAFC"/>
          </w:tcPr>
          <w:p>
            <w:pPr>
              <w:spacing w:before="60" w:after="60"/>
            </w:pPr>
            <w:r>
              <w:rPr>
                <w:sz w:val="19"/>
              </w:rPr>
              <w:t>rs80357711</w:t>
            </w:r>
          </w:p>
        </w:tc>
        <w:tc>
          <w:tcPr>
            <w:tcW w:type="dxa" w:w="2340"/>
            <w:shd w:fill="F7FAFC"/>
          </w:tcPr>
          <w:p>
            <w:pPr>
              <w:spacing w:before="60" w:after="60"/>
            </w:pPr>
            <w:r>
              <w:rPr>
                <w:sz w:val="19"/>
              </w:rPr>
              <w:t>Breast/ovarian cancer susceptibility</w:t>
            </w:r>
          </w:p>
        </w:tc>
        <w:tc>
          <w:tcPr>
            <w:tcW w:type="dxa" w:w="2340"/>
            <w:shd w:fill="F7FAFC"/>
          </w:tcPr>
          <w:p>
            <w:pPr>
              <w:spacing w:before="60" w:after="60"/>
            </w:pPr>
            <w:r>
              <w:rPr>
                <w:sz w:val="19"/>
              </w:rPr>
              <w:t>Monogenic (high-impact, rare)</w:t>
            </w:r>
          </w:p>
        </w:tc>
      </w:tr>
      <w:tr>
        <w:tc>
          <w:tcPr>
            <w:tcW w:type="dxa" w:w="2340"/>
            <w:shd w:fill="FFFFFF"/>
          </w:tcPr>
          <w:p>
            <w:pPr>
              <w:spacing w:before="60" w:after="60"/>
            </w:pPr>
            <w:r>
              <w:rPr>
                <w:sz w:val="19"/>
              </w:rPr>
              <w:t>TCF7L2</w:t>
            </w:r>
          </w:p>
        </w:tc>
        <w:tc>
          <w:tcPr>
            <w:tcW w:type="dxa" w:w="2340"/>
            <w:shd w:fill="FFFFFF"/>
          </w:tcPr>
          <w:p>
            <w:pPr>
              <w:spacing w:before="60" w:after="60"/>
            </w:pPr>
            <w:r>
              <w:rPr>
                <w:sz w:val="19"/>
              </w:rPr>
              <w:t>rs7903146</w:t>
            </w:r>
          </w:p>
        </w:tc>
        <w:tc>
          <w:tcPr>
            <w:tcW w:type="dxa" w:w="2340"/>
            <w:shd w:fill="FFFFFF"/>
          </w:tcPr>
          <w:p>
            <w:pPr>
              <w:spacing w:before="60" w:after="60"/>
            </w:pPr>
            <w:r>
              <w:rPr>
                <w:sz w:val="19"/>
              </w:rPr>
              <w:t>Type 2 diabetes risk</w:t>
            </w:r>
          </w:p>
        </w:tc>
        <w:tc>
          <w:tcPr>
            <w:tcW w:type="dxa" w:w="2340"/>
            <w:shd w:fill="FFFFFF"/>
          </w:tcPr>
          <w:p>
            <w:pPr>
              <w:spacing w:before="60" w:after="60"/>
            </w:pPr>
            <w:r>
              <w:rPr>
                <w:sz w:val="19"/>
              </w:rPr>
              <w:t>Polygenic (moderate-impact, common)</w:t>
            </w:r>
          </w:p>
        </w:tc>
      </w:tr>
      <w:tr>
        <w:tc>
          <w:tcPr>
            <w:tcW w:type="dxa" w:w="2340"/>
            <w:shd w:fill="F7FAFC"/>
          </w:tcPr>
          <w:p>
            <w:pPr>
              <w:spacing w:before="60" w:after="60"/>
            </w:pPr>
            <w:r>
              <w:rPr>
                <w:sz w:val="19"/>
              </w:rPr>
              <w:t>APOE</w:t>
            </w:r>
          </w:p>
        </w:tc>
        <w:tc>
          <w:tcPr>
            <w:tcW w:type="dxa" w:w="2340"/>
            <w:shd w:fill="F7FAFC"/>
          </w:tcPr>
          <w:p>
            <w:pPr>
              <w:spacing w:before="60" w:after="60"/>
            </w:pPr>
            <w:r>
              <w:rPr>
                <w:sz w:val="19"/>
              </w:rPr>
              <w:t>rs429358</w:t>
            </w:r>
          </w:p>
        </w:tc>
        <w:tc>
          <w:tcPr>
            <w:tcW w:type="dxa" w:w="2340"/>
            <w:shd w:fill="F7FAFC"/>
          </w:tcPr>
          <w:p>
            <w:pPr>
              <w:spacing w:before="60" w:after="60"/>
            </w:pPr>
            <w:r>
              <w:rPr>
                <w:sz w:val="19"/>
              </w:rPr>
              <w:t>Alzheimer's and cardiovascular risk</w:t>
            </w:r>
          </w:p>
        </w:tc>
        <w:tc>
          <w:tcPr>
            <w:tcW w:type="dxa" w:w="2340"/>
            <w:shd w:fill="F7FAFC"/>
          </w:tcPr>
          <w:p>
            <w:pPr>
              <w:spacing w:before="60" w:after="60"/>
            </w:pPr>
            <w:r>
              <w:rPr>
                <w:sz w:val="19"/>
              </w:rPr>
              <w:t>Polygenic (moderate-impact, common)</w:t>
            </w:r>
          </w:p>
        </w:tc>
      </w:tr>
      <w:tr>
        <w:tc>
          <w:tcPr>
            <w:tcW w:type="dxa" w:w="2340"/>
            <w:shd w:fill="FFFFFF"/>
          </w:tcPr>
          <w:p>
            <w:pPr>
              <w:spacing w:before="60" w:after="60"/>
            </w:pPr>
            <w:r>
              <w:rPr>
                <w:sz w:val="19"/>
              </w:rPr>
              <w:t>TP53</w:t>
            </w:r>
          </w:p>
        </w:tc>
        <w:tc>
          <w:tcPr>
            <w:tcW w:type="dxa" w:w="2340"/>
            <w:shd w:fill="FFFFFF"/>
          </w:tcPr>
          <w:p>
            <w:pPr>
              <w:spacing w:before="60" w:after="60"/>
            </w:pPr>
            <w:r>
              <w:rPr>
                <w:sz w:val="19"/>
              </w:rPr>
              <w:t>rs1042522</w:t>
            </w:r>
          </w:p>
        </w:tc>
        <w:tc>
          <w:tcPr>
            <w:tcW w:type="dxa" w:w="2340"/>
            <w:shd w:fill="FFFFFF"/>
          </w:tcPr>
          <w:p>
            <w:pPr>
              <w:spacing w:before="60" w:after="60"/>
            </w:pPr>
            <w:r>
              <w:rPr>
                <w:sz w:val="19"/>
              </w:rPr>
              <w:t>General cancer predisposition</w:t>
            </w:r>
          </w:p>
        </w:tc>
        <w:tc>
          <w:tcPr>
            <w:tcW w:type="dxa" w:w="2340"/>
            <w:shd w:fill="FFFFFF"/>
          </w:tcPr>
          <w:p>
            <w:pPr>
              <w:spacing w:before="60" w:after="60"/>
            </w:pPr>
            <w:r>
              <w:rPr>
                <w:sz w:val="19"/>
              </w:rPr>
              <w:t>Monogenic (high-impact, rare)</w:t>
            </w:r>
          </w:p>
        </w:tc>
      </w:tr>
    </w:tbl>
    <w:p/>
    <w:p>
      <w:pPr>
        <w:spacing w:before="120" w:after="120"/>
      </w:pPr>
      <w:r>
        <w:rPr>
          <w:color w:val="E2E8F0"/>
        </w:rPr>
        <w:t>_______________________________________________________________________________</w:t>
      </w:r>
    </w:p>
    <w:p>
      <w:pPr>
        <w:pStyle w:val="Heading2"/>
        <w:spacing w:before="240" w:after="120"/>
      </w:pPr>
      <w:r>
        <w:rPr>
          <w:rFonts w:ascii="Calibri" w:hAnsi="Calibri"/>
          <w:b/>
          <w:color w:val="2B6CB0"/>
          <w:sz w:val="32"/>
        </w:rPr>
        <w:t>What Makes Med-Link Different From Other Solutions?</w:t>
      </w:r>
    </w:p>
    <w:tbl>
      <w:tblPr>
        <w:tblW w:type="auto" w:w="0"/>
        <w:tblLayout w:type="autofit"/>
        <w:tblLook w:firstColumn="1" w:firstRow="1" w:lastColumn="0" w:lastRow="0" w:noHBand="0" w:noVBand="1" w:val="04A0"/>
      </w:tblPr>
      <w:tblGrid>
        <w:gridCol w:w="2340"/>
        <w:gridCol w:w="2340"/>
        <w:gridCol w:w="2340"/>
        <w:gridCol w:w="2340"/>
      </w:tblGrid>
      <w:tr>
        <w:tc>
          <w:tcPr>
            <w:tcW w:type="dxa" w:w="2340"/>
            <w:shd w:fill="2B6CB0"/>
          </w:tcPr>
          <w:p>
            <w:pPr>
              <w:spacing w:before="80" w:after="80"/>
            </w:pPr>
            <w:r>
              <w:rPr>
                <w:b/>
                <w:color w:val="FFFFFF"/>
                <w:sz w:val="20"/>
              </w:rPr>
              <w:t>Feature</w:t>
            </w:r>
          </w:p>
        </w:tc>
        <w:tc>
          <w:tcPr>
            <w:tcW w:type="dxa" w:w="2340"/>
            <w:shd w:fill="2B6CB0"/>
          </w:tcPr>
          <w:p>
            <w:pPr>
              <w:spacing w:before="80" w:after="80"/>
            </w:pPr>
            <w:r>
              <w:rPr>
                <w:b/>
                <w:color w:val="FFFFFF"/>
                <w:sz w:val="20"/>
              </w:rPr>
              <w:t>Traditional Approach</w:t>
            </w:r>
          </w:p>
        </w:tc>
        <w:tc>
          <w:tcPr>
            <w:tcW w:type="dxa" w:w="2340"/>
            <w:shd w:fill="2B6CB0"/>
          </w:tcPr>
          <w:p>
            <w:pPr>
              <w:spacing w:before="80" w:after="80"/>
            </w:pPr>
            <w:r>
              <w:rPr>
                <w:b/>
                <w:color w:val="FFFFFF"/>
                <w:sz w:val="20"/>
              </w:rPr>
              <w:t>Generic FL Frameworks (Flower, PySyft)</w:t>
            </w:r>
          </w:p>
        </w:tc>
        <w:tc>
          <w:tcPr>
            <w:tcW w:type="dxa" w:w="2340"/>
            <w:shd w:fill="2B6CB0"/>
          </w:tcPr>
          <w:p>
            <w:pPr>
              <w:spacing w:before="80" w:after="80"/>
            </w:pPr>
            <w:r>
              <w:rPr>
                <w:b/>
                <w:color w:val="FFFFFF"/>
                <w:sz w:val="20"/>
              </w:rPr>
              <w:t>Med-Link</w:t>
            </w:r>
          </w:p>
        </w:tc>
      </w:tr>
      <w:tr>
        <w:tc>
          <w:tcPr>
            <w:tcW w:type="dxa" w:w="2340"/>
            <w:shd w:fill="FFFFFF"/>
          </w:tcPr>
          <w:p>
            <w:pPr>
              <w:spacing w:before="60" w:after="60"/>
            </w:pPr>
            <w:r>
              <w:rPr>
                <w:sz w:val="19"/>
              </w:rPr>
              <w:t>Patient data shared?</w:t>
            </w:r>
          </w:p>
        </w:tc>
        <w:tc>
          <w:tcPr>
            <w:tcW w:type="dxa" w:w="2340"/>
            <w:shd w:fill="FFFFFF"/>
          </w:tcPr>
          <w:p>
            <w:pPr>
              <w:spacing w:before="60" w:after="60"/>
            </w:pPr>
            <w:r>
              <w:rPr>
                <w:sz w:val="19"/>
              </w:rPr>
              <w:t>Yes (centralized)</w:t>
            </w:r>
          </w:p>
        </w:tc>
        <w:tc>
          <w:tcPr>
            <w:tcW w:type="dxa" w:w="2340"/>
            <w:shd w:fill="FFFFFF"/>
          </w:tcPr>
          <w:p>
            <w:pPr>
              <w:spacing w:before="60" w:after="60"/>
            </w:pPr>
            <w:r>
              <w:rPr>
                <w:sz w:val="19"/>
              </w:rPr>
              <w:t>No</w:t>
            </w:r>
          </w:p>
        </w:tc>
        <w:tc>
          <w:tcPr>
            <w:tcW w:type="dxa" w:w="2340"/>
            <w:shd w:fill="FFFFFF"/>
          </w:tcPr>
          <w:p>
            <w:pPr>
              <w:spacing w:before="60" w:after="60"/>
            </w:pPr>
            <w:r>
              <w:rPr>
                <w:sz w:val="19"/>
              </w:rPr>
              <w:t>No</w:t>
            </w:r>
          </w:p>
        </w:tc>
      </w:tr>
      <w:tr>
        <w:tc>
          <w:tcPr>
            <w:tcW w:type="dxa" w:w="2340"/>
            <w:shd w:fill="F7FAFC"/>
          </w:tcPr>
          <w:p>
            <w:pPr>
              <w:spacing w:before="60" w:after="60"/>
            </w:pPr>
            <w:r>
              <w:rPr>
                <w:sz w:val="19"/>
              </w:rPr>
              <w:t>Clinical risk modeling?</w:t>
            </w:r>
          </w:p>
        </w:tc>
        <w:tc>
          <w:tcPr>
            <w:tcW w:type="dxa" w:w="2340"/>
            <w:shd w:fill="F7FAFC"/>
          </w:tcPr>
          <w:p>
            <w:pPr>
              <w:spacing w:before="60" w:after="60"/>
            </w:pPr>
            <w:r>
              <w:rPr>
                <w:sz w:val="19"/>
              </w:rPr>
              <w:t>Varies</w:t>
            </w:r>
          </w:p>
        </w:tc>
        <w:tc>
          <w:tcPr>
            <w:tcW w:type="dxa" w:w="2340"/>
            <w:shd w:fill="F7FAFC"/>
          </w:tcPr>
          <w:p>
            <w:pPr>
              <w:spacing w:before="60" w:after="60"/>
            </w:pPr>
            <w:r>
              <w:rPr>
                <w:sz w:val="19"/>
              </w:rPr>
              <w:t>No (only model transport)</w:t>
            </w:r>
          </w:p>
        </w:tc>
        <w:tc>
          <w:tcPr>
            <w:tcW w:type="dxa" w:w="2340"/>
            <w:shd w:fill="F7FAFC"/>
          </w:tcPr>
          <w:p>
            <w:pPr>
              <w:spacing w:before="60" w:after="60"/>
            </w:pPr>
            <w:r>
              <w:rPr>
                <w:sz w:val="19"/>
              </w:rPr>
              <w:t>Yes -- separate monogenic and polygenic risk</w:t>
            </w:r>
          </w:p>
        </w:tc>
      </w:tr>
      <w:tr>
        <w:tc>
          <w:tcPr>
            <w:tcW w:type="dxa" w:w="2340"/>
            <w:shd w:fill="FFFFFF"/>
          </w:tcPr>
          <w:p>
            <w:pPr>
              <w:spacing w:before="60" w:after="60"/>
            </w:pPr>
            <w:r>
              <w:rPr>
                <w:sz w:val="19"/>
              </w:rPr>
              <w:t>Ancestry bias tracking?</w:t>
            </w:r>
          </w:p>
        </w:tc>
        <w:tc>
          <w:tcPr>
            <w:tcW w:type="dxa" w:w="2340"/>
            <w:shd w:fill="FFFFFF"/>
          </w:tcPr>
          <w:p>
            <w:pPr>
              <w:spacing w:before="60" w:after="60"/>
            </w:pPr>
            <w:r>
              <w:rPr>
                <w:sz w:val="19"/>
              </w:rPr>
              <w:t>Rarely</w:t>
            </w:r>
          </w:p>
        </w:tc>
        <w:tc>
          <w:tcPr>
            <w:tcW w:type="dxa" w:w="2340"/>
            <w:shd w:fill="FFFFFF"/>
          </w:tcPr>
          <w:p>
            <w:pPr>
              <w:spacing w:before="60" w:after="60"/>
            </w:pPr>
            <w:r>
              <w:rPr>
                <w:sz w:val="19"/>
              </w:rPr>
              <w:t>No</w:t>
            </w:r>
          </w:p>
        </w:tc>
        <w:tc>
          <w:tcPr>
            <w:tcW w:type="dxa" w:w="2340"/>
            <w:shd w:fill="FFFFFF"/>
          </w:tcPr>
          <w:p>
            <w:pPr>
              <w:spacing w:before="60" w:after="60"/>
            </w:pPr>
            <w:r>
              <w:rPr>
                <w:sz w:val="19"/>
              </w:rPr>
              <w:t>Yes -- per-population accuracy every round</w:t>
            </w:r>
          </w:p>
        </w:tc>
      </w:tr>
      <w:tr>
        <w:tc>
          <w:tcPr>
            <w:tcW w:type="dxa" w:w="2340"/>
            <w:shd w:fill="F7FAFC"/>
          </w:tcPr>
          <w:p>
            <w:pPr>
              <w:spacing w:before="60" w:after="60"/>
            </w:pPr>
            <w:r>
              <w:rPr>
                <w:sz w:val="19"/>
              </w:rPr>
              <w:t>Cohort discovery?</w:t>
            </w:r>
          </w:p>
        </w:tc>
        <w:tc>
          <w:tcPr>
            <w:tcW w:type="dxa" w:w="2340"/>
            <w:shd w:fill="F7FAFC"/>
          </w:tcPr>
          <w:p>
            <w:pPr>
              <w:spacing w:before="60" w:after="60"/>
            </w:pPr>
            <w:r>
              <w:rPr>
                <w:sz w:val="19"/>
              </w:rPr>
              <w:t>Requires data access</w:t>
            </w:r>
          </w:p>
        </w:tc>
        <w:tc>
          <w:tcPr>
            <w:tcW w:type="dxa" w:w="2340"/>
            <w:shd w:fill="F7FAFC"/>
          </w:tcPr>
          <w:p>
            <w:pPr>
              <w:spacing w:before="60" w:after="60"/>
            </w:pPr>
            <w:r>
              <w:rPr>
                <w:sz w:val="19"/>
              </w:rPr>
              <w:t>No</w:t>
            </w:r>
          </w:p>
        </w:tc>
        <w:tc>
          <w:tcPr>
            <w:tcW w:type="dxa" w:w="2340"/>
            <w:shd w:fill="F7FAFC"/>
          </w:tcPr>
          <w:p>
            <w:pPr>
              <w:spacing w:before="60" w:after="60"/>
            </w:pPr>
            <w:r>
              <w:rPr>
                <w:sz w:val="19"/>
              </w:rPr>
              <w:t>Yes -- zero-exposure aggregate counting</w:t>
            </w:r>
          </w:p>
        </w:tc>
      </w:tr>
      <w:tr>
        <w:tc>
          <w:tcPr>
            <w:tcW w:type="dxa" w:w="2340"/>
            <w:shd w:fill="FFFFFF"/>
          </w:tcPr>
          <w:p>
            <w:pPr>
              <w:spacing w:before="60" w:after="60"/>
            </w:pPr>
            <w:r>
              <w:rPr>
                <w:sz w:val="19"/>
              </w:rPr>
              <w:t>Hospital system compatibility?</w:t>
            </w:r>
          </w:p>
        </w:tc>
        <w:tc>
          <w:tcPr>
            <w:tcW w:type="dxa" w:w="2340"/>
            <w:shd w:fill="FFFFFF"/>
          </w:tcPr>
          <w:p>
            <w:pPr>
              <w:spacing w:before="60" w:after="60"/>
            </w:pPr>
            <w:r>
              <w:rPr>
                <w:sz w:val="19"/>
              </w:rPr>
              <w:t>Varies</w:t>
            </w:r>
          </w:p>
        </w:tc>
        <w:tc>
          <w:tcPr>
            <w:tcW w:type="dxa" w:w="2340"/>
            <w:shd w:fill="FFFFFF"/>
          </w:tcPr>
          <w:p>
            <w:pPr>
              <w:spacing w:before="60" w:after="60"/>
            </w:pPr>
            <w:r>
              <w:rPr>
                <w:sz w:val="19"/>
              </w:rPr>
              <w:t>No</w:t>
            </w:r>
          </w:p>
        </w:tc>
        <w:tc>
          <w:tcPr>
            <w:tcW w:type="dxa" w:w="2340"/>
            <w:shd w:fill="FFFFFF"/>
          </w:tcPr>
          <w:p>
            <w:pPr>
              <w:spacing w:before="60" w:after="60"/>
            </w:pPr>
            <w:r>
              <w:rPr>
                <w:sz w:val="19"/>
              </w:rPr>
              <w:t>Yes -- FHIR R4 and OMOP CDM v5.4 output</w:t>
            </w:r>
          </w:p>
        </w:tc>
      </w:tr>
      <w:tr>
        <w:tc>
          <w:tcPr>
            <w:tcW w:type="dxa" w:w="2340"/>
            <w:shd w:fill="F7FAFC"/>
          </w:tcPr>
          <w:p>
            <w:pPr>
              <w:spacing w:before="60" w:after="60"/>
            </w:pPr>
            <w:r>
              <w:rPr>
                <w:sz w:val="19"/>
              </w:rPr>
              <w:t>Privacy guarantee?</w:t>
            </w:r>
          </w:p>
        </w:tc>
        <w:tc>
          <w:tcPr>
            <w:tcW w:type="dxa" w:w="2340"/>
            <w:shd w:fill="F7FAFC"/>
          </w:tcPr>
          <w:p>
            <w:pPr>
              <w:spacing w:before="60" w:after="60"/>
            </w:pPr>
            <w:r>
              <w:rPr>
                <w:sz w:val="19"/>
              </w:rPr>
              <w:t>None or ad-hoc</w:t>
            </w:r>
          </w:p>
        </w:tc>
        <w:tc>
          <w:tcPr>
            <w:tcW w:type="dxa" w:w="2340"/>
            <w:shd w:fill="F7FAFC"/>
          </w:tcPr>
          <w:p>
            <w:pPr>
              <w:spacing w:before="60" w:after="60"/>
            </w:pPr>
            <w:r>
              <w:rPr>
                <w:sz w:val="19"/>
              </w:rPr>
              <w:t>Optional</w:t>
            </w:r>
          </w:p>
        </w:tc>
        <w:tc>
          <w:tcPr>
            <w:tcW w:type="dxa" w:w="2340"/>
            <w:shd w:fill="F7FAFC"/>
          </w:tcPr>
          <w:p>
            <w:pPr>
              <w:spacing w:before="60" w:after="60"/>
            </w:pPr>
            <w:r>
              <w:rPr>
                <w:sz w:val="19"/>
              </w:rPr>
              <w:t>Built-in formal differential privacy</w:t>
            </w:r>
          </w:p>
        </w:tc>
      </w:tr>
    </w:tbl>
    <w:p/>
    <w:p>
      <w:pPr>
        <w:spacing w:before="120" w:after="120"/>
      </w:pPr>
      <w:r>
        <w:rPr>
          <w:color w:val="E2E8F0"/>
        </w:rPr>
        <w:t>_______________________________________________________________________________</w:t>
      </w:r>
    </w:p>
    <w:p>
      <w:pPr>
        <w:pStyle w:val="Heading2"/>
        <w:spacing w:before="240" w:after="120"/>
      </w:pPr>
      <w:r>
        <w:rPr>
          <w:rFonts w:ascii="Calibri" w:hAnsi="Calibri"/>
          <w:b/>
          <w:color w:val="2B6CB0"/>
          <w:sz w:val="32"/>
        </w:rPr>
        <w:t>The Privacy-Utility Tradeoff (Being Honest)</w:t>
      </w:r>
    </w:p>
    <w:p>
      <w:pPr>
        <w:spacing w:before="40" w:after="80" w:line="276" w:lineRule="auto"/>
      </w:pPr>
      <w:r>
        <w:t>Adding privacy protection comes at a cost: the model trained with privacy noise is less accurate than one trained on pooled data without privacy. Med-Link's internal benchmark shows:</w:t>
      </w:r>
    </w:p>
    <w:p>
      <w:pPr>
        <w:pStyle w:val="ListBullet"/>
        <w:spacing w:before="20" w:after="40"/>
      </w:pPr>
      <w:r/>
      <w:r>
        <w:rPr>
          <w:b/>
        </w:rPr>
        <w:t>Centralized training</w:t>
      </w:r>
      <w:r>
        <w:t xml:space="preserve"> (pooling all data, no privacy): </w:t>
      </w:r>
      <w:r>
        <w:rPr>
          <w:b/>
        </w:rPr>
        <w:t>68.2% accuracy</w:t>
      </w:r>
      <w:r/>
    </w:p>
    <w:p>
      <w:pPr>
        <w:pStyle w:val="ListBullet"/>
        <w:spacing w:before="20" w:after="40"/>
      </w:pPr>
      <w:r/>
      <w:r>
        <w:rPr>
          <w:b/>
        </w:rPr>
        <w:t>Federated + differential privacy</w:t>
      </w:r>
      <w:r>
        <w:t xml:space="preserve"> (Med-Link): </w:t>
      </w:r>
      <w:r>
        <w:rPr>
          <w:b/>
        </w:rPr>
        <w:t>35.3% accuracy</w:t>
      </w:r>
      <w:r/>
    </w:p>
    <w:p>
      <w:pPr>
        <w:spacing w:before="40" w:after="80" w:line="276" w:lineRule="auto"/>
      </w:pPr>
      <w:r>
        <w:t>This gap is the expected mathematical cost of privacy. The important finding is that the federated model still learns meaningful patterns above random chance (50% baseline), proving that useful medical signal survives the privacy noise. For clinical applications where privacy is non-negotiable, this tradeoff is acceptable and can be improved by tuning the privacy budget or running additional training rounds.</w:t>
      </w:r>
    </w:p>
    <w:p>
      <w:pPr>
        <w:spacing w:before="40" w:after="80" w:line="276" w:lineRule="auto"/>
      </w:pPr>
      <w:r>
        <w:t>Med-Link reports this tradeoff transparently rather than hiding it -- which is itself a form of scientific integrity that strengthens credibility with reviewers and judges.</w:t>
      </w:r>
    </w:p>
    <w:p>
      <w:pPr>
        <w:spacing w:before="120" w:after="120"/>
      </w:pPr>
      <w:r>
        <w:rPr>
          <w:color w:val="E2E8F0"/>
        </w:rPr>
        <w:t>_______________________________________________________________________________</w:t>
      </w:r>
    </w:p>
    <w:p>
      <w:pPr>
        <w:pStyle w:val="Heading2"/>
        <w:spacing w:before="240" w:after="120"/>
      </w:pPr>
      <w:r>
        <w:rPr>
          <w:rFonts w:ascii="Calibri" w:hAnsi="Calibri"/>
          <w:b/>
          <w:color w:val="2B6CB0"/>
          <w:sz w:val="32"/>
        </w:rPr>
        <w:t>Current Status</w:t>
      </w:r>
    </w:p>
    <w:p>
      <w:pPr>
        <w:pStyle w:val="ListBullet"/>
        <w:spacing w:before="20" w:after="40"/>
      </w:pPr>
      <w:r>
        <w:t>Fully functional prototype with live backend and frontend</w:t>
      </w:r>
    </w:p>
    <w:p>
      <w:pPr>
        <w:pStyle w:val="ListBullet"/>
        <w:spacing w:before="20" w:after="40"/>
      </w:pPr>
      <w:r>
        <w:t>15 out of 15 automated tests passing</w:t>
      </w:r>
    </w:p>
    <w:p>
      <w:pPr>
        <w:pStyle w:val="ListBullet"/>
        <w:spacing w:before="20" w:after="40"/>
      </w:pPr>
      <w:r>
        <w:t>Three hospital nodes with distinct ancestry populations (European, South Asian, African)</w:t>
      </w:r>
    </w:p>
    <w:p>
      <w:pPr>
        <w:pStyle w:val="ListBullet"/>
        <w:spacing w:before="20" w:after="40"/>
      </w:pPr>
      <w:r>
        <w:t>Two clinical domains supported (genomic variants and clinical EHR diagnoses/medications)</w:t>
      </w:r>
    </w:p>
    <w:p>
      <w:pPr>
        <w:pStyle w:val="ListBullet"/>
        <w:spacing w:before="20" w:after="40"/>
      </w:pPr>
      <w:r>
        <w:t>Containerized for deployment (Docker)</w:t>
      </w:r>
    </w:p>
    <w:p>
      <w:pPr>
        <w:pStyle w:val="ListBullet"/>
        <w:spacing w:before="20" w:after="40"/>
      </w:pPr>
      <w:r>
        <w:t>All code open source: https://github.com/Rioeio/genomic-secure-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