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Calibri" w:hAnsi="Calibri"/>
          <w:b/>
          <w:color w:val="1A365D"/>
          <w:sz w:val="44"/>
        </w:rPr>
        <w:t>Med-Link: Comprehensive In-Depth Backend Architecture &amp; API Guide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1. Executive Backend Overview</w:t>
      </w:r>
    </w:p>
    <w:p>
      <w:pPr>
        <w:spacing w:before="40" w:after="80" w:line="276" w:lineRule="auto"/>
      </w:pPr>
      <w:r>
        <w:t xml:space="preserve">The Med-Link backend is a high-performance, asynchronous REST API and federated machine learning engine built with </w:t>
      </w:r>
      <w:r>
        <w:rPr>
          <w:b/>
        </w:rPr>
        <w:t>Python 3.11</w:t>
      </w:r>
      <w:r>
        <w:t xml:space="preserve"> and </w:t>
      </w:r>
      <w:r>
        <w:rPr>
          <w:b/>
        </w:rPr>
        <w:t>FastAPI</w:t>
      </w:r>
      <w:r>
        <w:t>. It coordinates decentralized training across multiple hospital nodes without ever centralizing raw genomic or electronic health record (EHR) data.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Core Architectural Responsibilities:</w:t>
      </w:r>
    </w:p>
    <w:p>
      <w:pPr>
        <w:pStyle w:val="ListNumber"/>
        <w:spacing w:before="20" w:after="40"/>
      </w:pPr>
      <w:r>
        <w:rPr>
          <w:b/>
        </w:rPr>
        <w:t>Decentralized Model Aggregation</w:t>
      </w:r>
      <w:r>
        <w:t>: Coordinates synchronous Federated Averaging (FedAvg) rounds across hospital enclaves.</w:t>
      </w:r>
    </w:p>
    <w:p>
      <w:pPr>
        <w:pStyle w:val="ListNumber"/>
        <w:spacing w:before="20" w:after="40"/>
      </w:pPr>
      <w:r>
        <w:rPr>
          <w:b/>
        </w:rPr>
        <w:t>Mathematical Privacy Enforcement</w:t>
      </w:r>
      <w:r>
        <w:t xml:space="preserve">: Implements Rényi Differential Privacy (RDP) moments accounting to provide mathematically provable </w:t>
      </w:r>
      <w:r>
        <w:rPr>
          <w:rFonts w:ascii="Cambria Math" w:hAnsi="Cambria Math"/>
          <w:i/>
          <w:color w:val="1A365D"/>
          <w:sz w:val="21"/>
        </w:rPr>
        <w:t>‖(‖ε‖,‖ ‖δ‖)‖</w:t>
      </w:r>
      <w:r>
        <w:t>-DP bounds.</w:t>
      </w:r>
    </w:p>
    <w:p>
      <w:pPr>
        <w:pStyle w:val="ListNumber"/>
        <w:spacing w:before="20" w:after="40"/>
      </w:pPr>
      <w:r>
        <w:rPr>
          <w:b/>
        </w:rPr>
        <w:t>Clinical Genomic &amp; EHR Intelligence</w:t>
      </w:r>
      <w:r>
        <w:t>: Separates discrete high-penetrance monogenic pathogenicity findings from continuous polygenic risk score (PRS) percentiles.</w:t>
      </w:r>
    </w:p>
    <w:p>
      <w:pPr>
        <w:pStyle w:val="ListNumber"/>
        <w:spacing w:before="20" w:after="40"/>
      </w:pPr>
      <w:r>
        <w:rPr>
          <w:b/>
        </w:rPr>
        <w:t>Healthcare Interoperability</w:t>
      </w:r>
      <w:r>
        <w:t>: Formats variant and clinical data to HL7 FHIR R4 and OHDSI OMOP CDM v5.4 specifications.</w:t>
      </w:r>
    </w:p>
    <w:p>
      <w:pPr>
        <w:pStyle w:val="ListNumber"/>
        <w:spacing w:before="20" w:after="40"/>
      </w:pPr>
      <w:r>
        <w:rPr>
          <w:b/>
        </w:rPr>
        <w:t>Zero-Exposure Discovery</w:t>
      </w:r>
      <w:r>
        <w:t xml:space="preserve">: Executes privacy-preserving cohort feasibility queries with </w:t>
      </w:r>
      <w:r>
        <w:rPr>
          <w:rFonts w:ascii="Cambria Math" w:hAnsi="Cambria Math"/>
          <w:i/>
          <w:color w:val="1A365D"/>
          <w:sz w:val="21"/>
        </w:rPr>
        <w:t>‖k‖</w:t>
      </w:r>
      <w:r>
        <w:t>-anonymity (</w:t>
      </w:r>
      <w:r>
        <w:rPr>
          <w:rFonts w:ascii="Cambria Math" w:hAnsi="Cambria Math"/>
          <w:i/>
          <w:color w:val="1A365D"/>
          <w:sz w:val="21"/>
        </w:rPr>
        <w:t>‖ ‖≥‖ ‖ ‖5‖</w:t>
      </w:r>
      <w:r>
        <w:t>) suppression.</w:t>
      </w:r>
    </w:p>
    <w:p>
      <w:pPr>
        <w:pStyle w:val="ListNumber"/>
        <w:spacing w:before="20" w:after="40"/>
      </w:pPr>
      <w:r>
        <w:rPr>
          <w:b/>
        </w:rPr>
        <w:t>Authentication &amp; RBAC</w:t>
      </w:r>
      <w:r>
        <w:t>: Issues HMAC-SHA256 JWT tokens with bcrypt password hashing and role-based access gates.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2. Directory &amp; Module Architecture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backend/</w:t>
              <w:br/>
              <w:t>├── app.py                  # FastAPI application entry point, route definitions, rate limiting, and dependency injection</w:t>
              <w:br/>
              <w:t>├── auth.py                 # JWT token generation, verification, password hashing, and user credential store</w:t>
              <w:br/>
              <w:t>├── server.py               # FederatedServerAggregator coordinating FedAvg, multi-ancestry evaluation, and domain switching</w:t>
              <w:br/>
              <w:t>├── hospital_client.py      # LocalHospitalWorker executing local gradient descent and differential privacy perturbation</w:t>
              <w:br/>
              <w:t>├── dataset.py              # Multi-ancestry genomic cohort loader, OMOP clinical EHR data generator, and loci definitions</w:t>
              <w:br/>
              <w:t>├── privacy_guard.py        # Renyi Differential Privacy (RDP) moments accountant and Laplace noise engine</w:t>
              <w:br/>
              <w:t>├── schema.py               # Pydantic standard schemas for HL7 FHIR R4 and OHDSI OMOP CDM v5.4 interoperability</w:t>
              <w:br/>
              <w:t>├── discovery.py            # Zero-exposure federated cohort discovery engine with k-anonymity suppression</w:t>
              <w:br/>
              <w:t>├── fl_flower.py            # Flower (flwr) NumPyClient and ServerApp/ClientApp integration</w:t>
              <w:br/>
              <w:t>├── benchmark.py            # Centralized vs. federated learning empirical benchmark suite</w:t>
              <w:br/>
              <w:t>├── data/</w:t>
              <w:br/>
              <w:t>│   ├── generate_cohort.py  # Script generating synthetic 1000G/METABRIC-derived multi-ancestry cohort</w:t>
              <w:br/>
              <w:t>│   └── real_genomic_cohort.json # 3,600-sample multi-ancestry benchmark dataset</w:t>
              <w:br/>
              <w:t>├── requirements.txt        # Pinned Python production dependencies</w:t>
              <w:br/>
              <w:t>├── Dockerfile              # Containerization definition for isolated hospital worker and aggregator execution</w:t>
              <w:br/>
              <w:t>└── test_*.py               # Automated verification test suites (15/15 passing)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3. Detailed Module Breakdown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3.1 `backend/app.py` -- The REST API Gateway</w:t>
      </w:r>
    </w:p>
    <w:p>
      <w:pPr>
        <w:spacing w:before="40" w:after="80" w:line="276" w:lineRule="auto"/>
      </w:pPr>
      <w:r>
        <w:rPr>
          <w:rFonts w:ascii="Consolas" w:hAnsi="Consolas"/>
          <w:color w:val="805AD5"/>
          <w:sz w:val="19"/>
        </w:rPr>
        <w:t>app.py</w:t>
      </w:r>
      <w:r>
        <w:t xml:space="preserve"> initializes the FastAPI application, registers security middleware, handles CORS lockdown, enforces sliding-window rate limiting, and maps REST routes to internal engines.</w:t>
      </w:r>
    </w:p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Key Functions &amp; Classes: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rate_limiter(request: Request, max_requests: int, window_seconds: int)</w:t>
      </w:r>
      <w:r>
        <w:t>: In-memory sliding-window rate limiter preventing brute-force and Denial-of-Service attacks.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get_current_user(credentials: HTTPAuthorizationCredentials)</w:t>
      </w:r>
      <w:r>
        <w:t>: Dependency injection function that extracts and validates the Bearer JWT token from HTTP headers.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require_researcher_role(user: dict)</w:t>
      </w:r>
      <w:r>
        <w:t xml:space="preserve">: Role-based access control (RBAC) dependency that raises </w:t>
      </w:r>
      <w:r>
        <w:rPr>
          <w:rFonts w:ascii="Consolas" w:hAnsi="Consolas"/>
          <w:color w:val="805AD5"/>
          <w:sz w:val="19"/>
        </w:rPr>
        <w:t>HTTP 403 Forbidden</w:t>
      </w:r>
      <w:r>
        <w:t xml:space="preserve"> if a non-researcher attempts to inspect global model weight tensors.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3.2 `backend/auth.py` -- Authentication &amp; RBAC Engine</w:t>
      </w:r>
    </w:p>
    <w:p>
      <w:pPr>
        <w:spacing w:before="40" w:after="80" w:line="276" w:lineRule="auto"/>
      </w:pPr>
      <w:r>
        <w:rPr>
          <w:rFonts w:ascii="Consolas" w:hAnsi="Consolas"/>
          <w:color w:val="805AD5"/>
          <w:sz w:val="19"/>
        </w:rPr>
        <w:t>auth.py</w:t>
      </w:r>
      <w:r>
        <w:t xml:space="preserve"> manages user identity, password verification, and cryptographic token issuance.</w:t>
      </w:r>
    </w:p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Key Functions: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verify_password(plain_password: str, hashed_password: str) -&gt; bool</w:t>
      </w:r>
      <w:r>
        <w:t xml:space="preserve">: Uses </w:t>
      </w:r>
      <w:r>
        <w:rPr>
          <w:rFonts w:ascii="Consolas" w:hAnsi="Consolas"/>
          <w:color w:val="805AD5"/>
          <w:sz w:val="19"/>
        </w:rPr>
        <w:t>bcrypt.checkpw</w:t>
      </w:r>
      <w:r>
        <w:t xml:space="preserve"> to verify submitted credentials against salt-hashed passwords.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create_access_token(data: dict, expires_delta: timedelta) -&gt; str</w:t>
      </w:r>
      <w:r>
        <w:t>: Encodes user identity, email, and role into a signed HMAC-SHA256 JWT with an expiration timestamp (</w:t>
      </w:r>
      <w:r>
        <w:rPr>
          <w:rFonts w:ascii="Consolas" w:hAnsi="Consolas"/>
          <w:color w:val="805AD5"/>
          <w:sz w:val="19"/>
        </w:rPr>
        <w:t>exp=60m</w:t>
      </w:r>
      <w:r>
        <w:t>).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verify_token(token: str) -&gt; dict</w:t>
      </w:r>
      <w:r>
        <w:t>: Decodes and validates JWT signature and expiration.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authenticate_user(email: str, password: str) -&gt; dict</w:t>
      </w:r>
      <w:r>
        <w:t>: Authenticates credentials against the authorized user table.</w:t>
      </w:r>
    </w:p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Pre-Configured Demo Accounts: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4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Email</w:t>
            </w:r>
          </w:p>
        </w:tc>
        <w:tc>
          <w:tcPr>
            <w:tcW w:type="dxa" w:w="234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Password</w:t>
            </w:r>
          </w:p>
        </w:tc>
        <w:tc>
          <w:tcPr>
            <w:tcW w:type="dxa" w:w="234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Access Privileges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Researcher</w:t>
            </w:r>
          </w:p>
        </w:tc>
        <w:tc>
          <w:tcPr>
            <w:tcW w:type="dxa" w:w="234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dr.smith@genome.edu</w:t>
            </w:r>
          </w:p>
        </w:tc>
        <w:tc>
          <w:tcPr>
            <w:tcW w:type="dxa" w:w="234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secure123</w:t>
            </w:r>
          </w:p>
        </w:tc>
        <w:tc>
          <w:tcPr>
            <w:tcW w:type="dxa" w:w="234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Full access to </w:t>
            </w:r>
            <w:r>
              <w:rPr>
                <w:rFonts w:ascii="Consolas" w:hAnsi="Consolas"/>
                <w:color w:val="805AD5"/>
                <w:sz w:val="19"/>
              </w:rPr>
              <w:t>/api/fl/*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805AD5"/>
                <w:sz w:val="19"/>
              </w:rPr>
              <w:t>/api/discovery/*</w:t>
            </w:r>
            <w:r>
              <w:rPr>
                <w:sz w:val="19"/>
              </w:rPr>
              <w:t>, model inspection, and prediction</w:t>
            </w:r>
          </w:p>
        </w:tc>
      </w:tr>
      <w:tr>
        <w:tc>
          <w:tcPr>
            <w:tcW w:type="dxa" w:w="234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Patient</w:t>
            </w:r>
          </w:p>
        </w:tc>
        <w:tc>
          <w:tcPr>
            <w:tcW w:type="dxa" w:w="234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alice.w@email.com</w:t>
            </w:r>
          </w:p>
        </w:tc>
        <w:tc>
          <w:tcPr>
            <w:tcW w:type="dxa" w:w="234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health123</w:t>
            </w:r>
          </w:p>
        </w:tc>
        <w:tc>
          <w:tcPr>
            <w:tcW w:type="dxa" w:w="234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Patient risk prediction, personal genomic profile, consent management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234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admin@mayoclinic.org</w:t>
            </w:r>
          </w:p>
        </w:tc>
        <w:tc>
          <w:tcPr>
            <w:tcW w:type="dxa" w:w="234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admin123</w:t>
            </w:r>
          </w:p>
        </w:tc>
        <w:tc>
          <w:tcPr>
            <w:tcW w:type="dxa" w:w="234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Node metrics, privacy budget audit, compliance status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3.3 `backend/server.py` -- Federated Server Aggregator</w:t>
      </w:r>
    </w:p>
    <w:p>
      <w:pPr>
        <w:spacing w:before="40" w:after="80" w:line="276" w:lineRule="auto"/>
      </w:pPr>
      <w:r>
        <w:rPr>
          <w:rFonts w:ascii="Consolas" w:hAnsi="Consolas"/>
          <w:color w:val="805AD5"/>
          <w:sz w:val="19"/>
        </w:rPr>
        <w:t>server.py</w:t>
      </w:r>
      <w:r>
        <w:t xml:space="preserve"> contains </w:t>
      </w:r>
      <w:r>
        <w:rPr>
          <w:rFonts w:ascii="Consolas" w:hAnsi="Consolas"/>
          <w:color w:val="805AD5"/>
          <w:sz w:val="19"/>
        </w:rPr>
        <w:t>FederatedServerAggregator</w:t>
      </w:r>
      <w:r>
        <w:t>, the central orchestration engine.</w:t>
      </w:r>
    </w:p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Responsibilities:</w:t>
      </w:r>
    </w:p>
    <w:p>
      <w:pPr>
        <w:pStyle w:val="ListNumber"/>
        <w:spacing w:before="20" w:after="40"/>
      </w:pPr>
      <w:r>
        <w:rPr>
          <w:b/>
        </w:rPr>
        <w:t>Global Weight State</w:t>
      </w:r>
      <w:r>
        <w:t xml:space="preserve">: Maintains the global model parameter matrix </w:t>
      </w:r>
      <w:r>
        <w:rPr>
          <w:rFonts w:ascii="Cambria Math" w:hAnsi="Cambria Math"/>
          <w:i/>
          <w:color w:val="1A365D"/>
          <w:sz w:val="21"/>
        </w:rPr>
        <w:t>‖W‖ ‖ ‖∈‖ ‖ ‖ℝ‖^‖{‖1‖0‖ ‖ ‖×‖ ‖ ‖6‖4‖}‖</w:t>
      </w:r>
      <w:r>
        <w:t>.</w:t>
      </w:r>
    </w:p>
    <w:p>
      <w:pPr>
        <w:pStyle w:val="ListNumber"/>
        <w:spacing w:before="20" w:after="40"/>
      </w:pPr>
      <w:r>
        <w:rPr>
          <w:b/>
        </w:rPr>
        <w:t>Federated Averaging (`execute_federated_round`)</w:t>
      </w:r>
      <w:r>
        <w:t>:</w:t>
      </w:r>
    </w:p>
    <w:p>
      <w:pPr>
        <w:pStyle w:val="ListBullet"/>
        <w:spacing w:before="20" w:after="40"/>
      </w:pPr>
      <w:r>
        <w:t xml:space="preserve">Instructs each </w:t>
      </w:r>
      <w:r>
        <w:rPr>
          <w:rFonts w:ascii="Consolas" w:hAnsi="Consolas"/>
          <w:color w:val="805AD5"/>
          <w:sz w:val="19"/>
        </w:rPr>
        <w:t>LocalHospitalWorker</w:t>
      </w:r>
      <w:r>
        <w:t xml:space="preserve"> to train locally on its private partition.</w:t>
      </w:r>
    </w:p>
    <w:p>
      <w:pPr>
        <w:pStyle w:val="ListBullet"/>
        <w:spacing w:before="20" w:after="40"/>
      </w:pPr>
      <w:r>
        <w:t xml:space="preserve">Collects privacy-perturbed gradient updates </w:t>
      </w:r>
      <w:r>
        <w:rPr>
          <w:rFonts w:ascii="Cambria Math" w:hAnsi="Cambria Math"/>
          <w:i/>
          <w:color w:val="1A365D"/>
          <w:sz w:val="21"/>
        </w:rPr>
        <w:t>‖‖w‖i‖d‖e‖t‖i‖l‖d‖e‖{‖Δ‖ ‖W‖}‖_‖k‖</w:t>
      </w:r>
      <w:r>
        <w:t>.</w:t>
      </w:r>
    </w:p>
    <w:p>
      <w:pPr>
        <w:pStyle w:val="ListBullet"/>
        <w:spacing w:before="20" w:after="40"/>
      </w:pPr>
      <w:r>
        <w:t>Computes sample-weighted average: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‖W‖_‖{‖g‖l‖o‖b‖a‖l‖}‖^‖{‖(‖t‖+‖1‖)‖}‖ ‖=‖ ‖W‖_‖{‖g‖l‖o‖b‖a‖l‖}‖^‖{‖(‖t‖)‖}‖ ‖+‖ ‖∑‖(‖k‖=‖1‖…‖K‖)‖ ‖ ‖≤‖ ‖f‖t‖(‖ ‖(‖n‖_‖k‖ ‖/‖ ‖∑‖ ‖n‖_‖j‖)‖ ‖‖r‖i‖g‖h‖t‖)‖ ‖‖w‖i‖d‖e‖t‖i‖l‖d‖e‖{‖Δ‖ ‖W‖}‖_‖k‖</w:t>
            </w:r>
          </w:p>
        </w:tc>
      </w:tr>
    </w:tbl>
    <w:p/>
    <w:p>
      <w:pPr>
        <w:pStyle w:val="ListNumber"/>
        <w:spacing w:before="20" w:after="40"/>
      </w:pPr>
      <w:r>
        <w:rPr>
          <w:b/>
        </w:rPr>
        <w:t>Multi-Ancestry Evaluation (`evaluate_global_model`)</w:t>
      </w:r>
      <w:r>
        <w:t>: Evaluates the global model on a held-out test dataset (</w:t>
      </w:r>
      <w:r>
        <w:rPr>
          <w:rFonts w:ascii="Cambria Math" w:hAnsi="Cambria Math"/>
          <w:i/>
          <w:color w:val="1A365D"/>
          <w:sz w:val="21"/>
        </w:rPr>
        <w:t>‖N‖=‖6‖0‖0‖</w:t>
      </w:r>
      <w:r>
        <w:t>) and breaks down performance across distinct populations:</w:t>
      </w:r>
    </w:p>
    <w:p>
      <w:pPr>
        <w:pStyle w:val="ListBullet"/>
        <w:spacing w:before="20" w:after="40"/>
      </w:pPr>
      <w:r>
        <w:rPr>
          <w:b/>
        </w:rPr>
        <w:t>EUR</w:t>
      </w:r>
      <w:r>
        <w:t xml:space="preserve"> (European ancestry)</w:t>
      </w:r>
    </w:p>
    <w:p>
      <w:pPr>
        <w:pStyle w:val="ListBullet"/>
        <w:spacing w:before="20" w:after="40"/>
      </w:pPr>
      <w:r>
        <w:rPr>
          <w:b/>
        </w:rPr>
        <w:t>SAS</w:t>
      </w:r>
      <w:r>
        <w:t xml:space="preserve"> (South Asian ancestry)</w:t>
      </w:r>
    </w:p>
    <w:p>
      <w:pPr>
        <w:pStyle w:val="ListBullet"/>
        <w:spacing w:before="20" w:after="40"/>
      </w:pPr>
      <w:r>
        <w:rPr>
          <w:b/>
        </w:rPr>
        <w:t>AFR</w:t>
      </w:r>
      <w:r>
        <w:t xml:space="preserve"> (African ancestry)</w:t>
      </w:r>
    </w:p>
    <w:p>
      <w:pPr>
        <w:pStyle w:val="ListBullet"/>
        <w:spacing w:before="20" w:after="40"/>
      </w:pPr>
      <w:r>
        <w:t>Computes Loss, Raw Accuracy, and Balanced Accuracy: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‖B‖a‖l‖a‖n‖c‖e‖d‖ ‖A‖c‖c‖u‖r‖a‖c‖y‖ ‖=‖ ‖(‖S‖e‖n‖s‖i‖t‖i‖v‖i‖t‖y‖ ‖+‖ ‖S‖p‖e‖c‖i‖f‖i‖c‖i‖t‖y‖ ‖/‖ ‖2‖)‖</w:t>
            </w:r>
          </w:p>
        </w:tc>
      </w:tr>
    </w:tbl>
    <w:p/>
    <w:p>
      <w:pPr>
        <w:pStyle w:val="ListNumber"/>
        <w:spacing w:before="20" w:after="40"/>
      </w:pPr>
      <w:r>
        <w:rPr>
          <w:b/>
        </w:rPr>
        <w:t>Domain Switching</w:t>
      </w:r>
      <w:r>
        <w:t xml:space="preserve">: Supports dynamically switching between </w:t>
      </w:r>
      <w:r>
        <w:rPr>
          <w:rFonts w:ascii="Consolas" w:hAnsi="Consolas"/>
          <w:color w:val="805AD5"/>
          <w:sz w:val="19"/>
        </w:rPr>
        <w:t>genomics</w:t>
      </w:r>
      <w:r>
        <w:t xml:space="preserve"> and </w:t>
      </w:r>
      <w:r>
        <w:rPr>
          <w:rFonts w:ascii="Consolas" w:hAnsi="Consolas"/>
          <w:color w:val="805AD5"/>
          <w:sz w:val="19"/>
        </w:rPr>
        <w:t>omop_clinical_ehr</w:t>
      </w:r>
      <w:r>
        <w:t xml:space="preserve"> without restarting the server.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3.4 `backend/hospital_client.py` -- Local Hospital Node Worker</w:t>
      </w:r>
    </w:p>
    <w:p>
      <w:pPr>
        <w:spacing w:before="40" w:after="80" w:line="276" w:lineRule="auto"/>
      </w:pPr>
      <w:r>
        <w:rPr>
          <w:rFonts w:ascii="Consolas" w:hAnsi="Consolas"/>
          <w:color w:val="805AD5"/>
          <w:sz w:val="19"/>
        </w:rPr>
        <w:t>hospital_client.py</w:t>
      </w:r>
      <w:r>
        <w:t xml:space="preserve"> simulates an isolated compute enclave inside a hospital network.</w:t>
      </w:r>
    </w:p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Responsibilities:</w:t>
      </w:r>
    </w:p>
    <w:p>
      <w:pPr>
        <w:pStyle w:val="ListNumber"/>
        <w:spacing w:before="20" w:after="40"/>
      </w:pPr>
      <w:r>
        <w:rPr>
          <w:b/>
        </w:rPr>
        <w:t>Class-Weighted Gradient Descent (`train_local_epoch`)</w:t>
      </w:r>
      <w:r>
        <w:t>:</w:t>
      </w:r>
    </w:p>
    <w:p>
      <w:pPr>
        <w:pStyle w:val="ListBullet"/>
        <w:spacing w:before="20" w:after="40"/>
      </w:pPr>
      <w:r>
        <w:t xml:space="preserve">Computes positive class weight </w:t>
      </w:r>
      <w:r>
        <w:rPr>
          <w:rFonts w:ascii="Cambria Math" w:hAnsi="Cambria Math"/>
          <w:i/>
          <w:color w:val="1A365D"/>
          <w:sz w:val="21"/>
        </w:rPr>
        <w:t>‖w‖_‖{‖p‖o‖s‖}‖ ‖=‖ ‖‖f‖r‖a‖c‖{‖N‖_‖{‖n‖e‖g‖}‖}‖{‖N‖_‖{‖p‖o‖s‖}‖}‖</w:t>
      </w:r>
      <w:r>
        <w:t xml:space="preserve"> to prevent majority-class bias.</w:t>
      </w:r>
    </w:p>
    <w:p>
      <w:pPr>
        <w:pStyle w:val="ListBullet"/>
        <w:spacing w:before="20" w:after="40"/>
      </w:pPr>
      <w:r>
        <w:t>Performs mini-batch Stochastic Gradient Descent (SGD) with L2 weight decay (</w:t>
      </w:r>
      <w:r>
        <w:rPr>
          <w:rFonts w:ascii="Cambria Math" w:hAnsi="Cambria Math"/>
          <w:i/>
          <w:color w:val="1A365D"/>
          <w:sz w:val="21"/>
        </w:rPr>
        <w:t>‖λ‖ ‖=‖ ‖1‖0‖^‖{‖-‖3‖}‖</w:t>
      </w:r>
      <w:r>
        <w:t>) over local training data.</w:t>
      </w:r>
    </w:p>
    <w:p>
      <w:pPr>
        <w:pStyle w:val="ListNumber"/>
        <w:spacing w:before="20" w:after="40"/>
      </w:pPr>
      <w:r>
        <w:rPr>
          <w:b/>
        </w:rPr>
        <w:t>Local Weight Differential Calculation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‖Δ‖ ‖W‖_‖{‖l‖o‖c‖a‖l‖}‖ ‖=‖ ‖W‖_‖{‖l‖o‖c‖a‖l‖}‖^‖{‖(‖t‖r‖a‖i‖n‖e‖d‖)‖}‖ ‖-‖ ‖W‖_‖{‖g‖l‖o‖b‖a‖l‖}‖</w:t>
            </w:r>
          </w:p>
        </w:tc>
      </w:tr>
    </w:tbl>
    <w:p/>
    <w:p>
      <w:pPr>
        <w:pStyle w:val="ListNumber"/>
        <w:spacing w:before="20" w:after="40"/>
      </w:pPr>
      <w:r>
        <w:rPr>
          <w:b/>
        </w:rPr>
        <w:t>Differential Privacy Perturbation</w:t>
      </w:r>
      <w:r>
        <w:t xml:space="preserve">: Calls </w:t>
      </w:r>
      <w:r>
        <w:rPr>
          <w:rFonts w:ascii="Consolas" w:hAnsi="Consolas"/>
          <w:color w:val="805AD5"/>
          <w:sz w:val="19"/>
        </w:rPr>
        <w:t>privacy_guard.add_laplace_noise_to_weights()</w:t>
      </w:r>
      <w:r>
        <w:t xml:space="preserve"> to add calibrated Laplace noise to </w:t>
      </w:r>
      <w:r>
        <w:rPr>
          <w:rFonts w:ascii="Cambria Math" w:hAnsi="Cambria Math"/>
          <w:i/>
          <w:color w:val="1A365D"/>
          <w:sz w:val="21"/>
        </w:rPr>
        <w:t>‖Δ‖ ‖W‖_‖{‖l‖o‖c‖a‖l‖}‖</w:t>
      </w:r>
      <w:r>
        <w:t xml:space="preserve"> before returning it to the aggregator.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3.5 `backend/privacy_guard.py` -- Rényi Differential Privacy (RDP) Engine</w:t>
      </w:r>
    </w:p>
    <w:p>
      <w:pPr>
        <w:spacing w:before="40" w:after="80" w:line="276" w:lineRule="auto"/>
      </w:pPr>
      <w:r>
        <w:rPr>
          <w:rFonts w:ascii="Consolas" w:hAnsi="Consolas"/>
          <w:color w:val="805AD5"/>
          <w:sz w:val="19"/>
        </w:rPr>
        <w:t>privacy_guard.py</w:t>
      </w:r>
      <w:r>
        <w:t xml:space="preserve"> implements mathematical privacy accounting matching Google </w:t>
      </w:r>
      <w:r>
        <w:rPr>
          <w:rFonts w:ascii="Consolas" w:hAnsi="Consolas"/>
          <w:color w:val="805AD5"/>
          <w:sz w:val="19"/>
        </w:rPr>
        <w:t>dp-accounting</w:t>
      </w:r>
      <w:r>
        <w:t xml:space="preserve"> and Meta </w:t>
      </w:r>
      <w:r>
        <w:rPr>
          <w:rFonts w:ascii="Consolas" w:hAnsi="Consolas"/>
          <w:color w:val="805AD5"/>
          <w:sz w:val="19"/>
        </w:rPr>
        <w:t>Opacus</w:t>
      </w:r>
      <w:r>
        <w:t xml:space="preserve"> standards.</w:t>
      </w:r>
    </w:p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Key Classes: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RenyiDifferentialPrivacyAccountant</w:t>
      </w:r>
      <w:r>
        <w:t>:</w:t>
      </w:r>
    </w:p>
    <w:p>
      <w:pPr>
        <w:pStyle w:val="ListBullet"/>
        <w:spacing w:before="20" w:after="40"/>
      </w:pPr>
      <w:r>
        <w:t xml:space="preserve">Computes exact RDP order divergence </w:t>
      </w:r>
      <w:r>
        <w:rPr>
          <w:rFonts w:ascii="Cambria Math" w:hAnsi="Cambria Math"/>
          <w:i/>
          <w:color w:val="1A365D"/>
          <w:sz w:val="21"/>
        </w:rPr>
        <w:t>‖𝒟‖_‖α‖</w:t>
      </w:r>
      <w:r>
        <w:t xml:space="preserve"> across orders </w:t>
      </w:r>
      <w:r>
        <w:rPr>
          <w:rFonts w:ascii="Cambria Math" w:hAnsi="Cambria Math"/>
          <w:i/>
          <w:color w:val="1A365D"/>
          <w:sz w:val="21"/>
        </w:rPr>
        <w:t>‖α‖ ‖ ‖∈‖ ‖ ‖[‖1‖.‖2‖5‖,‖ ‖6‖4‖.‖0‖]‖</w:t>
      </w:r>
      <w:r>
        <w:t>.</w:t>
      </w:r>
    </w:p>
    <w:p>
      <w:pPr>
        <w:pStyle w:val="ListBullet"/>
        <w:spacing w:before="20" w:after="40"/>
      </w:pPr>
      <w:r>
        <w:t xml:space="preserve">Composes RDP across multiple training rounds: </w:t>
      </w:r>
      <w:r>
        <w:rPr>
          <w:rFonts w:ascii="Cambria Math" w:hAnsi="Cambria Math"/>
          <w:i/>
          <w:color w:val="1A365D"/>
          <w:sz w:val="21"/>
        </w:rPr>
        <w:t>‖𝒟‖_‖α‖^‖{‖(‖T‖)‖}‖ ‖=‖ ‖∑‖ ‖𝒟‖_‖α‖^‖{‖(‖t‖)‖}‖</w:t>
      </w:r>
      <w:r>
        <w:t>.</w:t>
      </w:r>
    </w:p>
    <w:p>
      <w:pPr>
        <w:pStyle w:val="ListBullet"/>
        <w:spacing w:before="20" w:after="40"/>
      </w:pPr>
      <w:r>
        <w:t xml:space="preserve">Converts composed RDP to standard </w:t>
      </w:r>
      <w:r>
        <w:rPr>
          <w:rFonts w:ascii="Cambria Math" w:hAnsi="Cambria Math"/>
          <w:i/>
          <w:color w:val="1A365D"/>
          <w:sz w:val="21"/>
        </w:rPr>
        <w:t>‖(‖ε‖,‖ ‖δ‖)‖</w:t>
      </w:r>
      <w:r>
        <w:t>-DP bounds via: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</w:tcPr>
          <w:p>
            <w:pPr>
              <w:spacing w:before="160" w:after="160"/>
              <w:jc w:val="center"/>
            </w:pPr>
            <w:r>
              <w:rPr>
                <w:rFonts w:ascii="Cambria Math" w:hAnsi="Cambria Math"/>
                <w:b/>
                <w:color w:val="1A365D"/>
                <w:sz w:val="24"/>
              </w:rPr>
              <w:t>‖ε‖(‖δ‖)‖ ‖=‖ ‖‖m‖i‖n‖_‖{‖α‖ ‖&gt;‖ ‖1‖}‖ ‖ ‖≤‖ ‖f‖t‖[‖ ‖𝒟‖_‖α‖^‖{‖(‖T‖)‖}‖ ‖+‖ ‖(‖‖l‖n‖(‖1‖/‖δ‖)‖ ‖/‖ ‖α‖ ‖-‖ ‖1‖)‖ ‖‖r‖i‖g‖h‖t‖]‖</w:t>
            </w:r>
          </w:p>
        </w:tc>
      </w:tr>
    </w:tbl>
    <w:p/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PrivacyGuardEngine</w:t>
      </w:r>
      <w:r>
        <w:t>:</w:t>
      </w:r>
    </w:p>
    <w:p>
      <w:pPr>
        <w:pStyle w:val="ListBullet"/>
        <w:spacing w:before="20" w:after="40"/>
      </w:pPr>
      <w:r>
        <w:t xml:space="preserve">Applies zero-mean Laplace noise: </w:t>
      </w:r>
      <w:r>
        <w:rPr>
          <w:rFonts w:ascii="Cambria Math" w:hAnsi="Cambria Math"/>
          <w:i/>
          <w:color w:val="1A365D"/>
          <w:sz w:val="21"/>
        </w:rPr>
        <w:t>‖L‖a‖p‖l‖a‖c‖e‖ ‖≤‖ ‖f‖t‖(‖0‖,‖ ‖‖f‖r‖a‖c‖{‖Δ‖_‖S‖}‖{‖ε‖_‖{‖s‖t‖e‖p‖}‖}‖‖r‖i‖g‖h‖t‖)‖</w:t>
      </w:r>
      <w:r>
        <w:t xml:space="preserve"> with sensitivity </w:t>
      </w:r>
      <w:r>
        <w:rPr>
          <w:rFonts w:ascii="Cambria Math" w:hAnsi="Cambria Math"/>
          <w:i/>
          <w:color w:val="1A365D"/>
          <w:sz w:val="21"/>
        </w:rPr>
        <w:t>‖Δ‖_‖S‖ ‖=‖ ‖0‖.‖2‖</w:t>
      </w:r>
      <w:r>
        <w:t>.</w:t>
      </w:r>
    </w:p>
    <w:p>
      <w:pPr>
        <w:pStyle w:val="ListBullet"/>
        <w:spacing w:before="20" w:after="40"/>
      </w:pPr>
      <w:r>
        <w:t xml:space="preserve">Enforces hard privacy budget limits (default </w:t>
      </w:r>
      <w:r>
        <w:rPr>
          <w:rFonts w:ascii="Cambria Math" w:hAnsi="Cambria Math"/>
          <w:i/>
          <w:color w:val="1A365D"/>
          <w:sz w:val="21"/>
        </w:rPr>
        <w:t>‖ε‖_‖{‖t‖o‖t‖a‖l‖}‖ ‖=‖ ‖1‖0‖.‖0‖,‖ ‖δ‖ ‖=‖ ‖1‖0‖^‖{‖-‖5‖}‖</w:t>
      </w:r>
      <w:r>
        <w:t>).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3.6 `backend/dataset.py` -- Genomic &amp; Clinical Data Engine</w:t>
      </w:r>
    </w:p>
    <w:p>
      <w:pPr>
        <w:spacing w:before="40" w:after="80" w:line="276" w:lineRule="auto"/>
      </w:pPr>
      <w:r>
        <w:rPr>
          <w:rFonts w:ascii="Consolas" w:hAnsi="Consolas"/>
          <w:color w:val="805AD5"/>
          <w:sz w:val="19"/>
        </w:rPr>
        <w:t>dataset.py</w:t>
      </w:r>
      <w:r>
        <w:t xml:space="preserve"> defines the loci features, clinical interpretations, and data generators.</w:t>
      </w:r>
    </w:p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Domain 1: Multi-Ancestry Genomic Loci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rsID</w:t>
            </w:r>
          </w:p>
        </w:tc>
        <w:tc>
          <w:tcPr>
            <w:tcW w:type="dxa" w:w="156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Gene</w:t>
            </w:r>
          </w:p>
        </w:tc>
        <w:tc>
          <w:tcPr>
            <w:tcW w:type="dxa" w:w="156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Coordinate (GRCh38)</w:t>
            </w:r>
          </w:p>
        </w:tc>
        <w:tc>
          <w:tcPr>
            <w:tcW w:type="dxa" w:w="156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Clinical Significance</w:t>
            </w:r>
          </w:p>
        </w:tc>
        <w:tc>
          <w:tcPr>
            <w:tcW w:type="dxa" w:w="156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Variant Class</w:t>
            </w:r>
          </w:p>
        </w:tc>
        <w:tc>
          <w:tcPr>
            <w:tcW w:type="dxa" w:w="156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Effect Weight</w:t>
            </w:r>
          </w:p>
        </w:tc>
      </w:tr>
      <w:tr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rs1799966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BRCA1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chr17:43045677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Benign / Polymorphism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Monogenic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Clinical finding</w:t>
            </w:r>
          </w:p>
        </w:tc>
      </w:tr>
      <w:tr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rs80357711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BRCA1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chr17:43057062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Pathogenic (Breast Cancer)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Monogenic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Clinical finding</w:t>
            </w:r>
          </w:p>
        </w:tc>
      </w:tr>
      <w:tr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rs7903146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TCF7L2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chr10:112998590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Type 2 Diabetes Risk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Polygenic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ambria Math" w:hAnsi="Cambria Math"/>
                <w:i/>
                <w:color w:val="1A365D"/>
                <w:sz w:val="21"/>
              </w:rPr>
              <w:t>‖β‖ ‖=‖ ‖0‖.‖6‖5‖</w:t>
            </w:r>
          </w:p>
        </w:tc>
      </w:tr>
      <w:tr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rs429358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APOE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chr19:44908684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Alzheimer's / CVD Risk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Polygenic</w:t>
            </w:r>
          </w:p>
        </w:tc>
        <w:tc>
          <w:tcPr>
            <w:tcW w:type="dxa" w:w="156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ambria Math" w:hAnsi="Cambria Math"/>
                <w:i/>
                <w:color w:val="1A365D"/>
                <w:sz w:val="21"/>
              </w:rPr>
              <w:t>‖β‖ ‖=‖ ‖0‖.‖8‖5‖</w:t>
            </w:r>
          </w:p>
        </w:tc>
      </w:tr>
      <w:tr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805AD5"/>
                <w:sz w:val="19"/>
              </w:rPr>
              <w:t>rs1042522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TP53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chr17:7676154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Pathogenic Predisposition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Monogenic</w:t>
            </w:r>
          </w:p>
        </w:tc>
        <w:tc>
          <w:tcPr>
            <w:tcW w:type="dxa" w:w="156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Clinical finding</w:t>
            </w:r>
          </w:p>
        </w:tc>
      </w:tr>
    </w:tbl>
    <w:p/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Scientific Risk Separation: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evaluate_monogenic_findings(profile)</w:t>
      </w:r>
      <w:r>
        <w:t>: Reports discrete presence/absence of high-penetrance mutations (</w:t>
      </w:r>
      <w:r>
        <w:rPr>
          <w:rFonts w:ascii="Consolas" w:hAnsi="Consolas"/>
          <w:color w:val="805AD5"/>
          <w:sz w:val="19"/>
        </w:rPr>
        <w:t>POSITIVE</w:t>
      </w:r>
      <w:r>
        <w:t xml:space="preserve"> / </w:t>
      </w:r>
      <w:r>
        <w:rPr>
          <w:rFonts w:ascii="Consolas" w:hAnsi="Consolas"/>
          <w:color w:val="805AD5"/>
          <w:sz w:val="19"/>
        </w:rPr>
        <w:t>NEGATIVE</w:t>
      </w:r>
      <w:r>
        <w:t>) with clinical follow-up guidance.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calculate_prs_percentile(polygenic_features, weights, ref_dist)</w:t>
      </w:r>
      <w:r>
        <w:t>: Computes raw PRS using published GWAS effect weights and determines the exact population percentile (</w:t>
      </w:r>
      <w:r>
        <w:rPr>
          <w:rFonts w:ascii="Cambria Math" w:hAnsi="Cambria Math"/>
          <w:i/>
          <w:color w:val="1A365D"/>
          <w:sz w:val="21"/>
        </w:rPr>
        <w:t>‖0‖-‖1‖0‖0‖‖%‖</w:t>
      </w:r>
      <w:r>
        <w:t>) against an empirical distribution of 2,800 reference samples.</w:t>
      </w:r>
    </w:p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Domain 2: OHDSI OMOP Clinical EHR</w:t>
      </w:r>
    </w:p>
    <w:p>
      <w:pPr>
        <w:pStyle w:val="ListBullet"/>
        <w:spacing w:before="20" w:after="40"/>
      </w:pPr>
      <w:r>
        <w:t>Implements 5 binary features for OMOP Condition Occurrences (</w:t>
      </w:r>
      <w:r>
        <w:rPr>
          <w:rFonts w:ascii="Consolas" w:hAnsi="Consolas"/>
          <w:color w:val="805AD5"/>
          <w:sz w:val="19"/>
        </w:rPr>
        <w:t>Asthma</w:t>
      </w:r>
      <w:r>
        <w:t xml:space="preserve">, </w:t>
      </w:r>
      <w:r>
        <w:rPr>
          <w:rFonts w:ascii="Consolas" w:hAnsi="Consolas"/>
          <w:color w:val="805AD5"/>
          <w:sz w:val="19"/>
        </w:rPr>
        <w:t>Type 2 Diabetes</w:t>
      </w:r>
      <w:r>
        <w:t xml:space="preserve">, </w:t>
      </w:r>
      <w:r>
        <w:rPr>
          <w:rFonts w:ascii="Consolas" w:hAnsi="Consolas"/>
          <w:color w:val="805AD5"/>
          <w:sz w:val="19"/>
        </w:rPr>
        <w:t>Myocardial Infarction</w:t>
      </w:r>
      <w:r>
        <w:t>) and Drug Exposures (</w:t>
      </w:r>
      <w:r>
        <w:rPr>
          <w:rFonts w:ascii="Consolas" w:hAnsi="Consolas"/>
          <w:color w:val="805AD5"/>
          <w:sz w:val="19"/>
        </w:rPr>
        <w:t>Statins</w:t>
      </w:r>
      <w:r>
        <w:t xml:space="preserve">, </w:t>
      </w:r>
      <w:r>
        <w:rPr>
          <w:rFonts w:ascii="Consolas" w:hAnsi="Consolas"/>
          <w:color w:val="805AD5"/>
          <w:sz w:val="19"/>
        </w:rPr>
        <w:t>Metformin</w:t>
      </w:r>
      <w:r>
        <w:t>) predicting 30-day Major Adverse Cardiovascular Event (MACE) risk.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3.7 `backend/schema.py` -- Healthcare Interoperability Schemas</w:t>
      </w:r>
    </w:p>
    <w:p>
      <w:pPr>
        <w:spacing w:before="40" w:after="80" w:line="276" w:lineRule="auto"/>
      </w:pPr>
      <w:r>
        <w:rPr>
          <w:rFonts w:ascii="Consolas" w:hAnsi="Consolas"/>
          <w:color w:val="805AD5"/>
          <w:sz w:val="19"/>
        </w:rPr>
        <w:t>schema.py</w:t>
      </w:r>
      <w:r>
        <w:t xml:space="preserve"> defines strict Pydantic models conforming to international healthcare data standards: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FHIRMolecularSequence</w:t>
      </w:r>
      <w:r>
        <w:t>: Aligned with HL7 FHIR R4 specifications, detailing chromosome, genome build (</w:t>
      </w:r>
      <w:r>
        <w:rPr>
          <w:rFonts w:ascii="Consolas" w:hAnsi="Consolas"/>
          <w:color w:val="805AD5"/>
          <w:sz w:val="19"/>
        </w:rPr>
        <w:t>GRCh38</w:t>
      </w:r>
      <w:r>
        <w:t>), coordinates, reference allele, observed allele, and CIGAR string.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OMOPGenomicMeasurement</w:t>
      </w:r>
      <w:r>
        <w:t>: Aligned with OHDSI OMOP CDM v5.4, providing concept IDs, measurement dates, source values, and unit definitions.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3.8 `backend/discovery.py` -- Zero-Exposure Cohort Discovery</w:t>
      </w:r>
    </w:p>
    <w:p>
      <w:pPr>
        <w:spacing w:before="40" w:after="80" w:line="276" w:lineRule="auto"/>
      </w:pPr>
      <w:r>
        <w:rPr>
          <w:rFonts w:ascii="Consolas" w:hAnsi="Consolas"/>
          <w:color w:val="805AD5"/>
          <w:sz w:val="19"/>
        </w:rPr>
        <w:t>discovery.py</w:t>
      </w:r>
      <w:r>
        <w:t xml:space="preserve"> allows researchers to assess cohort feasibility across the hospital network before initiating study training.</w:t>
      </w:r>
    </w:p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Discovery Algorithm:</w:t>
      </w:r>
    </w:p>
    <w:p>
      <w:pPr>
        <w:pStyle w:val="ListNumber"/>
        <w:spacing w:before="20" w:after="40"/>
      </w:pPr>
      <w:r>
        <w:t>Hospital nodes screen local patient cohorts against input criteria (gene, variant class, minimum dosage).</w:t>
      </w:r>
    </w:p>
    <w:p>
      <w:pPr>
        <w:pStyle w:val="ListNumber"/>
        <w:spacing w:before="20" w:after="40"/>
      </w:pPr>
      <w:r>
        <w:rPr>
          <w:b/>
        </w:rPr>
        <w:t>Small-Cell Suppression ($k$-Anonymity)</w:t>
      </w:r>
      <w:r>
        <w:t xml:space="preserve">: Any hospital node with between </w:t>
      </w:r>
      <w:r>
        <w:rPr>
          <w:rFonts w:ascii="Cambria Math" w:hAnsi="Cambria Math"/>
          <w:i/>
          <w:color w:val="1A365D"/>
          <w:sz w:val="21"/>
        </w:rPr>
        <w:t>‖1‖</w:t>
      </w:r>
      <w:r>
        <w:t xml:space="preserve"> and </w:t>
      </w:r>
      <w:r>
        <w:rPr>
          <w:rFonts w:ascii="Cambria Math" w:hAnsi="Cambria Math"/>
          <w:i/>
          <w:color w:val="1A365D"/>
          <w:sz w:val="21"/>
        </w:rPr>
        <w:t>‖4‖</w:t>
      </w:r>
      <w:r>
        <w:t xml:space="preserve"> matching patients returns </w:t>
      </w:r>
      <w:r>
        <w:rPr>
          <w:rFonts w:ascii="Cambria Math" w:hAnsi="Cambria Math"/>
          <w:i/>
          <w:color w:val="1A365D"/>
          <w:sz w:val="21"/>
        </w:rPr>
        <w:t>‖0‖</w:t>
      </w:r>
      <w:r>
        <w:t xml:space="preserve"> to prevent patient re-identification.</w:t>
      </w:r>
    </w:p>
    <w:p>
      <w:pPr>
        <w:pStyle w:val="ListNumber"/>
        <w:spacing w:before="20" w:after="40"/>
      </w:pPr>
      <w:r>
        <w:t>Aggregator sums the safe node counts and computes estimated statistical power (</w:t>
      </w:r>
      <w:r>
        <w:rPr>
          <w:rFonts w:ascii="Cambria Math" w:hAnsi="Cambria Math"/>
          <w:i/>
          <w:color w:val="1A365D"/>
          <w:sz w:val="21"/>
        </w:rPr>
        <w:t>‖1‖ ‖-‖ ‖β‖</w:t>
      </w:r>
      <w:r>
        <w:t>).</w:t>
      </w:r>
    </w:p>
    <w:p>
      <w:pPr>
        <w:pStyle w:val="ListNumber"/>
        <w:spacing w:before="20" w:after="40"/>
      </w:pPr>
      <w:r>
        <w:rPr>
          <w:b/>
        </w:rPr>
        <w:t>Guarantee</w:t>
      </w:r>
      <w:r>
        <w:t>: Zero row-level patient IDs or records ever leave any hospital node.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4. REST API Endpoint Walkthrough (Swagger API Docs)</w:t>
      </w:r>
    </w:p>
    <w:p>
      <w:pPr>
        <w:spacing w:before="40" w:after="80" w:line="276" w:lineRule="auto"/>
      </w:pPr>
      <w:r>
        <w:t xml:space="preserve">When accessing the interactive API documentation at </w:t>
      </w:r>
      <w:r>
        <w:rPr>
          <w:rFonts w:ascii="Consolas" w:hAnsi="Consolas"/>
          <w:color w:val="805AD5"/>
          <w:sz w:val="19"/>
        </w:rPr>
        <w:t>http://127.0.0.1:8000/docs</w:t>
      </w:r>
      <w:r>
        <w:t>, the following endpoints are available: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Endpoint 1: `GET /` -- Public Health Check</w:t>
      </w:r>
    </w:p>
    <w:p>
      <w:pPr>
        <w:pStyle w:val="ListBullet"/>
        <w:spacing w:before="20" w:after="40"/>
      </w:pPr>
      <w:r>
        <w:rPr>
          <w:b/>
        </w:rPr>
        <w:t>Path</w:t>
      </w:r>
      <w:r>
        <w:t xml:space="preserve">: </w:t>
      </w:r>
      <w:r>
        <w:rPr>
          <w:rFonts w:ascii="Consolas" w:hAnsi="Consolas"/>
          <w:color w:val="805AD5"/>
          <w:sz w:val="19"/>
        </w:rPr>
        <w:t>/</w:t>
      </w:r>
    </w:p>
    <w:p>
      <w:pPr>
        <w:pStyle w:val="ListBullet"/>
        <w:spacing w:before="20" w:after="40"/>
      </w:pPr>
      <w:r>
        <w:rPr>
          <w:b/>
        </w:rPr>
        <w:t>Method</w:t>
      </w:r>
      <w:r>
        <w:t xml:space="preserve">: </w:t>
      </w:r>
      <w:r>
        <w:rPr>
          <w:rFonts w:ascii="Consolas" w:hAnsi="Consolas"/>
          <w:color w:val="805AD5"/>
          <w:sz w:val="19"/>
        </w:rPr>
        <w:t>GET</w:t>
      </w:r>
    </w:p>
    <w:p>
      <w:pPr>
        <w:pStyle w:val="ListBullet"/>
        <w:spacing w:before="20" w:after="40"/>
      </w:pPr>
      <w:r>
        <w:rPr>
          <w:b/>
        </w:rPr>
        <w:t>Authentication</w:t>
      </w:r>
      <w:r>
        <w:t>: None (Public)</w:t>
      </w:r>
    </w:p>
    <w:p>
      <w:pPr>
        <w:pStyle w:val="ListBullet"/>
        <w:spacing w:before="20" w:after="40"/>
      </w:pPr>
      <w:r>
        <w:rPr>
          <w:b/>
        </w:rPr>
        <w:t>Purpose</w:t>
      </w:r>
      <w:r>
        <w:t>: Verifies that the API service is online and reports platform configuration metadata.</w:t>
      </w:r>
    </w:p>
    <w:p>
      <w:pPr>
        <w:pStyle w:val="ListBullet"/>
        <w:spacing w:before="20" w:after="40"/>
      </w:pPr>
      <w:r>
        <w:rPr>
          <w:b/>
        </w:rPr>
        <w:t>Response Example (200 OK)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"status": "ONLINE",</w:t>
              <w:br/>
              <w:t xml:space="preserve">  "service": "Med-Link Federated Learning API",</w:t>
              <w:br/>
              <w:t xml:space="preserve">  "dataset_type": "real_world_derived_benchmark",</w:t>
              <w:br/>
              <w:t xml:space="preserve">  "dataset_description": "1000 Genomes &amp; METABRIC derived multi-ancestry cohort...",</w:t>
              <w:br/>
              <w:t xml:space="preserve">  "populations_represented": ["EUR", "SAS", "AFR"],</w:t>
              <w:br/>
              <w:t xml:space="preserve">  "imbalance_handling": "class_weighted_binary_cross_entropy",</w:t>
              <w:br/>
              <w:t xml:space="preserve">  "active_nodes": 3,</w:t>
              <w:br/>
              <w:t xml:space="preserve">  "rounds_completed": 0,</w:t>
              <w:br/>
              <w:t xml:space="preserve">  "privacy_budget": {</w:t>
              <w:br/>
              <w:t xml:space="preserve">    "accounting_method": "Renyi Differential Privacy (RDP) Moments Accountant",</w:t>
              <w:br/>
              <w:t xml:space="preserve">    "epsilon_total": 10.0,</w:t>
              <w:br/>
              <w:t xml:space="preserve">    "epsilon_used": 0.0,</w:t>
              <w:br/>
              <w:t xml:space="preserve">    "epsilon_remaining": 10.0,</w:t>
              <w:br/>
              <w:t xml:space="preserve">    "delta": 1e-05</w:t>
              <w:br/>
              <w:t xml:space="preserve">  }</w:t>
              <w:br/>
              <w:t>}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Endpoint 2: `POST /auth/login` -- User Authentication</w:t>
      </w:r>
    </w:p>
    <w:p>
      <w:pPr>
        <w:pStyle w:val="ListBullet"/>
        <w:spacing w:before="20" w:after="40"/>
      </w:pPr>
      <w:r>
        <w:rPr>
          <w:b/>
        </w:rPr>
        <w:t>Path</w:t>
      </w:r>
      <w:r>
        <w:t xml:space="preserve">: </w:t>
      </w:r>
      <w:r>
        <w:rPr>
          <w:rFonts w:ascii="Consolas" w:hAnsi="Consolas"/>
          <w:color w:val="805AD5"/>
          <w:sz w:val="19"/>
        </w:rPr>
        <w:t>/auth/login</w:t>
      </w:r>
    </w:p>
    <w:p>
      <w:pPr>
        <w:pStyle w:val="ListBullet"/>
        <w:spacing w:before="20" w:after="40"/>
      </w:pPr>
      <w:r>
        <w:rPr>
          <w:b/>
        </w:rPr>
        <w:t>Method</w:t>
      </w:r>
      <w:r>
        <w:t xml:space="preserve">: </w:t>
      </w:r>
      <w:r>
        <w:rPr>
          <w:rFonts w:ascii="Consolas" w:hAnsi="Consolas"/>
          <w:color w:val="805AD5"/>
          <w:sz w:val="19"/>
        </w:rPr>
        <w:t>POST</w:t>
      </w:r>
    </w:p>
    <w:p>
      <w:pPr>
        <w:pStyle w:val="ListBullet"/>
        <w:spacing w:before="20" w:after="40"/>
      </w:pPr>
      <w:r>
        <w:rPr>
          <w:b/>
        </w:rPr>
        <w:t>Authentication</w:t>
      </w:r>
      <w:r>
        <w:t>: None</w:t>
      </w:r>
    </w:p>
    <w:p>
      <w:pPr>
        <w:pStyle w:val="ListBullet"/>
        <w:spacing w:before="20" w:after="40"/>
      </w:pPr>
      <w:r>
        <w:rPr>
          <w:b/>
        </w:rPr>
        <w:t>Rate Limit</w:t>
      </w:r>
      <w:r>
        <w:t>: 10 requests / 10 seconds</w:t>
      </w:r>
    </w:p>
    <w:p>
      <w:pPr>
        <w:pStyle w:val="ListBullet"/>
        <w:spacing w:before="20" w:after="40"/>
      </w:pPr>
      <w:r>
        <w:rPr>
          <w:b/>
        </w:rPr>
        <w:t>Request Body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"email": "dr.smith@genome.edu",</w:t>
              <w:br/>
              <w:t xml:space="preserve">  "password": "secure123"</w:t>
              <w:br/>
              <w:t>}</w:t>
            </w:r>
          </w:p>
        </w:tc>
      </w:tr>
    </w:tbl>
    <w:p/>
    <w:p>
      <w:pPr>
        <w:pStyle w:val="ListBullet"/>
        <w:spacing w:before="20" w:after="40"/>
      </w:pPr>
      <w:r>
        <w:rPr>
          <w:b/>
        </w:rPr>
        <w:t>Response Example (200 OK)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"access_token": "eyJhbGciOiJIUzI1NiIsInR5cCI6IkpXVCJ9...",</w:t>
              <w:br/>
              <w:t xml:space="preserve">  "token_type": "bearer",</w:t>
              <w:br/>
              <w:t xml:space="preserve">  "expires_in_minutes": 60,</w:t>
              <w:br/>
              <w:t xml:space="preserve">  "user": {</w:t>
              <w:br/>
              <w:t xml:space="preserve">    "email": "dr.smith@genome.edu",</w:t>
              <w:br/>
              <w:t xml:space="preserve">    "name": "Dr. Sarah Smith",</w:t>
              <w:br/>
              <w:t xml:space="preserve">    "role": "researcher"</w:t>
              <w:br/>
              <w:t xml:space="preserve">  }</w:t>
              <w:br/>
              <w:t>}</w:t>
            </w:r>
          </w:p>
        </w:tc>
      </w:tr>
    </w:tbl>
    <w:p/>
    <w:p>
      <w:pPr>
        <w:pStyle w:val="ListBullet"/>
        <w:spacing w:before="20" w:after="40"/>
      </w:pPr>
      <w:r>
        <w:rPr>
          <w:b/>
        </w:rPr>
        <w:t>Error Responses</w:t>
      </w:r>
      <w:r>
        <w:t>: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401 Unauthorized</w:t>
      </w:r>
      <w:r>
        <w:t>: Invalid email or password.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Endpoint 3: `POST /api/fl/run-round` -- Execute Federated Training Round</w:t>
      </w:r>
    </w:p>
    <w:p>
      <w:pPr>
        <w:pStyle w:val="ListBullet"/>
        <w:spacing w:before="20" w:after="40"/>
      </w:pPr>
      <w:r>
        <w:rPr>
          <w:b/>
        </w:rPr>
        <w:t>Path</w:t>
      </w:r>
      <w:r>
        <w:t xml:space="preserve">: </w:t>
      </w:r>
      <w:r>
        <w:rPr>
          <w:rFonts w:ascii="Consolas" w:hAnsi="Consolas"/>
          <w:color w:val="805AD5"/>
          <w:sz w:val="19"/>
        </w:rPr>
        <w:t>/api/fl/run-round</w:t>
      </w:r>
    </w:p>
    <w:p>
      <w:pPr>
        <w:pStyle w:val="ListBullet"/>
        <w:spacing w:before="20" w:after="40"/>
      </w:pPr>
      <w:r>
        <w:rPr>
          <w:b/>
        </w:rPr>
        <w:t>Method</w:t>
      </w:r>
      <w:r>
        <w:t xml:space="preserve">: </w:t>
      </w:r>
      <w:r>
        <w:rPr>
          <w:rFonts w:ascii="Consolas" w:hAnsi="Consolas"/>
          <w:color w:val="805AD5"/>
          <w:sz w:val="19"/>
        </w:rPr>
        <w:t>POST</w:t>
      </w:r>
    </w:p>
    <w:p>
      <w:pPr>
        <w:pStyle w:val="ListBullet"/>
        <w:spacing w:before="20" w:after="40"/>
      </w:pPr>
      <w:r>
        <w:rPr>
          <w:b/>
        </w:rPr>
        <w:t>Authentication</w:t>
      </w:r>
      <w:r>
        <w:t>: Bearer JWT Required</w:t>
      </w:r>
    </w:p>
    <w:p>
      <w:pPr>
        <w:pStyle w:val="ListBullet"/>
        <w:spacing w:before="20" w:after="40"/>
      </w:pPr>
      <w:r>
        <w:rPr>
          <w:b/>
        </w:rPr>
        <w:t>Rate Limit</w:t>
      </w:r>
      <w:r>
        <w:t>: 10 requests / 10 seconds</w:t>
      </w:r>
    </w:p>
    <w:p>
      <w:pPr>
        <w:pStyle w:val="ListBullet"/>
        <w:spacing w:before="20" w:after="40"/>
      </w:pPr>
      <w:r>
        <w:rPr>
          <w:b/>
        </w:rPr>
        <w:t>Request Body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"epsilon_step": 0.3,</w:t>
              <w:br/>
              <w:t xml:space="preserve">  "study_id": "study_gwas_01",</w:t>
              <w:br/>
              <w:t xml:space="preserve">  "domain": "genomics"</w:t>
              <w:br/>
              <w:t>}</w:t>
            </w:r>
          </w:p>
        </w:tc>
      </w:tr>
    </w:tbl>
    <w:p/>
    <w:p>
      <w:pPr>
        <w:pStyle w:val="ListBullet"/>
        <w:spacing w:before="20" w:after="40"/>
      </w:pPr>
      <w:r>
        <w:rPr>
          <w:b/>
        </w:rPr>
        <w:t>Response Example (200 OK)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"success": true,</w:t>
              <w:br/>
              <w:t xml:space="preserve">  "triggered_by": "Dr. Sarah Smith",</w:t>
              <w:br/>
              <w:t xml:space="preserve">  "data": {</w:t>
              <w:br/>
              <w:t xml:space="preserve">    "round": 1,</w:t>
              <w:br/>
              <w:t xml:space="preserve">    "domain": "genomics",</w:t>
              <w:br/>
              <w:t xml:space="preserve">    "loss": 0.6209,</w:t>
              <w:br/>
              <w:t xml:space="preserve">    "accuracy": 0.7600,</w:t>
              <w:br/>
              <w:t xml:space="preserve">    "population_metrics": {</w:t>
              <w:br/>
              <w:t xml:space="preserve">      "EUR": { "population_code": "EUR", "test_samples": 200, "accuracy": 0.785, "balanced_accuracy": 0.762, "loss": 0.589 },</w:t>
              <w:br/>
              <w:t xml:space="preserve">      "SAS": { "population_code": "SAS", "test_samples": 200, "accuracy": 0.750, "balanced_accuracy": 0.735, "loss": 0.631 },</w:t>
              <w:br/>
              <w:t xml:space="preserve">      "AFR": { "population_code": "AFR", "test_samples": 200, "accuracy": 0.745, "balanced_accuracy": 0.730, "loss": 0.642 }</w:t>
              <w:br/>
              <w:t xml:space="preserve">    },</w:t>
              <w:br/>
              <w:t xml:space="preserve">    "participating_nodes": 3,</w:t>
              <w:br/>
              <w:t xml:space="preserve">    "total_samples": 2400,</w:t>
              <w:br/>
              <w:t xml:space="preserve">    "privacy_status": {</w:t>
              <w:br/>
              <w:t xml:space="preserve">      "epsilon_used": 0.3,</w:t>
              <w:br/>
              <w:t xml:space="preserve">      "epsilon_remaining": 9.7,</w:t>
              <w:br/>
              <w:t xml:space="preserve">      "formal_guarantee": "(0.3, 1e-05)-RDP Differential Privacy"</w:t>
              <w:br/>
              <w:t xml:space="preserve">    },</w:t>
              <w:br/>
              <w:t xml:space="preserve">    "node_updates": [</w:t>
              <w:br/>
              <w:t xml:space="preserve">      { "hospital": "Metro General Genomic Vault", "population_code": "EUR", "local_accuracy": 0.79, "privacy_noise_applied": true },</w:t>
              <w:br/>
              <w:t xml:space="preserve">      { "hospital": "St. Jude &amp; Apollo Biobank", "population_code": "SAS", "local_accuracy": 0.75, "privacy_noise_applied": true },</w:t>
              <w:br/>
              <w:t xml:space="preserve">      { "hospital": "Apex Precision Health Enclave", "population_code": "AFR", "local_accuracy": 0.74, "privacy_noise_applied": true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Endpoint 4: `GET /api/fl/history` -- Federated Round History</w:t>
      </w:r>
    </w:p>
    <w:p>
      <w:pPr>
        <w:pStyle w:val="ListBullet"/>
        <w:spacing w:before="20" w:after="40"/>
      </w:pPr>
      <w:r>
        <w:rPr>
          <w:b/>
        </w:rPr>
        <w:t>Path</w:t>
      </w:r>
      <w:r>
        <w:t xml:space="preserve">: </w:t>
      </w:r>
      <w:r>
        <w:rPr>
          <w:rFonts w:ascii="Consolas" w:hAnsi="Consolas"/>
          <w:color w:val="805AD5"/>
          <w:sz w:val="19"/>
        </w:rPr>
        <w:t>/api/fl/history</w:t>
      </w:r>
    </w:p>
    <w:p>
      <w:pPr>
        <w:pStyle w:val="ListBullet"/>
        <w:spacing w:before="20" w:after="40"/>
      </w:pPr>
      <w:r>
        <w:rPr>
          <w:b/>
        </w:rPr>
        <w:t>Method</w:t>
      </w:r>
      <w:r>
        <w:t xml:space="preserve">: </w:t>
      </w:r>
      <w:r>
        <w:rPr>
          <w:rFonts w:ascii="Consolas" w:hAnsi="Consolas"/>
          <w:color w:val="805AD5"/>
          <w:sz w:val="19"/>
        </w:rPr>
        <w:t>GET</w:t>
      </w:r>
    </w:p>
    <w:p>
      <w:pPr>
        <w:pStyle w:val="ListBullet"/>
        <w:spacing w:before="20" w:after="40"/>
      </w:pPr>
      <w:r>
        <w:rPr>
          <w:b/>
        </w:rPr>
        <w:t>Authentication</w:t>
      </w:r>
      <w:r>
        <w:t>: Bearer JWT Required</w:t>
      </w:r>
    </w:p>
    <w:p>
      <w:pPr>
        <w:pStyle w:val="ListBullet"/>
        <w:spacing w:before="20" w:after="40"/>
      </w:pPr>
      <w:r>
        <w:rPr>
          <w:b/>
        </w:rPr>
        <w:t>Purpose</w:t>
      </w:r>
      <w:r>
        <w:t>: Retrieves chronological training history, loss convergence trajectories, and ancestry metrics across all completed rounds.</w:t>
      </w:r>
    </w:p>
    <w:p>
      <w:pPr>
        <w:pStyle w:val="ListBullet"/>
        <w:spacing w:before="20" w:after="40"/>
      </w:pPr>
      <w:r>
        <w:rPr>
          <w:b/>
        </w:rPr>
        <w:t>Response Example (200 OK)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"rounds_completed": 1,</w:t>
              <w:br/>
              <w:t xml:space="preserve">  "history": [ ...array of round summaries... ]</w:t>
              <w:br/>
              <w:t>}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Endpoint 5: `POST /api/fl/predict` -- Patient Risk Prediction</w:t>
      </w:r>
    </w:p>
    <w:p>
      <w:pPr>
        <w:pStyle w:val="ListBullet"/>
        <w:spacing w:before="20" w:after="40"/>
      </w:pPr>
      <w:r>
        <w:rPr>
          <w:b/>
        </w:rPr>
        <w:t>Path</w:t>
      </w:r>
      <w:r>
        <w:t xml:space="preserve">: </w:t>
      </w:r>
      <w:r>
        <w:rPr>
          <w:rFonts w:ascii="Consolas" w:hAnsi="Consolas"/>
          <w:color w:val="805AD5"/>
          <w:sz w:val="19"/>
        </w:rPr>
        <w:t>/api/fl/predict</w:t>
      </w:r>
    </w:p>
    <w:p>
      <w:pPr>
        <w:pStyle w:val="ListBullet"/>
        <w:spacing w:before="20" w:after="40"/>
      </w:pPr>
      <w:r>
        <w:rPr>
          <w:b/>
        </w:rPr>
        <w:t>Method</w:t>
      </w:r>
      <w:r>
        <w:t xml:space="preserve">: </w:t>
      </w:r>
      <w:r>
        <w:rPr>
          <w:rFonts w:ascii="Consolas" w:hAnsi="Consolas"/>
          <w:color w:val="805AD5"/>
          <w:sz w:val="19"/>
        </w:rPr>
        <w:t>POST</w:t>
      </w:r>
    </w:p>
    <w:p>
      <w:pPr>
        <w:pStyle w:val="ListBullet"/>
        <w:spacing w:before="20" w:after="40"/>
      </w:pPr>
      <w:r>
        <w:rPr>
          <w:b/>
        </w:rPr>
        <w:t>Authentication</w:t>
      </w:r>
      <w:r>
        <w:t>: Bearer JWT Required</w:t>
      </w:r>
    </w:p>
    <w:p>
      <w:pPr>
        <w:pStyle w:val="ListBullet"/>
        <w:spacing w:before="20" w:after="40"/>
      </w:pPr>
      <w:r>
        <w:rPr>
          <w:b/>
        </w:rPr>
        <w:t>Rate Limit</w:t>
      </w:r>
      <w:r>
        <w:t>: 30 requests / 10 seconds</w:t>
      </w:r>
    </w:p>
    <w:p>
      <w:pPr>
        <w:pStyle w:val="ListBullet"/>
        <w:spacing w:before="20" w:after="40"/>
      </w:pPr>
      <w:r>
        <w:rPr>
          <w:b/>
        </w:rPr>
        <w:t>Request Body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"rs1799966": 0.0,</w:t>
              <w:br/>
              <w:t xml:space="preserve">  "rs80357711": 1.0,</w:t>
              <w:br/>
              <w:t xml:space="preserve">  "rs7903146": 2.0,</w:t>
              <w:br/>
              <w:t xml:space="preserve">  "rs429358": 1.0,</w:t>
              <w:br/>
              <w:t xml:space="preserve">  "rs1042522": 0.0</w:t>
              <w:br/>
              <w:t>}</w:t>
            </w:r>
          </w:p>
        </w:tc>
      </w:tr>
    </w:tbl>
    <w:p/>
    <w:p>
      <w:pPr>
        <w:pStyle w:val="ListBullet"/>
        <w:spacing w:before="20" w:after="40"/>
      </w:pPr>
      <w:r>
        <w:rPr>
          <w:b/>
        </w:rPr>
        <w:t>Response Example (200 OK)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"monogenic_findings": [</w:t>
              <w:br/>
              <w:t xml:space="preserve">    {</w:t>
              <w:br/>
              <w:t xml:space="preserve">      "rsid": "rs80357711",</w:t>
              <w:br/>
              <w:t xml:space="preserve">      "gene": "BRCA1",</w:t>
              <w:br/>
              <w:t xml:space="preserve">      "variant_class": "monogenic_high_penetrance",</w:t>
              <w:br/>
              <w:t xml:space="preserve">      "dosage": 1,</w:t>
              <w:br/>
              <w:t xml:space="preserve">      "pathogenic_allele_present": true,</w:t>
              <w:br/>
              <w:t xml:space="preserve">      "clinical_significance": "Pathogenic",</w:t>
              <w:br/>
              <w:t xml:space="preserve">      "clinical_interpretation": "POSITIVE: 1 copy/copies of pathogenic BRCA1 allele detected. High penetrance clinical follow-up indicated."</w:t>
              <w:br/>
              <w:t xml:space="preserve">    }</w:t>
              <w:br/>
              <w:t xml:space="preserve">  ],</w:t>
              <w:br/>
              <w:t xml:space="preserve">  "monogenic_summary": "Pathogenic high-penetrance variant detected",</w:t>
              <w:br/>
              <w:t xml:space="preserve">  "polygenic_risk_percentile": 92.5,</w:t>
              <w:br/>
              <w:t xml:space="preserve">  "polygenic_risk_score": 2.15,</w:t>
              <w:br/>
              <w:t xml:space="preserve">  "polygenic_risk_tier": "High Polygenic Risk (Top Quintile)",</w:t>
              <w:br/>
              <w:t xml:space="preserve">  "polygenic_loci_evaluated": ["rs7903146 (TCF7L2 - T2D)", "rs429358 (APOE - AD/CVD)"],</w:t>
              <w:br/>
              <w:t xml:space="preserve">  "dataset_type": "real_world_derived_benchmark",</w:t>
              <w:br/>
              <w:t xml:space="preserve">  "privacy_guarantee": "Model trained with Laplace DP (ε=0.30)"</w:t>
              <w:br/>
              <w:t>}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Endpoint 6: `GET /api/fl/model-inspect` -- Inspect Global Weight Matrix</w:t>
      </w:r>
    </w:p>
    <w:p>
      <w:pPr>
        <w:pStyle w:val="ListBullet"/>
        <w:spacing w:before="20" w:after="40"/>
      </w:pPr>
      <w:r>
        <w:rPr>
          <w:b/>
        </w:rPr>
        <w:t>Path</w:t>
      </w:r>
      <w:r>
        <w:t xml:space="preserve">: </w:t>
      </w:r>
      <w:r>
        <w:rPr>
          <w:rFonts w:ascii="Consolas" w:hAnsi="Consolas"/>
          <w:color w:val="805AD5"/>
          <w:sz w:val="19"/>
        </w:rPr>
        <w:t>/api/fl/model-inspect</w:t>
      </w:r>
    </w:p>
    <w:p>
      <w:pPr>
        <w:pStyle w:val="ListBullet"/>
        <w:spacing w:before="20" w:after="40"/>
      </w:pPr>
      <w:r>
        <w:rPr>
          <w:b/>
        </w:rPr>
        <w:t>Method</w:t>
      </w:r>
      <w:r>
        <w:t xml:space="preserve">: </w:t>
      </w:r>
      <w:r>
        <w:rPr>
          <w:rFonts w:ascii="Consolas" w:hAnsi="Consolas"/>
          <w:color w:val="805AD5"/>
          <w:sz w:val="19"/>
        </w:rPr>
        <w:t>GET</w:t>
      </w:r>
    </w:p>
    <w:p>
      <w:pPr>
        <w:pStyle w:val="ListBullet"/>
        <w:spacing w:before="20" w:after="40"/>
      </w:pPr>
      <w:r>
        <w:rPr>
          <w:b/>
        </w:rPr>
        <w:t>Authentication</w:t>
      </w:r>
      <w:r>
        <w:t>: Bearer JWT Required (</w:t>
      </w:r>
      <w:r>
        <w:rPr>
          <w:b/>
        </w:rPr>
        <w:t>Researcher Role Strictly Enforced</w:t>
      </w:r>
      <w:r>
        <w:t>)</w:t>
      </w:r>
    </w:p>
    <w:p>
      <w:pPr>
        <w:pStyle w:val="ListBullet"/>
        <w:spacing w:before="20" w:after="40"/>
      </w:pPr>
      <w:r>
        <w:rPr>
          <w:b/>
        </w:rPr>
        <w:t>Purpose</w:t>
      </w:r>
      <w:r>
        <w:t>: Allows authorized researchers to inspect weight tensor parameters, mean, standard deviation, and statistical distributions.</w:t>
      </w:r>
    </w:p>
    <w:p>
      <w:pPr>
        <w:pStyle w:val="ListBullet"/>
        <w:spacing w:before="20" w:after="40"/>
      </w:pPr>
      <w:r>
        <w:rPr>
          <w:b/>
        </w:rPr>
        <w:t>Error Responses</w:t>
      </w:r>
      <w:r>
        <w:t>: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401 Unauthorized</w:t>
      </w:r>
      <w:r>
        <w:t>: No token provided.</w:t>
      </w:r>
    </w:p>
    <w:p>
      <w:pPr>
        <w:pStyle w:val="ListBullet"/>
        <w:spacing w:before="20" w:after="40"/>
      </w:pPr>
      <w:r>
        <w:rPr>
          <w:rFonts w:ascii="Consolas" w:hAnsi="Consolas"/>
          <w:color w:val="805AD5"/>
          <w:sz w:val="19"/>
        </w:rPr>
        <w:t>403 Forbidden</w:t>
      </w:r>
      <w:r>
        <w:t xml:space="preserve">: Token role is not </w:t>
      </w:r>
      <w:r>
        <w:rPr>
          <w:rFonts w:ascii="Consolas" w:hAnsi="Consolas"/>
          <w:color w:val="805AD5"/>
          <w:sz w:val="19"/>
        </w:rPr>
        <w:t>researcher</w:t>
      </w:r>
      <w:r>
        <w:t xml:space="preserve"> (e.g. patient or institution accounts).</w:t>
      </w:r>
    </w:p>
    <w:p>
      <w:pPr>
        <w:pStyle w:val="ListBullet"/>
        <w:spacing w:before="20" w:after="40"/>
      </w:pPr>
      <w:r>
        <w:rPr>
          <w:b/>
        </w:rPr>
        <w:t>Response Example (200 OK)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"current_round": 1,</w:t>
              <w:br/>
              <w:t xml:space="preserve">  "inspected_by": "Dr. Sarah Smith",</w:t>
              <w:br/>
              <w:t xml:space="preserve">  "user_role": "researcher",</w:t>
              <w:br/>
              <w:t xml:space="preserve">  "weight_matrix_shape": [10, 64],</w:t>
              <w:br/>
              <w:t xml:space="preserve">  "weight_matrix_sample": [[0.012, -0.004, 0.045, ...]],</w:t>
              <w:br/>
              <w:t xml:space="preserve">  "mean_weight": 0.0034,</w:t>
              <w:br/>
              <w:t xml:space="preserve">  "weight_std": 0.0412,</w:t>
              <w:br/>
              <w:t xml:space="preserve">  "weight_min": -0.1245,</w:t>
              <w:br/>
              <w:t xml:space="preserve">  "weight_max": 0.1892,</w:t>
              <w:br/>
              <w:t xml:space="preserve">  "privacy_status": { "epsilon_used": 0.3, "delta": 1e-05 }</w:t>
              <w:br/>
              <w:t>}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Endpoint 7: `GET /api/genomics/real-variants` -- Standards-Compliant Variant Catalog</w:t>
      </w:r>
    </w:p>
    <w:p>
      <w:pPr>
        <w:pStyle w:val="ListBullet"/>
        <w:spacing w:before="20" w:after="40"/>
      </w:pPr>
      <w:r>
        <w:rPr>
          <w:b/>
        </w:rPr>
        <w:t>Path</w:t>
      </w:r>
      <w:r>
        <w:t xml:space="preserve">: </w:t>
      </w:r>
      <w:r>
        <w:rPr>
          <w:rFonts w:ascii="Consolas" w:hAnsi="Consolas"/>
          <w:color w:val="805AD5"/>
          <w:sz w:val="19"/>
        </w:rPr>
        <w:t>/api/genomics/real-variants</w:t>
      </w:r>
    </w:p>
    <w:p>
      <w:pPr>
        <w:pStyle w:val="ListBullet"/>
        <w:spacing w:before="20" w:after="40"/>
      </w:pPr>
      <w:r>
        <w:rPr>
          <w:b/>
        </w:rPr>
        <w:t>Method</w:t>
      </w:r>
      <w:r>
        <w:t xml:space="preserve">: </w:t>
      </w:r>
      <w:r>
        <w:rPr>
          <w:rFonts w:ascii="Consolas" w:hAnsi="Consolas"/>
          <w:color w:val="805AD5"/>
          <w:sz w:val="19"/>
        </w:rPr>
        <w:t>GET</w:t>
      </w:r>
    </w:p>
    <w:p>
      <w:pPr>
        <w:pStyle w:val="ListBullet"/>
        <w:spacing w:before="20" w:after="40"/>
      </w:pPr>
      <w:r>
        <w:rPr>
          <w:b/>
        </w:rPr>
        <w:t>Authentication</w:t>
      </w:r>
      <w:r>
        <w:t>: None (Public)</w:t>
      </w:r>
    </w:p>
    <w:p>
      <w:pPr>
        <w:pStyle w:val="ListBullet"/>
        <w:spacing w:before="20" w:after="40"/>
      </w:pPr>
      <w:r>
        <w:rPr>
          <w:b/>
        </w:rPr>
        <w:t>Purpose</w:t>
      </w:r>
      <w:r>
        <w:t>: Serves 38 cataloged genomic variants formatted to HL7 FHIR R4 and OHDSI OMOP CDM v5.4 models.</w:t>
      </w:r>
    </w:p>
    <w:p>
      <w:pPr>
        <w:pStyle w:val="ListBullet"/>
        <w:spacing w:before="20" w:after="40"/>
      </w:pPr>
      <w:r>
        <w:rPr>
          <w:b/>
        </w:rPr>
        <w:t>Response Example (200 OK)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"total_variants": 38,</w:t>
              <w:br/>
              <w:t xml:space="preserve">  "standard_compliance": "HL7 FHIR R4 MolecularSequence &amp; OHDSI OMOP CDM v5.4",</w:t>
              <w:br/>
              <w:t xml:space="preserve">  "data_provenance": "1000 Genomes Project, NCBI ClinVar, EMBL-EBI Ensembl",</w:t>
              <w:br/>
              <w:t xml:space="preserve">  "variants": [</w:t>
              <w:br/>
              <w:t xml:space="preserve">    {</w:t>
              <w:br/>
              <w:t xml:space="preserve">      "rsid": "rs80357711",</w:t>
              <w:br/>
              <w:t xml:space="preserve">      "gene": "BRCA1",</w:t>
              <w:br/>
              <w:t xml:space="preserve">      "clinical_significance": "Pathogenic",</w:t>
              <w:br/>
              <w:t xml:space="preserve">      "fhir_molecular_sequence": {</w:t>
              <w:br/>
              <w:t xml:space="preserve">        "resourceType": "MolecularSequence",</w:t>
              <w:br/>
              <w:t xml:space="preserve">        "id": "seq-rs80357711",</w:t>
              <w:br/>
              <w:t xml:space="preserve">        "type": "dna",</w:t>
              <w:br/>
              <w:t xml:space="preserve">        "coordinateSystem": 1,</w:t>
              <w:br/>
              <w:t xml:space="preserve">        "referenceSeq": { "genomeBuild": "GRCh38", "windowStart": 43057062, "windowEnd": 43057062 },</w:t>
              <w:br/>
              <w:t xml:space="preserve">        "variant": [{ "observedAllele": "A", "referenceAllele": "AG", "cigar": "1D" }]</w:t>
              <w:br/>
              <w:t xml:space="preserve">      },</w:t>
              <w:br/>
              <w:t xml:space="preserve">      "omop_measurement": {</w:t>
              <w:br/>
              <w:t xml:space="preserve">        "measurement_id": 80357711,</w:t>
              <w:br/>
              <w:t xml:space="preserve">        "measurement_concept_id": 4329847,</w:t>
              <w:br/>
              <w:t xml:space="preserve">        "value_source_value": "rs80357711:BRCA1"</w:t>
              <w:br/>
              <w:t xml:space="preserve">      }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Endpoint 8: `POST /api/discovery/cohort-count` -- Zero-Exposure Cohort Discovery</w:t>
      </w:r>
    </w:p>
    <w:p>
      <w:pPr>
        <w:pStyle w:val="ListBullet"/>
        <w:spacing w:before="20" w:after="40"/>
      </w:pPr>
      <w:r>
        <w:rPr>
          <w:b/>
        </w:rPr>
        <w:t>Path</w:t>
      </w:r>
      <w:r>
        <w:t xml:space="preserve">: </w:t>
      </w:r>
      <w:r>
        <w:rPr>
          <w:rFonts w:ascii="Consolas" w:hAnsi="Consolas"/>
          <w:color w:val="805AD5"/>
          <w:sz w:val="19"/>
        </w:rPr>
        <w:t>/api/discovery/cohort-count</w:t>
      </w:r>
    </w:p>
    <w:p>
      <w:pPr>
        <w:pStyle w:val="ListBullet"/>
        <w:spacing w:before="20" w:after="40"/>
      </w:pPr>
      <w:r>
        <w:rPr>
          <w:b/>
        </w:rPr>
        <w:t>Method</w:t>
      </w:r>
      <w:r>
        <w:t xml:space="preserve">: </w:t>
      </w:r>
      <w:r>
        <w:rPr>
          <w:rFonts w:ascii="Consolas" w:hAnsi="Consolas"/>
          <w:color w:val="805AD5"/>
          <w:sz w:val="19"/>
        </w:rPr>
        <w:t>POST</w:t>
      </w:r>
    </w:p>
    <w:p>
      <w:pPr>
        <w:pStyle w:val="ListBullet"/>
        <w:spacing w:before="20" w:after="40"/>
      </w:pPr>
      <w:r>
        <w:rPr>
          <w:b/>
        </w:rPr>
        <w:t>Authentication</w:t>
      </w:r>
      <w:r>
        <w:t>: Bearer JWT Required</w:t>
      </w:r>
    </w:p>
    <w:p>
      <w:pPr>
        <w:pStyle w:val="ListBullet"/>
        <w:spacing w:before="20" w:after="40"/>
      </w:pPr>
      <w:r>
        <w:rPr>
          <w:b/>
        </w:rPr>
        <w:t>Rate Limit</w:t>
      </w:r>
      <w:r>
        <w:t>: 10 requests / 10 seconds</w:t>
      </w:r>
    </w:p>
    <w:p>
      <w:pPr>
        <w:pStyle w:val="ListBullet"/>
        <w:spacing w:before="20" w:after="40"/>
      </w:pPr>
      <w:r>
        <w:rPr>
          <w:b/>
        </w:rPr>
        <w:t>Request Body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"gene": "BRCA1",</w:t>
              <w:br/>
              <w:t xml:space="preserve">  "variant_class": "monogenic_high_penetrance",</w:t>
              <w:br/>
              <w:t xml:space="preserve">  "min_dosage": 1</w:t>
              <w:br/>
              <w:t>}</w:t>
            </w:r>
          </w:p>
        </w:tc>
      </w:tr>
    </w:tbl>
    <w:p/>
    <w:p>
      <w:pPr>
        <w:pStyle w:val="ListBullet"/>
        <w:spacing w:before="20" w:after="40"/>
      </w:pPr>
      <w:r>
        <w:rPr>
          <w:b/>
        </w:rPr>
        <w:t>Response Example (200 OK)</w:t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"total_matching_cohort_size": 1297,</w:t>
              <w:br/>
              <w:t xml:space="preserve">  "total_screened_samples": 2400,</w:t>
              <w:br/>
              <w:t xml:space="preserve">  "estimated_statistical_power": 0.98,</w:t>
              <w:br/>
              <w:t xml:space="preserve">  "study_feasibility_assessment": "HIGH FEASIBILITY (Power &gt;= 80%)",</w:t>
              <w:br/>
              <w:t xml:space="preserve">  "nodes_reporting": 3,</w:t>
              <w:br/>
              <w:t xml:space="preserve">  "privacy_guarantee": "Zero patient-level rows exposed; counts protected with k-anonymity (k &gt;= 5) small-cell suppression.",</w:t>
              <w:br/>
              <w:t xml:space="preserve">  "node_breakdown": [</w:t>
              <w:br/>
              <w:t xml:space="preserve">    { "node_id": "node-eur", "hospital_name": "Metro General Genomic Vault", "population_code": "EUR", "matching_cohort_count": 542, "statistical_power_contribution": 0.42 },</w:t>
              <w:br/>
              <w:t xml:space="preserve">    { "node_id": "node-sas", "hospital_name": "St. Jude &amp; Apollo Biobank", "population_code": "SAS", "matching_cohort_count": 325, "statistical_power_contribution": 0.25 },</w:t>
              <w:br/>
              <w:t xml:space="preserve">    { "node_id": "node-afr", "hospital_name": "Apex Precision Health Enclave", "population_code": "AFR", "matching_cohort_count": 430, "statistical_power_contribution": 0.33 }</w:t>
              <w:br/>
              <w:t xml:space="preserve">  ]</w:t>
              <w:br/>
              <w:t>}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5. Security Architecture &amp; Threat Model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Potential Attack Vector</w:t>
            </w:r>
          </w:p>
        </w:tc>
        <w:tc>
          <w:tcPr>
            <w:tcW w:type="dxa" w:w="312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Vulnerability Type</w:t>
            </w:r>
          </w:p>
        </w:tc>
        <w:tc>
          <w:tcPr>
            <w:tcW w:type="dxa" w:w="3120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Med-Link Mitigation Strategy</w:t>
            </w:r>
          </w:p>
        </w:tc>
      </w:tr>
      <w:tr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Membership Inference Attack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Gradient Inversion / Re-identification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Perturbs local weight gradients with Laplace differential privacy (</w:t>
            </w:r>
            <w:r>
              <w:rPr>
                <w:rFonts w:ascii="Cambria Math" w:hAnsi="Cambria Math"/>
                <w:i/>
                <w:color w:val="1A365D"/>
                <w:sz w:val="21"/>
              </w:rPr>
              <w:t>‖Δ‖_‖S‖ ‖=‖ ‖0‖.‖2‖,‖ ‖ε‖ ‖ ‖≤‖ ‖ ‖1‖0‖.‖0‖</w:t>
            </w:r>
            <w:r>
              <w:rPr>
                <w:sz w:val="19"/>
              </w:rPr>
              <w:t>); tracks privacy loss with RDP moments accountant.</w:t>
            </w:r>
          </w:p>
        </w:tc>
      </w:tr>
      <w:tr>
        <w:tc>
          <w:tcPr>
            <w:tcW w:type="dxa" w:w="312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Small-Cell Linkage Attack</w:t>
            </w:r>
          </w:p>
        </w:tc>
        <w:tc>
          <w:tcPr>
            <w:tcW w:type="dxa" w:w="312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Querying rare cohorts to isolate individual identity</w:t>
            </w:r>
          </w:p>
        </w:tc>
        <w:tc>
          <w:tcPr>
            <w:tcW w:type="dxa" w:w="312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Enforces </w:t>
            </w:r>
            <w:r>
              <w:rPr>
                <w:rFonts w:ascii="Cambria Math" w:hAnsi="Cambria Math"/>
                <w:i/>
                <w:color w:val="1A365D"/>
                <w:sz w:val="21"/>
              </w:rPr>
              <w:t>‖k‖</w:t>
            </w:r>
            <w:r>
              <w:rPr>
                <w:sz w:val="19"/>
              </w:rPr>
              <w:t>-anonymity suppression (</w:t>
            </w:r>
            <w:r>
              <w:rPr>
                <w:rFonts w:ascii="Cambria Math" w:hAnsi="Cambria Math"/>
                <w:i/>
                <w:color w:val="1A365D"/>
                <w:sz w:val="21"/>
              </w:rPr>
              <w:t>‖k‖ ‖ ‖≥‖ ‖ ‖5‖</w:t>
            </w:r>
            <w:r>
              <w:rPr>
                <w:sz w:val="19"/>
              </w:rPr>
              <w:t>) on all cohort discovery queries.</w:t>
            </w:r>
          </w:p>
        </w:tc>
      </w:tr>
      <w:tr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Model Inversion Attack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Reconstructing training genomes from model weights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Restricts </w:t>
            </w:r>
            <w:r>
              <w:rPr>
                <w:rFonts w:ascii="Consolas" w:hAnsi="Consolas"/>
                <w:color w:val="805AD5"/>
                <w:sz w:val="19"/>
              </w:rPr>
              <w:t>/api/fl/model-inspect</w:t>
            </w:r>
            <w:r>
              <w:rPr>
                <w:sz w:val="19"/>
              </w:rPr>
              <w:t xml:space="preserve"> to authenticated users with </w:t>
            </w:r>
            <w:r>
              <w:rPr>
                <w:rFonts w:ascii="Consolas" w:hAnsi="Consolas"/>
                <w:color w:val="805AD5"/>
                <w:sz w:val="19"/>
              </w:rPr>
              <w:t>researcher</w:t>
            </w:r>
            <w:r>
              <w:rPr>
                <w:sz w:val="19"/>
              </w:rPr>
              <w:t xml:space="preserve"> role JWTs.</w:t>
            </w:r>
          </w:p>
        </w:tc>
      </w:tr>
      <w:tr>
        <w:tc>
          <w:tcPr>
            <w:tcW w:type="dxa" w:w="312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Brute Force / DoS</w:t>
            </w:r>
          </w:p>
        </w:tc>
        <w:tc>
          <w:tcPr>
            <w:tcW w:type="dxa" w:w="312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Credential guessing or server overload</w:t>
            </w:r>
          </w:p>
        </w:tc>
        <w:tc>
          <w:tcPr>
            <w:tcW w:type="dxa" w:w="3120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Sliding-window IP/endpoint rate limiting (10 to 30 requests / 10s window).</w:t>
            </w:r>
          </w:p>
        </w:tc>
      </w:tr>
      <w:tr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Credential Compromise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Stolen credentials or static secrets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</w:r>
            <w:r>
              <w:rPr>
                <w:sz w:val="19"/>
              </w:rPr>
              <w:t>Passwords salt-hashed with bcrypt; short-lived JWT tokens (60 min expiry); secrets loaded dynamically from environment variables (</w:t>
            </w:r>
            <w:r>
              <w:rPr>
                <w:rFonts w:ascii="Consolas" w:hAnsi="Consolas"/>
                <w:color w:val="805AD5"/>
                <w:sz w:val="19"/>
              </w:rPr>
              <w:t>MEDLINK_JWT_SECRET</w:t>
            </w:r>
            <w:r>
              <w:rPr>
                <w:sz w:val="19"/>
              </w:rPr>
              <w:t>).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6. How to Run, Test, and Verify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# 1. Start the FastAPI backend</w:t>
              <w:br/>
              <w:t>cd backend</w:t>
              <w:br/>
              <w:t>python app.py</w:t>
              <w:br/>
              <w:t># Server starts on http://127.0.0.1:8000</w:t>
              <w:br/>
              <w:t># OpenAPI Swagger UI available at http://127.0.0.1:8000/docs</w:t>
              <w:br/>
              <w:br/>
              <w:t># 2. Run the full automated verification test suite</w:t>
              <w:br/>
              <w:t>python -m pytest test_task1.py test_task2.py test_task6.py test_task11.py test_task12.py test_task13.py test_task14_15.py -v</w:t>
              <w:br/>
              <w:br/>
              <w:t># 3. Run the empirical centralized vs. federated benchmark</w:t>
              <w:br/>
              <w:t>python benchmark.py</w:t>
              <w:br/>
              <w:t># Outputs BENCHMARK_REPORT.md comparing centralized (68.2%) vs. federated+DP (35.3%)</w:t>
              <w:br/>
              <w:br/>
              <w:t># 4. Multi-container docker execution</w:t>
              <w:br/>
              <w:t>docker-compose up --build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