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Calibri" w:hAnsi="Calibri"/>
          <w:b/>
          <w:color w:val="1A365D"/>
          <w:sz w:val="44"/>
        </w:rPr>
        <w:t>Med-Link: Comprehensive Technical Architecture Document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1. System Architecture &amp; Component Design</w:t>
      </w:r>
    </w:p>
    <w:p>
      <w:pPr>
        <w:spacing w:before="40" w:after="80" w:line="276" w:lineRule="auto"/>
      </w:pPr>
      <w:r>
        <w:t>Med-Link is a decentralized, privacy-preserving federated machine learning and cohort analytics system for multi-center genomic and clinical electronic health records (EHR).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+---------------------------------------------------------------------------------------------------+</w:t>
              <w:br/>
              <w:t>|                                      MED-LINK CLIENT INTERFACES                                   |</w:t>
              <w:br/>
              <w:t>|   React 18 SPA (TypeScript + Tailwind CSS + Vite 6) | Axios Client with Bearer JWT State Mgmt     |</w:t>
              <w:br/>
              <w:t>|   - Researcher Portal (/api/fl/*, /api/discovery/*)   - Patient Portal (Consent &amp; Risk View)     |</w:t>
              <w:br/>
              <w:t>|   - Institution Dashboard (Node Governance)          - FHIR/OMOP Variant Browser                  |</w:t>
              <w:br/>
              <w:t>+---------------------------------------------------------------------------------------------------+</w:t>
              <w:br/>
              <w:t xml:space="preserve">                                                  | HTTPS / REST (Port 8000)</w:t>
              <w:br/>
              <w:t xml:space="preserve">                                                  v</w:t>
              <w:br/>
              <w:t>+---------------------------------------------------------------------------------------------------+</w:t>
              <w:br/>
              <w:t>|                                  MED-LINK CENTRAL AGGREGATOR NODE                                 |</w:t>
              <w:br/>
              <w:t>|                                                                                                   |</w:t>
              <w:br/>
              <w:t>|  [FastAPI REST API Gateway]                                                                       |</w:t>
              <w:br/>
              <w:t>|  - Rate Limiter Middleware (Sliding Window: 10-30 req / 10s)                                      |</w:t>
              <w:br/>
              <w:t>|  - JWT Auth (HMAC-SHA256, bcrypt verify, 60m exp) &amp; RBAC Policy Gate                              |</w:t>
              <w:br/>
              <w:t>|                                                                                                   |</w:t>
              <w:br/>
              <w:t>|  [FederatedServerAggregator Engine]                                                               |</w:t>
              <w:br/>
              <w:t>|  - Parameter Matrix: W \in R^{10 x 64} (Genomic: 5 feature weights + bias)                         |</w:t>
              <w:br/>
              <w:t>|  - Aggregation Algorithm: Sample-Weighted Federated Averaging (FedAvg)                             |</w:t>
              <w:br/>
              <w:t>|  - Multi-Ancestry Evaluator: Stratified Held-Out Test Splits (EUR, SAS, AFR)                       |</w:t>
              <w:br/>
              <w:t>|                                                                                                   |</w:t>
              <w:br/>
              <w:t>|  [Standards &amp; Discovery Subsystems]                                                               |</w:t>
              <w:br/>
              <w:t>|  - FHIR R4 MolecularSequence &amp; OMOP CDM v5.4 Measurement Generator                                |</w:t>
              <w:br/>
              <w:t>|  - Zero-Exposure Federated Discovery Engine (k-anonymity &gt;= 5 small-cell suppression)              |</w:t>
              <w:br/>
              <w:t>|  - Renyi Differential Privacy (RDP) Moments Accountant Monitor                                    |</w:t>
              <w:br/>
              <w:t>+---------------------------------------------------------------------------------------------------+</w:t>
              <w:br/>
              <w:t xml:space="preserve">             |                                     |                                     |</w:t>
              <w:br/>
              <w:t xml:space="preserve">    TLS Encrypted Diff                    TLS Encrypted Diff                    TLS Encrypted Diff</w:t>
              <w:br/>
              <w:t xml:space="preserve">    W_{diff}^{(1)} + Laplace(\sigma_1)    W_{diff}^{(2)} + Laplace(\sigma_2)    W_{diff}^{(3)} + Laplace(\sigma_3)</w:t>
              <w:br/>
              <w:t xml:space="preserve">             |                                     |                                     |</w:t>
              <w:br/>
              <w:t xml:space="preserve">             v                                     v                                     v</w:t>
              <w:br/>
              <w:t>+------------------------+            +------------------------+            +------------------------+</w:t>
              <w:br/>
              <w:t>|  HOSPITAL NODE 1 (EUR) |            |  HOSPITAL NODE 2 (SAS) |            |  HOSPITAL NODE 3 (AFR) |</w:t>
              <w:br/>
              <w:t>|  Metro General Vault   |            |  St. Jude Biobank      |            |  Apex Health Enclave   |</w:t>
              <w:br/>
              <w:t>|  N_train = 1,000       |            |  N_train = 600         |            |  N_train = 800         |</w:t>
              <w:br/>
              <w:t>|  Local SGD with L2     |            |  Local SGD with L2     |            |  Local SGD with L2     |</w:t>
              <w:br/>
              <w:t>|  Pos-Loss BCE Weighting|            |  Pos-Loss BCE Weighting|            |  Pos-Loss BCE Weighting|</w:t>
              <w:br/>
              <w:t>|  Laplace DP Perturbation|           |  Laplace DP Perturbation|           |  Laplace DP Perturbation|</w:t>
              <w:br/>
              <w:t>+------------------------+            +------------------------+            +------------------------+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2. Mathematical Formulations &amp; Optimization Algorithms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2.1 Local Training Objective (Class-Weighted Binary Cross-Entropy with L2 Regularization)</w:t>
      </w:r>
    </w:p>
    <w:p>
      <w:pPr>
        <w:spacing w:before="40" w:after="80" w:line="276" w:lineRule="auto"/>
      </w:pPr>
      <w:r>
        <w:t xml:space="preserve">Each hospital node </w:t>
      </w:r>
      <w:r>
        <w:rPr>
          <w:rFonts w:ascii="Cambria Math" w:hAnsi="Cambria Math"/>
          <w:i/>
          <w:color w:val="1A365D"/>
          <w:sz w:val="21"/>
        </w:rPr>
        <w:t>‖k‖ ‖ ‖∈‖ ‖ ‖‖{‖1‖,‖ ‖‖d‖o‖t‖s‖,‖ ‖K‖‖}‖</w:t>
      </w:r>
      <w:r>
        <w:t xml:space="preserve"> trains on its local private dataset </w:t>
      </w:r>
      <w:r>
        <w:rPr>
          <w:rFonts w:ascii="Cambria Math" w:hAnsi="Cambria Math"/>
          <w:i/>
          <w:color w:val="1A365D"/>
          <w:sz w:val="21"/>
        </w:rPr>
        <w:t>‖𝒟‖_‖k‖ ‖=‖ ‖‖{‖(‖x‖_‖i‖,‖ ‖y‖_‖i‖)‖‖}‖_‖{‖i‖=‖1‖}‖^‖{‖n‖_‖k‖}‖</w:t>
      </w:r>
      <w:r>
        <w:t xml:space="preserve">, where </w:t>
      </w:r>
      <w:r>
        <w:rPr>
          <w:rFonts w:ascii="Cambria Math" w:hAnsi="Cambria Math"/>
          <w:i/>
          <w:color w:val="1A365D"/>
          <w:sz w:val="21"/>
        </w:rPr>
        <w:t>‖x‖_‖i‖ ‖ ‖∈‖ ‖ ‖ℝ‖^‖d‖</w:t>
      </w:r>
      <w:r>
        <w:t xml:space="preserve"> and </w:t>
      </w:r>
      <w:r>
        <w:rPr>
          <w:rFonts w:ascii="Cambria Math" w:hAnsi="Cambria Math"/>
          <w:i/>
          <w:color w:val="1A365D"/>
          <w:sz w:val="21"/>
        </w:rPr>
        <w:t>‖y‖_‖i‖ ‖ ‖∈‖ ‖ ‖‖{‖0‖,‖ ‖1‖‖}‖</w:t>
      </w:r>
      <w:r>
        <w:t>.</w:t>
      </w:r>
    </w:p>
    <w:p>
      <w:pPr>
        <w:spacing w:before="40" w:after="80" w:line="276" w:lineRule="auto"/>
      </w:pPr>
      <w:r>
        <w:t xml:space="preserve">To correct for clinical class imbalance (prevalence </w:t>
      </w:r>
      <w:r>
        <w:rPr>
          <w:rFonts w:ascii="Cambria Math" w:hAnsi="Cambria Math"/>
          <w:i/>
          <w:color w:val="1A365D"/>
          <w:sz w:val="21"/>
        </w:rPr>
        <w:t>‖ ‖≈‖ ‖ ‖2‖2‖‖%‖</w:t>
      </w:r>
      <w:r>
        <w:t xml:space="preserve">), the local loss function applies a positive class weight </w:t>
      </w:r>
      <w:r>
        <w:rPr>
          <w:rFonts w:ascii="Cambria Math" w:hAnsi="Cambria Math"/>
          <w:i/>
          <w:color w:val="1A365D"/>
          <w:sz w:val="21"/>
        </w:rPr>
        <w:t>‖w‖_‖{‖p‖o‖s‖}‖^‖{‖(‖k‖)‖}‖ ‖=‖ ‖(‖n‖_‖k‖ ‖-‖ ‖∑‖ ‖y‖_‖i‖ ‖/‖ ‖‖m‖a‖x‖(‖1‖,‖ ‖∑‖ ‖y‖_‖i‖)‖)‖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‖ℒ‖_‖k‖(‖w‖,‖ ‖b‖)‖ ‖=‖ ‖-‖(‖1‖ ‖/‖ ‖n‖_‖k‖)‖ ‖∑‖(‖i‖=‖1‖…‖n‖ₖ‖)‖ ‖ ‖≤‖ ‖f‖t‖[‖ ‖w‖_‖{‖p‖o‖s‖}‖^‖{‖(‖k‖)‖}‖ ‖ ‖·‖ ‖ ‖y‖_‖i‖ ‖‖l‖n‖ ‖σ‖(‖z‖_‖i‖)‖ ‖+‖ ‖(‖1‖ ‖-‖ ‖y‖_‖i‖)‖ ‖‖l‖n‖(‖1‖ ‖-‖ ‖σ‖(‖z‖_‖i‖)‖)‖ ‖‖r‖i‖g‖h‖t‖]‖ ‖+‖ ‖(‖λ‖ ‖/‖ ‖2‖)‖ ‖‖|‖w‖‖|‖_‖2‖^‖2‖</w:t>
            </w:r>
          </w:p>
        </w:tc>
      </w:tr>
    </w:tbl>
    <w:p/>
    <w:p>
      <w:pPr>
        <w:spacing w:before="40" w:after="80" w:line="276" w:lineRule="auto"/>
      </w:pPr>
      <w:r>
        <w:t>where:</w:t>
      </w:r>
    </w:p>
    <w:p>
      <w:pPr>
        <w:pStyle w:val="ListBullet"/>
        <w:spacing w:before="20" w:after="40"/>
      </w:pPr>
      <w:r>
        <w:rPr>
          <w:rFonts w:ascii="Cambria Math" w:hAnsi="Cambria Math"/>
          <w:i/>
          <w:color w:val="1A365D"/>
          <w:sz w:val="21"/>
        </w:rPr>
        <w:t>‖z‖_‖i‖ ‖=‖ ‖w‖^‖ ‖→‖ ‖p‖ ‖x‖_‖i‖ ‖+‖ ‖b‖</w:t>
      </w:r>
      <w:r>
        <w:t xml:space="preserve"> (linear logit)</w:t>
      </w:r>
    </w:p>
    <w:p>
      <w:pPr>
        <w:pStyle w:val="ListBullet"/>
        <w:spacing w:before="20" w:after="40"/>
      </w:pPr>
      <w:r>
        <w:rPr>
          <w:rFonts w:ascii="Cambria Math" w:hAnsi="Cambria Math"/>
          <w:i/>
          <w:color w:val="1A365D"/>
          <w:sz w:val="21"/>
        </w:rPr>
        <w:t>‖σ‖(‖z‖)‖ ‖=‖ ‖‖f‖r‖a‖c‖{‖1‖}‖{‖1‖ ‖+‖ ‖e‖^‖{‖-‖c‖l‖i‖p‖(‖z‖,‖ ‖-‖2‖5‖.‖0‖,‖ ‖2‖5‖.‖0‖)‖}‖}‖</w:t>
      </w:r>
    </w:p>
    <w:p>
      <w:pPr>
        <w:pStyle w:val="ListBullet"/>
        <w:spacing w:before="20" w:after="40"/>
      </w:pPr>
      <w:r>
        <w:rPr>
          <w:rFonts w:ascii="Cambria Math" w:hAnsi="Cambria Math"/>
          <w:i/>
          <w:color w:val="1A365D"/>
          <w:sz w:val="21"/>
        </w:rPr>
        <w:t>‖λ‖ ‖=‖ ‖1‖0‖^‖{‖-‖3‖}‖</w:t>
      </w:r>
      <w:r>
        <w:t xml:space="preserve"> (L2 weight decay)</w:t>
      </w:r>
    </w:p>
    <w:p>
      <w:pPr>
        <w:spacing w:before="40" w:after="80" w:line="276" w:lineRule="auto"/>
      </w:pPr>
      <w:r>
        <w:t>Gradient calculations per epoch: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‖∇‖_‖w‖ ‖ℒ‖_‖k‖ ‖=‖ ‖(‖1‖ ‖/‖ ‖n‖_‖k‖)‖ ‖X‖_‖k‖^‖ ‖→‖ ‖p‖ ‖ ‖≤‖ ‖f‖t‖(‖ ‖(‖σ‖(‖z‖)‖ ‖-‖ ‖y‖)‖ ‖ ‖⊙‖ ‖ ‖M‖_‖{‖w‖e‖i‖g‖h‖t‖}‖ ‖‖r‖i‖g‖h‖t‖)‖ ‖+‖ ‖λ‖ ‖w‖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‖∇‖_‖b‖ ‖ℒ‖_‖k‖ ‖=‖ ‖(‖1‖ ‖/‖ ‖n‖_‖k‖)‖ ‖𝟏‖^‖ ‖→‖ ‖p‖ ‖ ‖≤‖ ‖f‖t‖(‖ ‖(‖σ‖(‖z‖)‖ ‖-‖ ‖y‖)‖ ‖ ‖⊙‖ ‖ ‖M‖_‖{‖w‖e‖i‖g‖h‖t‖}‖ ‖‖r‖i‖g‖h‖t‖)‖</w:t>
            </w:r>
          </w:p>
        </w:tc>
      </w:tr>
    </w:tbl>
    <w:p/>
    <w:p>
      <w:pPr>
        <w:spacing w:before="40" w:after="80" w:line="276" w:lineRule="auto"/>
      </w:pPr>
      <w:r>
        <w:t xml:space="preserve">where </w:t>
      </w:r>
      <w:r>
        <w:rPr>
          <w:rFonts w:ascii="Cambria Math" w:hAnsi="Cambria Math"/>
          <w:i/>
          <w:color w:val="1A365D"/>
          <w:sz w:val="21"/>
        </w:rPr>
        <w:t>‖M‖_‖{‖w‖e‖i‖g‖h‖t‖,‖ ‖i‖}‖ ‖=‖ ‖w‖_‖{‖p‖o‖s‖}‖^‖{‖(‖k‖)‖}‖</w:t>
      </w:r>
      <w:r>
        <w:t xml:space="preserve"> if </w:t>
      </w:r>
      <w:r>
        <w:rPr>
          <w:rFonts w:ascii="Cambria Math" w:hAnsi="Cambria Math"/>
          <w:i/>
          <w:color w:val="1A365D"/>
          <w:sz w:val="21"/>
        </w:rPr>
        <w:t>‖y‖_‖i‖ ‖=‖ ‖1‖</w:t>
      </w:r>
      <w:r>
        <w:t xml:space="preserve"> else </w:t>
      </w:r>
      <w:r>
        <w:rPr>
          <w:rFonts w:ascii="Cambria Math" w:hAnsi="Cambria Math"/>
          <w:i/>
          <w:color w:val="1A365D"/>
          <w:sz w:val="21"/>
        </w:rPr>
        <w:t>‖1‖.‖0‖</w:t>
      </w:r>
      <w:r>
        <w:t>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2.2 Federated Averaging (FedAvg) Update Rule</w:t>
      </w:r>
    </w:p>
    <w:p>
      <w:pPr>
        <w:spacing w:before="40" w:after="80" w:line="276" w:lineRule="auto"/>
      </w:pPr>
      <w:r>
        <w:t xml:space="preserve">In round </w:t>
      </w:r>
      <w:r>
        <w:rPr>
          <w:rFonts w:ascii="Cambria Math" w:hAnsi="Cambria Math"/>
          <w:i/>
          <w:color w:val="1A365D"/>
          <w:sz w:val="21"/>
        </w:rPr>
        <w:t>‖t‖+‖1‖</w:t>
      </w:r>
      <w:r>
        <w:t xml:space="preserve">, the central aggregator receives masked parameter differentials </w:t>
      </w:r>
      <w:r>
        <w:rPr>
          <w:rFonts w:ascii="Cambria Math" w:hAnsi="Cambria Math"/>
          <w:i/>
          <w:color w:val="1A365D"/>
          <w:sz w:val="21"/>
        </w:rPr>
        <w:t>‖Δ‖ ‖w‖_‖k‖^‖{‖(‖t‖)‖}‖ ‖=‖ ‖w‖_‖k‖^‖{‖(‖t‖)‖}‖ ‖-‖ ‖w‖_‖{‖g‖l‖o‖b‖a‖l‖}‖^‖{‖(‖t‖)‖}‖</w:t>
      </w:r>
      <w:r>
        <w:t xml:space="preserve"> from all </w:t>
      </w:r>
      <w:r>
        <w:rPr>
          <w:rFonts w:ascii="Cambria Math" w:hAnsi="Cambria Math"/>
          <w:i/>
          <w:color w:val="1A365D"/>
          <w:sz w:val="21"/>
        </w:rPr>
        <w:t>‖K‖</w:t>
      </w:r>
      <w:r>
        <w:t xml:space="preserve"> nodes and updates the global weights: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‖w‖_‖{‖g‖l‖o‖b‖a‖l‖}‖^‖{‖(‖t‖+‖1‖)‖}‖ ‖=‖ ‖w‖_‖{‖g‖l‖o‖b‖a‖l‖}‖^‖{‖(‖t‖)‖}‖ ‖+‖ ‖∑‖(‖k‖=‖1‖…‖K‖)‖ ‖ ‖≤‖ ‖f‖t‖(‖ ‖‖f‖r‖a‖c‖{‖n‖_‖k‖}‖{‖∑‖(‖j‖=‖1‖…‖K‖)‖ ‖n‖_‖j‖}‖ ‖‖r‖i‖g‖h‖t‖)‖ ‖‖w‖i‖d‖e‖t‖i‖l‖d‖e‖{‖Δ‖ ‖w‖}‖_‖k‖^‖{‖(‖t‖)‖}‖</w:t>
            </w:r>
          </w:p>
        </w:tc>
      </w:tr>
    </w:tbl>
    <w:p/>
    <w:p>
      <w:pPr>
        <w:spacing w:before="40" w:after="80" w:line="276" w:lineRule="auto"/>
      </w:pPr>
      <w:r>
        <w:t xml:space="preserve">where </w:t>
      </w:r>
      <w:r>
        <w:rPr>
          <w:rFonts w:ascii="Cambria Math" w:hAnsi="Cambria Math"/>
          <w:i/>
          <w:color w:val="1A365D"/>
          <w:sz w:val="21"/>
        </w:rPr>
        <w:t>‖‖w‖i‖d‖e‖t‖i‖l‖d‖e‖{‖Δ‖ ‖w‖}‖_‖k‖^‖{‖(‖t‖)‖}‖</w:t>
      </w:r>
      <w:r>
        <w:t xml:space="preserve"> is the differentially private perturbed weight update.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3. Formal Differential Privacy &amp; Moments Accountant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3.1 Laplace Perturbation Mechanism</w:t>
      </w:r>
    </w:p>
    <w:p>
      <w:pPr>
        <w:spacing w:before="40" w:after="80" w:line="276" w:lineRule="auto"/>
      </w:pPr>
      <w:r>
        <w:t xml:space="preserve">Local gradients are clipped to </w:t>
      </w:r>
      <w:r>
        <w:rPr>
          <w:rFonts w:ascii="Cambria Math" w:hAnsi="Cambria Math"/>
          <w:i/>
          <w:color w:val="1A365D"/>
          <w:sz w:val="21"/>
        </w:rPr>
        <w:t>‖L‖_‖1‖</w:t>
      </w:r>
      <w:r>
        <w:t xml:space="preserve">-sensitivity </w:t>
      </w:r>
      <w:r>
        <w:rPr>
          <w:rFonts w:ascii="Cambria Math" w:hAnsi="Cambria Math"/>
          <w:i/>
          <w:color w:val="1A365D"/>
          <w:sz w:val="21"/>
        </w:rPr>
        <w:t>‖Δ‖_‖S‖ ‖=‖ ‖0‖.‖2‖</w:t>
      </w:r>
      <w:r>
        <w:t xml:space="preserve"> and perturbed via zero-mean Laplace noise: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‖‖w‖i‖d‖e‖t‖i‖l‖d‖e‖{‖Δ‖ ‖w‖}‖_‖k‖ ‖=‖ ‖Δ‖ ‖w‖_‖k‖ ‖+‖ ‖L‖a‖p‖l‖a‖c‖e‖ ‖≤‖ ‖f‖t‖(‖0‖,‖ ‖‖f‖r‖a‖c‖{‖Δ‖_‖S‖}‖{‖ε‖_‖{‖s‖t‖e‖p‖}‖}‖‖r‖i‖g‖h‖t‖)‖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3.2 Rényi Differential Privacy (RDP) Composition</w:t>
      </w:r>
    </w:p>
    <w:p>
      <w:pPr>
        <w:spacing w:before="40" w:after="80" w:line="276" w:lineRule="auto"/>
      </w:pPr>
      <w:r>
        <w:t>Rather than loose basic linear composition (</w:t>
      </w:r>
      <w:r>
        <w:rPr>
          <w:rFonts w:ascii="Cambria Math" w:hAnsi="Cambria Math"/>
          <w:i/>
          <w:color w:val="1A365D"/>
          <w:sz w:val="21"/>
        </w:rPr>
        <w:t>‖ε‖_‖{‖t‖o‖t‖a‖l‖}‖ ‖=‖ ‖∑‖ ‖ε‖_‖i‖</w:t>
      </w:r>
      <w:r>
        <w:t xml:space="preserve">), Med-Link tracks privacy via Rényi Differential Privacy across orders </w:t>
      </w:r>
      <w:r>
        <w:rPr>
          <w:rFonts w:ascii="Cambria Math" w:hAnsi="Cambria Math"/>
          <w:i/>
          <w:color w:val="1A365D"/>
          <w:sz w:val="21"/>
        </w:rPr>
        <w:t>‖α‖ ‖ ‖∈‖ ‖ ‖‖{‖1‖.‖2‖5‖,‖ ‖1‖.‖5‖,‖ ‖1‖.‖7‖5‖,‖ ‖2‖.‖0‖,‖ ‖‖d‖o‖t‖s‖,‖ ‖6‖4‖.‖0‖‖}‖</w:t>
      </w:r>
      <w:r>
        <w:t>:</w:t>
      </w:r>
    </w:p>
    <w:p>
      <w:pPr>
        <w:spacing w:before="40" w:after="80" w:line="276" w:lineRule="auto"/>
      </w:pPr>
      <w:r>
        <w:t xml:space="preserve">For the Laplace mechanism with scale </w:t>
      </w:r>
      <w:r>
        <w:rPr>
          <w:rFonts w:ascii="Cambria Math" w:hAnsi="Cambria Math"/>
          <w:i/>
          <w:color w:val="1A365D"/>
          <w:sz w:val="21"/>
        </w:rPr>
        <w:t>‖b‖ ‖=‖ ‖‖f‖r‖a‖c‖{‖Δ‖_‖S‖}‖{‖ε‖_‖{‖s‖t‖e‖p‖}‖}‖</w:t>
      </w:r>
      <w:r>
        <w:t xml:space="preserve">, the exact RDP at order </w:t>
      </w:r>
      <w:r>
        <w:rPr>
          <w:rFonts w:ascii="Cambria Math" w:hAnsi="Cambria Math"/>
          <w:i/>
          <w:color w:val="1A365D"/>
          <w:sz w:val="21"/>
        </w:rPr>
        <w:t>‖α‖ ‖&gt;‖ ‖1‖</w:t>
      </w:r>
      <w:r>
        <w:t xml:space="preserve"> is computed as: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‖𝒟‖_‖α‖(‖ℳ‖ ‖‖|‖ ‖ℳ‖'‖)‖ ‖=‖ ‖(‖1‖ ‖/‖ ‖α‖ ‖-‖ ‖1‖)‖ ‖‖l‖n‖ ‖ ‖≤‖ ‖f‖t‖[‖ ‖(‖α‖ ‖/‖ ‖2‖α‖ ‖-‖ ‖1‖)‖ ‖e‖^‖{‖(‖α‖ ‖-‖ ‖1‖)‖(‖Δ‖_‖S‖ ‖/‖ ‖b‖)‖}‖ ‖+‖ ‖(‖α‖ ‖-‖ ‖1‖ ‖/‖ ‖2‖α‖ ‖-‖ ‖1‖)‖ ‖e‖^‖{‖-‖α‖ ‖(‖Δ‖_‖S‖ ‖/‖ ‖b‖)‖}‖ ‖‖r‖i‖g‖h‖t‖]‖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3.3 Conversion from RDP to $(\epsilon, \delta)$-DP</w:t>
      </w:r>
    </w:p>
    <w:p>
      <w:pPr>
        <w:spacing w:before="40" w:after="80" w:line="276" w:lineRule="auto"/>
      </w:pPr>
      <w:r>
        <w:t xml:space="preserve">Over </w:t>
      </w:r>
      <w:r>
        <w:rPr>
          <w:rFonts w:ascii="Cambria Math" w:hAnsi="Cambria Math"/>
          <w:i/>
          <w:color w:val="1A365D"/>
          <w:sz w:val="21"/>
        </w:rPr>
        <w:t>‖T‖</w:t>
      </w:r>
      <w:r>
        <w:t xml:space="preserve"> composed federated rounds, the composed RDP is </w:t>
      </w:r>
      <w:r>
        <w:rPr>
          <w:rFonts w:ascii="Cambria Math" w:hAnsi="Cambria Math"/>
          <w:i/>
          <w:color w:val="1A365D"/>
          <w:sz w:val="21"/>
        </w:rPr>
        <w:t>‖𝒟‖_‖α‖^‖{‖(‖T‖)‖}‖ ‖=‖ ‖∑‖(‖t‖=‖1‖…‖T‖)‖ ‖𝒟‖_‖α‖^‖{‖(‖t‖)‖}‖</w:t>
      </w:r>
      <w:r>
        <w:t xml:space="preserve">. The tight </w:t>
      </w:r>
      <w:r>
        <w:rPr>
          <w:rFonts w:ascii="Cambria Math" w:hAnsi="Cambria Math"/>
          <w:i/>
          <w:color w:val="1A365D"/>
          <w:sz w:val="21"/>
        </w:rPr>
        <w:t>‖(‖ε‖,‖ ‖δ‖)‖</w:t>
      </w:r>
      <w:r>
        <w:t>-DP guarantee is extracted via: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‖ε‖(‖δ‖)‖ ‖=‖ ‖‖m‖i‖n‖_‖{‖α‖ ‖&gt;‖ ‖1‖}‖ ‖ ‖≤‖ ‖f‖t‖[‖ ‖𝒟‖_‖α‖^‖{‖(‖T‖)‖}‖ ‖+‖ ‖(‖‖l‖n‖(‖1‖/‖δ‖)‖ ‖/‖ ‖α‖ ‖-‖ ‖1‖)‖ ‖‖r‖i‖g‖h‖t‖]‖</w:t>
            </w:r>
          </w:p>
        </w:tc>
      </w:tr>
    </w:tbl>
    <w:p/>
    <w:p>
      <w:pPr>
        <w:spacing w:before="40" w:after="80" w:line="276" w:lineRule="auto"/>
      </w:pPr>
      <w:r>
        <w:t xml:space="preserve">For target security parameter </w:t>
      </w:r>
      <w:r>
        <w:rPr>
          <w:rFonts w:ascii="Cambria Math" w:hAnsi="Cambria Math"/>
          <w:i/>
          <w:color w:val="1A365D"/>
          <w:sz w:val="21"/>
        </w:rPr>
        <w:t>‖δ‖ ‖=‖ ‖1‖0‖^‖{‖-‖5‖}‖</w:t>
      </w:r>
      <w:r>
        <w:t xml:space="preserve">, Med-Link dynamically reports the optimal computed </w:t>
      </w:r>
      <w:r>
        <w:rPr>
          <w:rFonts w:ascii="Cambria Math" w:hAnsi="Cambria Math"/>
          <w:i/>
          <w:color w:val="1A365D"/>
          <w:sz w:val="21"/>
        </w:rPr>
        <w:t>‖ε‖(‖δ‖)‖</w:t>
      </w:r>
      <w:r>
        <w:t xml:space="preserve"> bounding the cumulative privacy budget.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4. Genomic &amp; Clinical Feature Specifications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4.1 Domain 1: Multi-Ancestry Genomic Loci</w:t>
      </w:r>
    </w:p>
    <w:p>
      <w:pPr>
        <w:spacing w:before="40" w:after="80" w:line="276" w:lineRule="auto"/>
      </w:pPr>
      <w:r>
        <w:t xml:space="preserve">The genomic feature vector </w:t>
      </w:r>
      <w:r>
        <w:rPr>
          <w:rFonts w:ascii="Cambria Math" w:hAnsi="Cambria Math"/>
          <w:i/>
          <w:color w:val="1A365D"/>
          <w:sz w:val="21"/>
        </w:rPr>
        <w:t>‖x‖ ‖ ‖∈‖ ‖ ‖‖{‖0‖,‖ ‖1‖,‖ ‖2‖‖}‖^‖5‖</w:t>
      </w:r>
      <w:r>
        <w:t xml:space="preserve"> corresponds to standard allele dosage: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Index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Locus / rsID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Gene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Genomic Coordinate (GRCh38)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Clinical Role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Variant Class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Effect Weight ($\beta$)</w:t>
            </w:r>
          </w:p>
        </w:tc>
      </w:tr>
      <w:tr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rs1799966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BRCA1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chr17:43045677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Hereditary Breast/Ovarian Cancer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Monogenic High-Penetrance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Pathogenicity Finding</w:t>
            </w:r>
          </w:p>
        </w:tc>
      </w:tr>
      <w:tr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rs80357711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BRCA1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chr17:43057062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Familial Breast Cancer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Monogenic High-Penetrance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Pathogenicity Finding</w:t>
            </w:r>
          </w:p>
        </w:tc>
      </w:tr>
      <w:tr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rs7903146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TCF7L2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chr10:112998590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Type 2 Diabetes Mellitus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Polygenic Common Risk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‖β‖ ‖=‖ ‖0‖.‖6‖5‖</w:t>
            </w:r>
          </w:p>
        </w:tc>
      </w:tr>
      <w:tr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rs429358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APOE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chr19:44908684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Alzheimer's / Cardiovascular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Polygenic Common Risk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‖β‖ ‖=‖ ‖0‖.‖8‖5‖</w:t>
            </w:r>
          </w:p>
        </w:tc>
      </w:tr>
      <w:tr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rs1042522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TP53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chr17:7676154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Li-Fraumeni / Cancer Predisposition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Monogenic High-Penetrance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Pathogenicity Finding</w:t>
            </w:r>
          </w:p>
        </w:tc>
      </w:tr>
    </w:tbl>
    <w:p/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Separate Risk Calculation Mechanics:</w:t>
      </w:r>
    </w:p>
    <w:p>
      <w:pPr>
        <w:pStyle w:val="ListNumber"/>
        <w:spacing w:before="20" w:after="40"/>
      </w:pPr>
      <w:r>
        <w:rPr>
          <w:b/>
        </w:rPr>
        <w:t>Monogenic Evaluation</w:t>
      </w:r>
      <w:r>
        <w:t xml:space="preserve">: For indices </w:t>
      </w:r>
      <w:r>
        <w:rPr>
          <w:rFonts w:ascii="Cambria Math" w:hAnsi="Cambria Math"/>
          <w:i/>
          <w:color w:val="1A365D"/>
          <w:sz w:val="21"/>
        </w:rPr>
        <w:t>‖‖{‖0‖,‖ ‖1‖,‖ ‖4‖‖}‖</w:t>
      </w:r>
      <w:r>
        <w:t>, evaluated as discrete presence/absence (</w:t>
      </w:r>
      <w:r>
        <w:rPr>
          <w:rFonts w:ascii="Cambria Math" w:hAnsi="Cambria Math"/>
          <w:i/>
          <w:color w:val="1A365D"/>
          <w:sz w:val="21"/>
        </w:rPr>
        <w:t>‖x‖_‖j‖ ‖&gt;‖ ‖0‖</w:t>
      </w:r>
      <w:r>
        <w:t>) generating positive/negative clinical pathogenicity notifications based on ClinVar assertions.</w:t>
      </w:r>
    </w:p>
    <w:p>
      <w:pPr>
        <w:pStyle w:val="ListNumber"/>
        <w:spacing w:before="20" w:after="40"/>
      </w:pPr>
      <w:r>
        <w:rPr>
          <w:b/>
        </w:rPr>
        <w:t>Polygenic Risk Score (PRS)</w:t>
      </w:r>
      <w:r>
        <w:t xml:space="preserve">: For indices </w:t>
      </w:r>
      <w:r>
        <w:rPr>
          <w:rFonts w:ascii="Cambria Math" w:hAnsi="Cambria Math"/>
          <w:i/>
          <w:color w:val="1A365D"/>
          <w:sz w:val="21"/>
        </w:rPr>
        <w:t>‖‖{‖2‖,‖ ‖3‖‖}‖</w:t>
      </w:r>
      <w:r>
        <w:t xml:space="preserve">, raw PRS is computed as </w:t>
      </w:r>
      <w:r>
        <w:rPr>
          <w:rFonts w:ascii="Cambria Math" w:hAnsi="Cambria Math"/>
          <w:i/>
          <w:color w:val="1A365D"/>
          <w:sz w:val="21"/>
        </w:rPr>
        <w:t>‖P‖R‖S‖ ‖=‖ ‖∑‖_‖{‖j‖ ‖ ‖∈‖ ‖ ‖‖{‖2‖,‖ ‖3‖‖}‖}‖ ‖β‖_‖j‖ ‖x‖_‖j‖</w:t>
      </w:r>
      <w:r>
        <w:t xml:space="preserve">. This score is compared against the empirical reference distribution </w:t>
      </w:r>
      <w:r>
        <w:rPr>
          <w:rFonts w:ascii="Cambria Math" w:hAnsi="Cambria Math"/>
          <w:i/>
          <w:color w:val="1A365D"/>
          <w:sz w:val="21"/>
        </w:rPr>
        <w:t>‖ℛ‖_‖{‖p‖o‖p‖}‖</w:t>
      </w:r>
      <w:r>
        <w:t xml:space="preserve"> (</w:t>
      </w:r>
      <w:r>
        <w:rPr>
          <w:rFonts w:ascii="Cambria Math" w:hAnsi="Cambria Math"/>
          <w:i/>
          <w:color w:val="1A365D"/>
          <w:sz w:val="21"/>
        </w:rPr>
        <w:t>‖N‖=‖2‖,‖8‖0‖0‖</w:t>
      </w:r>
      <w:r>
        <w:t>) to yield an exact population percentile: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‖P‖e‖r‖c‖e‖n‖t‖i‖l‖e‖ ‖=‖ ‖‖f‖r‖a‖c‖{‖1‖}‖{‖|‖ℛ‖_‖{‖p‖o‖p‖}‖|‖}‖ ‖∑‖_‖{‖r‖ ‖ ‖∈‖ ‖ ‖ℛ‖_‖{‖p‖o‖p‖}‖}‖ ‖𝕀‖(‖r‖ ‖ ‖≤‖ ‖ ‖P‖R‖S‖)‖ ‖ ‖×‖ ‖ ‖1‖0‖0‖‖%‖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4.2 Domain 2: OHDSI OMOP CDM Clinical EHR</w:t>
      </w:r>
    </w:p>
    <w:p>
      <w:pPr>
        <w:spacing w:before="40" w:after="80" w:line="276" w:lineRule="auto"/>
      </w:pPr>
      <w:r>
        <w:t xml:space="preserve">The clinical feature vector </w:t>
      </w:r>
      <w:r>
        <w:rPr>
          <w:rFonts w:ascii="Cambria Math" w:hAnsi="Cambria Math"/>
          <w:i/>
          <w:color w:val="1A365D"/>
          <w:sz w:val="21"/>
        </w:rPr>
        <w:t>‖x‖ ‖ ‖∈‖ ‖ ‖‖{‖0‖,‖ ‖1‖‖}‖^‖5‖</w:t>
      </w:r>
      <w:r>
        <w:t xml:space="preserve"> corresponds to standard OMOP Concept IDs: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Index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OMOP Concept ID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OMOP Domain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Target Outcome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317009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CONDITION_OCCURRENCE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Asthma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30-Day Major Adverse Cardiovascular Event (MACE)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201826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CONDITION_OCCURRENCE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Type 2 Diabetes Mellitus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30-Day MACE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4329847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CONDITION_OCCURRENCE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Myocardial Infarction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30-Day MACE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1124300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DRUG_EXPOSURE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Statin (Atorvastatin)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30-Day MACE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1503297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DRUG_EXPOSURE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Metformin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30-Day MACE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5. Interoperability &amp; Schema Specifications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5.1 HL7 FHIR R4 MolecularSequence 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"resourceType": "MolecularSequence",</w:t>
              <w:br/>
              <w:t xml:space="preserve">  "id": "seq-rs80357711",</w:t>
              <w:br/>
              <w:t xml:space="preserve">  "type": "dna",</w:t>
              <w:br/>
              <w:t xml:space="preserve">  "coordinateSystem": 1,</w:t>
              <w:br/>
              <w:t xml:space="preserve">  "referenceSeq": {</w:t>
              <w:br/>
              <w:t xml:space="preserve">    "chromosome": { "coding": [{ "system": "http://terminology.hl7.org/CodeSystem/chromosome-human", "code": "17" }] },</w:t>
              <w:br/>
              <w:t xml:space="preserve">    "genomeBuild": "GRCh38",</w:t>
              <w:br/>
              <w:t xml:space="preserve">    "windowStart": 43057062,</w:t>
              <w:br/>
              <w:t xml:space="preserve">    "windowEnd": 43057062</w:t>
              <w:br/>
              <w:t xml:space="preserve">  },</w:t>
              <w:br/>
              <w:t xml:space="preserve">  "variant": [{</w:t>
              <w:br/>
              <w:t xml:space="preserve">    "observedAllele": "A",</w:t>
              <w:br/>
              <w:t xml:space="preserve">    "referenceAllele": "AG",</w:t>
              <w:br/>
              <w:t xml:space="preserve">    "cigar": "1D"</w:t>
              <w:br/>
              <w:t xml:space="preserve">  }]</w:t>
              <w:br/>
              <w:t>}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5.2 OHDSI OMOP CDM v5.4 Measurement 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"measurement_id": 80357711,</w:t>
              <w:br/>
              <w:t xml:space="preserve">  "person_id": 0,</w:t>
              <w:br/>
              <w:t xml:space="preserve">  "measurement_concept_id": 4329847,</w:t>
              <w:br/>
              <w:t xml:space="preserve">  "measurement_date": "2026-08-20",</w:t>
              <w:br/>
              <w:t xml:space="preserve">  "measurement_type_concept_id": 44818702,</w:t>
              <w:br/>
              <w:t xml:space="preserve">  "value_as_concept_id": 4181412,</w:t>
              <w:br/>
              <w:t xml:space="preserve">  "value_source_value": "rs80357711:BRCA1",</w:t>
              <w:br/>
              <w:t xml:space="preserve">  "unit_concept_id": 8510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6. Zero-Exposure Federated Cohort Discovery Protocol</w:t>
      </w:r>
    </w:p>
    <w:p>
      <w:pPr>
        <w:pStyle w:val="ListNumber"/>
        <w:spacing w:before="20" w:after="40"/>
      </w:pPr>
      <w:r>
        <w:t xml:space="preserve">Researcher transmits criterion </w:t>
      </w:r>
      <w:r>
        <w:rPr>
          <w:rFonts w:ascii="Cambria Math" w:hAnsi="Cambria Math"/>
          <w:i/>
          <w:color w:val="1A365D"/>
          <w:sz w:val="21"/>
        </w:rPr>
        <w:t>‖𝒬‖ ‖=‖ ‖(‖g‖e‖n‖e‖,‖ ‖v‖a‖r‖i‖a‖n‖t‖‖_‖c‖l‖a‖s‖s‖,‖ ‖m‖i‖n‖‖_‖d‖o‖s‖a‖g‖e‖)‖</w:t>
      </w:r>
      <w:r>
        <w:t>.</w:t>
      </w:r>
    </w:p>
    <w:p>
      <w:pPr>
        <w:pStyle w:val="ListNumber"/>
        <w:spacing w:before="20" w:after="40"/>
      </w:pPr>
      <w:r>
        <w:t xml:space="preserve">Node </w:t>
      </w:r>
      <w:r>
        <w:rPr>
          <w:rFonts w:ascii="Cambria Math" w:hAnsi="Cambria Math"/>
          <w:i/>
          <w:color w:val="1A365D"/>
          <w:sz w:val="21"/>
        </w:rPr>
        <w:t>‖k‖</w:t>
      </w:r>
      <w:r>
        <w:t xml:space="preserve"> evaluates matching patients </w:t>
      </w:r>
      <w:r>
        <w:rPr>
          <w:rFonts w:ascii="Cambria Math" w:hAnsi="Cambria Math"/>
          <w:i/>
          <w:color w:val="1A365D"/>
          <w:sz w:val="21"/>
        </w:rPr>
        <w:t>‖M‖_‖k‖ ‖=‖ ‖∑‖(‖i‖=‖1‖…‖n‖ₖ‖)‖ ‖𝕀‖(‖x‖_‖i‖ ‖ ‖s‖a‖t‖i‖s‖f‖i‖e‖s‖ ‖ ‖𝒬‖)‖</w:t>
      </w:r>
      <w:r>
        <w:t>.</w:t>
      </w:r>
    </w:p>
    <w:p>
      <w:pPr>
        <w:pStyle w:val="ListNumber"/>
        <w:spacing w:before="20" w:after="40"/>
      </w:pPr>
      <w:r>
        <w:rPr>
          <w:b/>
        </w:rPr>
        <w:t>Small-Cell Suppression ($k$-Anonymity)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‖‖w‖i‖d‖e‖h‖a‖t‖{‖M‖}‖_‖k‖ ‖=‖ ‖‖b‖e‖g‖i‖n‖{‖c‖a‖s‖e‖s‖}‖ ‖0‖ ‖&amp;‖ ‖i‖f‖ ‖ ‖0‖ ‖&lt;‖ ‖M‖_‖k‖ ‖&lt;‖ ‖5‖ ‖‖‖ ‖M‖_‖k‖ ‖&amp;‖ ‖o‖t‖h‖e‖r‖w‖i‖s‖e‖ ‖‖e‖n‖d‖{‖c‖a‖s‖e‖s‖}‖</w:t>
            </w:r>
          </w:p>
        </w:tc>
      </w:tr>
    </w:tbl>
    <w:p/>
    <w:p>
      <w:pPr>
        <w:pStyle w:val="ListNumber"/>
        <w:spacing w:before="20" w:after="40"/>
      </w:pPr>
      <w:r>
        <w:t xml:space="preserve">Aggregator calculates statistical power estimate </w:t>
      </w:r>
      <w:r>
        <w:rPr>
          <w:rFonts w:ascii="Cambria Math" w:hAnsi="Cambria Math"/>
          <w:i/>
          <w:color w:val="1A365D"/>
          <w:sz w:val="21"/>
        </w:rPr>
        <w:t>‖1‖ ‖-‖ ‖β‖</w:t>
      </w:r>
      <w:r>
        <w:t xml:space="preserve"> based on total count </w:t>
      </w:r>
      <w:r>
        <w:rPr>
          <w:rFonts w:ascii="Cambria Math" w:hAnsi="Cambria Math"/>
          <w:i/>
          <w:color w:val="1A365D"/>
          <w:sz w:val="21"/>
        </w:rPr>
        <w:t>‖∑‖ ‖‖w‖i‖d‖e‖h‖a‖t‖{‖M‖}‖_‖k‖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‖P‖o‖w‖e‖r‖ ‖=‖ ‖‖m‖i‖n‖ ‖≤‖ ‖f‖t‖(‖0‖.‖9‖9‖,‖ ‖Φ‖ ‖≤‖ ‖f‖t‖(‖‖s‖q‖r‖t‖{‖∑‖ ‖‖w‖i‖d‖e‖h‖a‖t‖{‖M‖}‖_‖k‖ ‖ ‖·‖ ‖ ‖e‖f‖f‖}‖ ‖-‖ ‖1‖.‖9‖6‖‖r‖i‖g‖h‖t‖)‖‖r‖i‖g‖h‖t‖)‖</w:t>
            </w:r>
          </w:p>
        </w:tc>
      </w:tr>
    </w:tbl>
    <w:p/>
    <w:p>
      <w:pPr>
        <w:pStyle w:val="ListNumber"/>
        <w:spacing w:before="20" w:after="40"/>
      </w:pPr>
      <w:r>
        <w:t>Only total counts and power estimates are returned. Zero row-level IDs cross the network.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7. REST API Endpoint Catalog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Authorization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Rate Limit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POST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/auth/login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Authenticate email/password, returns signed JWT (</w:t>
            </w:r>
            <w:r>
              <w:rPr>
                <w:rFonts w:ascii="Consolas" w:hAnsi="Consolas"/>
                <w:color w:val="805AD5"/>
                <w:sz w:val="19"/>
              </w:rPr>
              <w:t>exp=60m</w:t>
            </w:r>
            <w:r>
              <w:rPr>
                <w:sz w:val="19"/>
              </w:rPr>
              <w:t>).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GET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/api/fl/status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Current round index, node counts, dataset metadata, and privacy budget.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POST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/api/fl/run-round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Executes 1 FedAvg round across nodes with specified </w:t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‖ε‖_‖{‖s‖t‖e‖p‖}‖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805AD5"/>
                <w:sz w:val="19"/>
              </w:rPr>
              <w:t>domain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GET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/api/fl/history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Historical convergence trajectory with per-ancestry metric breakdown.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POST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/api/fl/predict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Computes separate monogenic findings and polygenic population percentile.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GET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/api/fl/model-inspect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Researcher Role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Returns model parameter tensors and statistical distributions.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GET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/api/genomics/real-variants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Returns 38 cataloged variants in FHIR R4 and OMOP CDM v5.4 format.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POST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/api/discovery/cohort-count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Executes zero-exposure federated count query with </w:t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‖k‖ ‖ ‖≥‖ ‖ ‖5‖</w:t>
            </w:r>
            <w:r>
              <w:rPr>
                <w:sz w:val="19"/>
              </w:rPr>
              <w:t xml:space="preserve"> suppression.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8. Verification &amp; Test Suite Summary</w:t>
      </w:r>
    </w:p>
    <w:p>
      <w:pPr>
        <w:spacing w:before="40" w:after="80" w:line="276" w:lineRule="auto"/>
      </w:pPr>
      <w:r>
        <w:t xml:space="preserve">All 15 automated verification tests pass cleanly under </w:t>
      </w:r>
      <w:r>
        <w:rPr>
          <w:rFonts w:ascii="Consolas" w:hAnsi="Consolas"/>
          <w:color w:val="805AD5"/>
          <w:sz w:val="19"/>
        </w:rPr>
        <w:t>pytest</w:t>
      </w:r>
      <w:r>
        <w:t>:</w:t>
      </w:r>
    </w:p>
    <w:p>
      <w:pPr>
        <w:pStyle w:val="ListNumber"/>
        <w:spacing w:before="20" w:after="40"/>
      </w:pPr>
      <w:r>
        <w:rPr>
          <w:rFonts w:ascii="Consolas" w:hAnsi="Consolas"/>
          <w:color w:val="805AD5"/>
          <w:sz w:val="19"/>
        </w:rPr>
        <w:t>test_task1.py</w:t>
      </w:r>
      <w:r>
        <w:t>: Deterministic seed execution, adversarial label sensitivity, gradient convergence dynamics, and explicit dataset type verification.</w:t>
      </w:r>
    </w:p>
    <w:p>
      <w:pPr>
        <w:pStyle w:val="ListNumber"/>
        <w:spacing w:before="20" w:after="40"/>
      </w:pPr>
      <w:r>
        <w:rPr>
          <w:rFonts w:ascii="Consolas" w:hAnsi="Consolas"/>
          <w:color w:val="805AD5"/>
          <w:sz w:val="19"/>
        </w:rPr>
        <w:t>test_task2.py</w:t>
      </w:r>
      <w:r>
        <w:t>: JWT authentication, 401 unauth rejection, 403 role gate for model inspection, CORS lockdown, token expiration.</w:t>
      </w:r>
    </w:p>
    <w:p>
      <w:pPr>
        <w:pStyle w:val="ListNumber"/>
        <w:spacing w:before="20" w:after="40"/>
      </w:pPr>
      <w:r>
        <w:rPr>
          <w:rFonts w:ascii="Consolas" w:hAnsi="Consolas"/>
          <w:color w:val="805AD5"/>
          <w:sz w:val="19"/>
        </w:rPr>
        <w:t>test_task6.py</w:t>
      </w:r>
      <w:r>
        <w:t xml:space="preserve">: FHIR R4 </w:t>
      </w:r>
      <w:r>
        <w:rPr>
          <w:rFonts w:ascii="Consolas" w:hAnsi="Consolas"/>
          <w:color w:val="805AD5"/>
          <w:sz w:val="19"/>
        </w:rPr>
        <w:t>MolecularSequence</w:t>
      </w:r>
      <w:r>
        <w:t xml:space="preserve"> and OMOP CDM v5.4 Pydantic schema validation across 38 genomic loci.</w:t>
      </w:r>
    </w:p>
    <w:p>
      <w:pPr>
        <w:pStyle w:val="ListNumber"/>
        <w:spacing w:before="20" w:after="40"/>
      </w:pPr>
      <w:r>
        <w:rPr>
          <w:rFonts w:ascii="Consolas" w:hAnsi="Consolas"/>
          <w:color w:val="805AD5"/>
          <w:sz w:val="19"/>
        </w:rPr>
        <w:t>test_task11.py</w:t>
      </w:r>
      <w:r>
        <w:t xml:space="preserve">: Zero-exposure cohort count discovery with </w:t>
      </w:r>
      <w:r>
        <w:rPr>
          <w:rFonts w:ascii="Cambria Math" w:hAnsi="Cambria Math"/>
          <w:i/>
          <w:color w:val="1A365D"/>
          <w:sz w:val="21"/>
        </w:rPr>
        <w:t>‖k‖ ‖ ‖≥‖ ‖ ‖5‖</w:t>
      </w:r>
      <w:r>
        <w:t xml:space="preserve"> small-cell privacy suppression.</w:t>
      </w:r>
    </w:p>
    <w:p>
      <w:pPr>
        <w:pStyle w:val="ListNumber"/>
        <w:spacing w:before="20" w:after="40"/>
      </w:pPr>
      <w:r>
        <w:rPr>
          <w:rFonts w:ascii="Consolas" w:hAnsi="Consolas"/>
          <w:color w:val="805AD5"/>
          <w:sz w:val="19"/>
        </w:rPr>
        <w:t>test_task12.py</w:t>
      </w:r>
      <w:r>
        <w:t>: Second OMOP clinical domain (</w:t>
      </w:r>
      <w:r>
        <w:rPr>
          <w:rFonts w:ascii="Consolas" w:hAnsi="Consolas"/>
          <w:color w:val="805AD5"/>
          <w:sz w:val="19"/>
        </w:rPr>
        <w:t>CONDITION_OCCURRENCE</w:t>
      </w:r>
      <w:r>
        <w:t xml:space="preserve"> + </w:t>
      </w:r>
      <w:r>
        <w:rPr>
          <w:rFonts w:ascii="Consolas" w:hAnsi="Consolas"/>
          <w:color w:val="805AD5"/>
          <w:sz w:val="19"/>
        </w:rPr>
        <w:t>DRUG_EXPOSURE</w:t>
      </w:r>
      <w:r>
        <w:t>) end-to-end FL execution.</w:t>
      </w:r>
    </w:p>
    <w:p>
      <w:pPr>
        <w:pStyle w:val="ListNumber"/>
        <w:spacing w:before="20" w:after="40"/>
      </w:pPr>
      <w:r>
        <w:rPr>
          <w:rFonts w:ascii="Consolas" w:hAnsi="Consolas"/>
          <w:color w:val="805AD5"/>
          <w:sz w:val="19"/>
        </w:rPr>
        <w:t>test_task13.py</w:t>
      </w:r>
      <w:r>
        <w:t>: Separation of monogenic pathogenicity findings from polygenic risk percentile scoring.</w:t>
      </w:r>
    </w:p>
    <w:p>
      <w:pPr>
        <w:pStyle w:val="ListNumber"/>
        <w:spacing w:before="20" w:after="40"/>
      </w:pPr>
      <w:r>
        <w:rPr>
          <w:rFonts w:ascii="Consolas" w:hAnsi="Consolas"/>
          <w:color w:val="805AD5"/>
          <w:sz w:val="19"/>
        </w:rPr>
        <w:t>test_task14_15.py</w:t>
      </w:r>
      <w:r>
        <w:t>: Dataset license verification, class-imbalance weighted BCE loss, and multi-ancestry (</w:t>
      </w:r>
      <w:r>
        <w:rPr>
          <w:rFonts w:ascii="Consolas" w:hAnsi="Consolas"/>
          <w:color w:val="805AD5"/>
          <w:sz w:val="19"/>
        </w:rPr>
        <w:t>EUR</w:t>
      </w:r>
      <w:r>
        <w:t xml:space="preserve">, </w:t>
      </w:r>
      <w:r>
        <w:rPr>
          <w:rFonts w:ascii="Consolas" w:hAnsi="Consolas"/>
          <w:color w:val="805AD5"/>
          <w:sz w:val="19"/>
        </w:rPr>
        <w:t>SAS</w:t>
      </w:r>
      <w:r>
        <w:t xml:space="preserve">, </w:t>
      </w:r>
      <w:r>
        <w:rPr>
          <w:rFonts w:ascii="Consolas" w:hAnsi="Consolas"/>
          <w:color w:val="805AD5"/>
          <w:sz w:val="19"/>
        </w:rPr>
        <w:t>AFR</w:t>
      </w:r>
      <w:r>
        <w:t>) evaluation breakdown.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