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rFonts w:ascii="Calibri" w:hAnsi="Calibri"/>
          <w:b/>
          <w:color w:val="1A365D"/>
          <w:sz w:val="44"/>
        </w:rPr>
        <w:t>Med-Link: Comprehensive Technical Architecture Document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1. System Architecture &amp; Component Design</w:t>
      </w:r>
    </w:p>
    <w:p>
      <w:pPr>
        <w:spacing w:before="40" w:after="80" w:line="276" w:lineRule="auto"/>
      </w:pPr>
      <w:r>
        <w:t>Med-Link is a decentralized, privacy-preserving federated machine learning and cohort analytics system for multi-center genomic and clinical electronic health records (EHR).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+---------------------------------------------------------------------------------------------------+</w:t>
              <w:br/>
              <w:t>|                                      MED-LINK CLIENT INTERFACES                                   |</w:t>
              <w:br/>
              <w:t>|   React 18 SPA (TypeScript + Tailwind CSS + Vite 6) | Axios Client with Bearer JWT State Mgmt     |</w:t>
              <w:br/>
              <w:t>|   - Researcher Portal (/api/fl/*, /api/discovery/*)   - Patient Portal (Consent &amp; Risk View)     |</w:t>
              <w:br/>
              <w:t>|   - Institution Dashboard (Node Governance)          - FHIR/OMOP Variant Browser                  |</w:t>
              <w:br/>
              <w:t>+---------------------------------------------------------------------------------------------------+</w:t>
              <w:br/>
              <w:t xml:space="preserve">                                                  | HTTPS / REST (Port 8000)</w:t>
              <w:br/>
              <w:t xml:space="preserve">                                                  v</w:t>
              <w:br/>
              <w:t>+---------------------------------------------------------------------------------------------------+</w:t>
              <w:br/>
              <w:t>|                                  MED-LINK CENTRAL AGGREGATOR NODE                                 |</w:t>
              <w:br/>
              <w:t>|                                                                                                   |</w:t>
              <w:br/>
              <w:t>|  [FastAPI REST API Gateway]                                                                       |</w:t>
              <w:br/>
              <w:t>|  - Rate Limiter Middleware (Sliding Window: 10-30 req / 10s)                                      |</w:t>
              <w:br/>
              <w:t>|  - JWT Auth (HMAC-SHA256, bcrypt verify, 60m exp) &amp; RBAC Policy Gate                              |</w:t>
              <w:br/>
              <w:t>|                                                                                                   |</w:t>
              <w:br/>
              <w:t>|  [FederatedServerAggregator Engine]                                                               |</w:t>
              <w:br/>
              <w:t>|  - Parameter Matrix: W \in R^{10 x 64} (Genomic: 5 feature weights + bias)                         |</w:t>
              <w:br/>
              <w:t>|  - Aggregation Algorithm: Sample-Weighted Federated Averaging (FedAvg)                             |</w:t>
              <w:br/>
              <w:t>|  - Multi-Ancestry Evaluator: Stratified Held-Out Test Splits (EUR, SAS, AFR)                       |</w:t>
              <w:br/>
              <w:t>|                                                                                                   |</w:t>
              <w:br/>
              <w:t>|  [Standards &amp; Discovery Subsystems]                                                               |</w:t>
              <w:br/>
              <w:t>|  - FHIR R4 MolecularSequence &amp; OMOP CDM v5.4 Measurement Generator                                |</w:t>
              <w:br/>
              <w:t>|  - Zero-Exposure Federated Discovery Engine (k-anonymity &gt;= 5 small-cell suppression)              |</w:t>
              <w:br/>
              <w:t>|  - Renyi Differential Privacy (RDP) Moments Accountant Monitor                                    |</w:t>
              <w:br/>
              <w:t>+---------------------------------------------------------------------------------------------------+</w:t>
              <w:br/>
              <w:t xml:space="preserve">             |                                     |                                     |</w:t>
              <w:br/>
              <w:t xml:space="preserve">    TLS Encrypted Diff                    TLS Encrypted Diff                    TLS Encrypted Diff</w:t>
              <w:br/>
              <w:t xml:space="preserve">    W_{diff}^{(1)} + Laplace(\sigma_1)    W_{diff}^{(2)} + Laplace(\sigma_2)    W_{diff}^{(3)} + Laplace(\sigma_3)</w:t>
              <w:br/>
              <w:t xml:space="preserve">             |                                     |                                     |</w:t>
              <w:br/>
              <w:t xml:space="preserve">             v                                     v                                     v</w:t>
              <w:br/>
              <w:t>+------------------------+            +------------------------+            +------------------------+</w:t>
              <w:br/>
              <w:t>|  HOSPITAL NODE 1 (EUR) |            |  HOSPITAL NODE 2 (SAS) |            |  HOSPITAL NODE 3 (AFR) |</w:t>
              <w:br/>
              <w:t>|  Metro General Vault   |            |  St. Jude Biobank      |            |  Apex Health Enclave   |</w:t>
              <w:br/>
              <w:t>|  N_train = 1,000       |            |  N_train = 600         |            |  N_train = 800         |</w:t>
              <w:br/>
              <w:t>|  Local SGD with L2     |            |  Local SGD with L2     |            |  Local SGD with L2     |</w:t>
              <w:br/>
              <w:t>|  Pos-Loss BCE Weighting|            |  Pos-Loss BCE Weighting|            |  Pos-Loss BCE Weighting|</w:t>
              <w:br/>
              <w:t>|  Laplace DP Perturbation|           |  Laplace DP Perturbation|           |  Laplace DP Perturbation|</w:t>
              <w:br/>
              <w:t>+------------------------+            +------------------------+            +------------------------+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2. Mathematical Formulations &amp; Optimization Algorithms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2.1 Local Training Objective (Class-Weighted Binary Cross-Entropy with L2 Regularization)</w:t>
      </w:r>
    </w:p>
    <w:p>
      <w:pPr>
        <w:spacing w:before="40" w:after="80" w:line="276" w:lineRule="auto"/>
      </w:pPr>
      <w:r>
        <w:t>Each hospital node $k \in \{1, \dots, K\}$ trains on its local private dataset $\mathcal{D}_k = \{(x_i, y_i)\}_{i=1}^{n_k}$, where $x_i \in \mathbb{R}^d$ and $y_i \in \{0, 1\}$.</w:t>
      </w:r>
    </w:p>
    <w:p>
      <w:pPr>
        <w:spacing w:before="40" w:after="80" w:line="276" w:lineRule="auto"/>
      </w:pPr>
      <w:r>
        <w:t>To correct for clinical class imbalance (prevalence $\approx 22\%$), the local loss function applies a positive class weight $w_{\text{pos}}^{(k)} = \frac{n_k - \sum y_i}{\max(1, \sum y_i)}$:</w:t>
      </w:r>
    </w:p>
    <w:p>
      <w:pPr>
        <w:spacing w:before="40" w:after="80" w:line="276" w:lineRule="auto"/>
      </w:pPr>
      <w:r>
        <w:t>$$\mathcal{L}_k(w, b) = -\frac{1}{n_k} \sum_{i=1}^{n_k} \left[ w_{\text{pos}}^{(k)} \cdot y_i \ln \sigma(z_i) + (1 - y_i) \ln(1 - \sigma(z_i)) \right] + \frac{\lambda}{2} \|w\|_2^2$$</w:t>
      </w:r>
    </w:p>
    <w:p>
      <w:pPr>
        <w:spacing w:before="40" w:after="80" w:line="276" w:lineRule="auto"/>
      </w:pPr>
      <w:r>
        <w:t>where:</w:t>
      </w:r>
    </w:p>
    <w:p>
      <w:pPr>
        <w:pStyle w:val="ListBullet"/>
        <w:spacing w:before="20" w:after="40"/>
      </w:pPr>
      <w:r>
        <w:t>$z_i = w^\top x_i + b$ (linear logit)</w:t>
      </w:r>
    </w:p>
    <w:p>
      <w:pPr>
        <w:pStyle w:val="ListBullet"/>
        <w:spacing w:before="20" w:after="40"/>
      </w:pPr>
      <w:r>
        <w:t>$\sigma(z) = \frac{1}{1 + e^{-\text{clip}(z, -25.0, 25.0)}}$</w:t>
      </w:r>
    </w:p>
    <w:p>
      <w:pPr>
        <w:pStyle w:val="ListBullet"/>
        <w:spacing w:before="20" w:after="40"/>
      </w:pPr>
      <w:r>
        <w:t>$\lambda = 10^{-3}$ (L2 weight decay)</w:t>
      </w:r>
    </w:p>
    <w:p>
      <w:pPr>
        <w:spacing w:before="40" w:after="80" w:line="276" w:lineRule="auto"/>
      </w:pPr>
      <w:r>
        <w:t>Gradient calculations per epoch:</w:t>
      </w:r>
    </w:p>
    <w:p>
      <w:pPr>
        <w:spacing w:before="40" w:after="80" w:line="276" w:lineRule="auto"/>
      </w:pPr>
      <w:r>
        <w:t>$$\nabla_w \mathcal{L}_k = \frac{1}{n_k} X_k^\top \left( (\sigma(z) - y) \odot M_{\text{weight}} \right) + \lambda w$$</w:t>
      </w:r>
    </w:p>
    <w:p>
      <w:pPr>
        <w:spacing w:before="40" w:after="80" w:line="276" w:lineRule="auto"/>
      </w:pPr>
      <w:r>
        <w:t>$$\nabla_b \mathcal{L}_k = \frac{1}{n_k} \mathbf{1}^\top \left( (\sigma(z) - y) \odot M_{\text{weight}} \right)$$</w:t>
      </w:r>
    </w:p>
    <w:p>
      <w:pPr>
        <w:spacing w:before="40" w:after="80" w:line="276" w:lineRule="auto"/>
      </w:pPr>
      <w:r>
        <w:t>where $M_{\text{weight}, i} = w_{\text{pos}}^{(k)}$ if $y_i = 1$ else $1.0$.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2.2 Federated Averaging (FedAvg) Update Rule</w:t>
      </w:r>
    </w:p>
    <w:p>
      <w:pPr>
        <w:spacing w:before="40" w:after="80" w:line="276" w:lineRule="auto"/>
      </w:pPr>
      <w:r>
        <w:t>In round $t+1$, the central aggregator receives masked parameter differentials $\Delta w_k^{(t)} = w_k^{(t)} - w_{\text{global}}^{(t)}$ from all $K$ nodes and updates the global weights:</w:t>
      </w:r>
    </w:p>
    <w:p>
      <w:pPr>
        <w:spacing w:before="40" w:after="80" w:line="276" w:lineRule="auto"/>
      </w:pPr>
      <w:r>
        <w:t>$$w_{\text{global}}^{(t+1)} = w_{\text{global}}^{(t)} + \sum_{k=1}^K \left( \frac{n_k}{\sum_{j=1}^K n_j} \right) \widetilde{\Delta w}_k^{(t)}$$</w:t>
      </w:r>
    </w:p>
    <w:p>
      <w:pPr>
        <w:spacing w:before="40" w:after="80" w:line="276" w:lineRule="auto"/>
      </w:pPr>
      <w:r>
        <w:t>where $\widetilde{\Delta w}_k^{(t)}$ is the differentially private perturbed weight update.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3. Formal Differential Privacy &amp; Moments Accountant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3.1 Laplace Perturbation Mechanism</w:t>
      </w:r>
    </w:p>
    <w:p>
      <w:pPr>
        <w:spacing w:before="40" w:after="80" w:line="276" w:lineRule="auto"/>
      </w:pPr>
      <w:r>
        <w:t>Local gradients are clipped to $L_1$-sensitivity $\Delta_S = 0.2$ and perturbed via zero-mean Laplace noise:</w:t>
      </w:r>
    </w:p>
    <w:p>
      <w:pPr>
        <w:spacing w:before="40" w:after="80" w:line="276" w:lineRule="auto"/>
      </w:pPr>
      <w:r>
        <w:t>$$\widetilde{\Delta w}_k = \Delta w_k + \text{Laplace}\left(0, \frac{\Delta_S}{\epsilon_{\text{step}}}\right)$$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3.2 Rényi Differential Privacy (RDP) Composition</w:t>
      </w:r>
    </w:p>
    <w:p>
      <w:pPr>
        <w:spacing w:before="40" w:after="80" w:line="276" w:lineRule="auto"/>
      </w:pPr>
      <w:r>
        <w:t>Rather than loose basic linear composition ($\epsilon_{\text{total}} = \sum \epsilon_i$), Med-Link tracks privacy via Rényi Differential Privacy across orders $\alpha \in \{1.25, 1.5, 1.75, 2.0, \dots, 64.0\}$:</w:t>
      </w:r>
    </w:p>
    <w:p>
      <w:pPr>
        <w:spacing w:before="40" w:after="80" w:line="276" w:lineRule="auto"/>
      </w:pPr>
      <w:r>
        <w:t>For the Laplace mechanism with scale $b = \frac{\Delta_S}{\epsilon_{\text{step}}}$, the exact RDP at order $\alpha &gt; 1$ is computed as:</w:t>
      </w:r>
    </w:p>
    <w:p>
      <w:pPr>
        <w:spacing w:before="40" w:after="80" w:line="276" w:lineRule="auto"/>
      </w:pPr>
      <w:r>
        <w:t>$$\mathcal{D}_\alpha(\mathcal{M} \| \mathcal{M}') = \frac{1}{\alpha - 1} \ln \left[ \frac{\alpha}{2\alpha - 1} e^{(\alpha - 1)\frac{\Delta_S}{b}} + \frac{\alpha - 1}{2\alpha - 1} e^{-\alpha \frac{\Delta_S}{b}} \right]$$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3.3 Conversion from RDP to $(\epsilon, \delta)$-DP</w:t>
      </w:r>
    </w:p>
    <w:p>
      <w:pPr>
        <w:spacing w:before="40" w:after="80" w:line="276" w:lineRule="auto"/>
      </w:pPr>
      <w:r>
        <w:t>Over $T$ composed federated rounds, the composed RDP is $\mathcal{D}_\alpha^{(T)} = \sum_{t=1}^T \mathcal{D}_\alpha^{(t)}$. The tight $(\epsilon, \delta)$-DP guarantee is extracted via:</w:t>
      </w:r>
    </w:p>
    <w:p>
      <w:pPr>
        <w:spacing w:before="40" w:after="80" w:line="276" w:lineRule="auto"/>
      </w:pPr>
      <w:r>
        <w:t>$$\epsilon(\delta) = \min_{\alpha &gt; 1} \left[ \mathcal{D}_\alpha^{(T)} + \frac{\ln(1/\delta)}{\alpha - 1} \right]$$</w:t>
      </w:r>
    </w:p>
    <w:p>
      <w:pPr>
        <w:spacing w:before="40" w:after="80" w:line="276" w:lineRule="auto"/>
      </w:pPr>
      <w:r>
        <w:t>For target security parameter $\delta = 10^{-5}$, Med-Link dynamically reports the optimal computed $\epsilon(\delta)$ bounding the cumulative privacy budget.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4. Genomic &amp; Clinical Feature Specifications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4.1 Domain 1: Multi-Ancestry Genomic Loci</w:t>
      </w:r>
    </w:p>
    <w:p>
      <w:pPr>
        <w:spacing w:before="40" w:after="80" w:line="276" w:lineRule="auto"/>
      </w:pPr>
      <w:r>
        <w:t>The genomic feature vector $x \in \{0, 1, 2\}^5$ corresponds to standard allele dosage: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337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Locus / rsID</w:t>
            </w:r>
          </w:p>
        </w:tc>
        <w:tc>
          <w:tcPr>
            <w:tcW w:type="dxa" w:w="1337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Gene</w:t>
            </w:r>
          </w:p>
        </w:tc>
        <w:tc>
          <w:tcPr>
            <w:tcW w:type="dxa" w:w="1337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Genomic Coordinate (GRCh38)</w:t>
            </w:r>
          </w:p>
        </w:tc>
        <w:tc>
          <w:tcPr>
            <w:tcW w:type="dxa" w:w="1337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Clinical Role</w:t>
            </w:r>
          </w:p>
        </w:tc>
        <w:tc>
          <w:tcPr>
            <w:tcW w:type="dxa" w:w="1337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Variant Class</w:t>
            </w:r>
          </w:p>
        </w:tc>
        <w:tc>
          <w:tcPr>
            <w:tcW w:type="dxa" w:w="1337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Effect Weight ($\beta$)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`rs1799966`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BRCA1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chr17:43045677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Hereditary Breast/Ovarian Cancer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Monogenic High-Penetrance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Pathogenicity Finding</w:t>
            </w:r>
          </w:p>
        </w:tc>
      </w:tr>
      <w:tr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`rs80357711`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BRCA1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chr17:43057062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Familial Breast Cancer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Monogenic High-Penetrance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Pathogenicity Finding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`rs7903146`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TCF7L2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chr10:112998590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Type 2 Diabetes Mellitus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Polygenic Common Risk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$\beta = 0.65$</w:t>
            </w:r>
          </w:p>
        </w:tc>
      </w:tr>
      <w:tr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3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`rs429358`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APOE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chr19:44908684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Alzheimer's / Cardiovascular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Polygenic Common Risk</w:t>
            </w:r>
          </w:p>
        </w:tc>
        <w:tc>
          <w:tcPr>
            <w:tcW w:type="dxa" w:w="1337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$\beta = 0.85$</w:t>
            </w:r>
          </w:p>
        </w:tc>
      </w:tr>
      <w:tr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`rs1042522`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TP53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chr17:7676154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Li-Fraumeni / Cancer Predisposition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Monogenic High-Penetrance</w:t>
            </w:r>
          </w:p>
        </w:tc>
        <w:tc>
          <w:tcPr>
            <w:tcW w:type="dxa" w:w="1337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Pathogenicity Finding</w:t>
            </w:r>
          </w:p>
        </w:tc>
      </w:tr>
    </w:tbl>
    <w:p/>
    <w:p>
      <w:pPr>
        <w:pStyle w:val="Heading4"/>
        <w:spacing w:before="160" w:after="60"/>
      </w:pPr>
      <w:r>
        <w:rPr>
          <w:rFonts w:ascii="Calibri" w:hAnsi="Calibri"/>
          <w:b/>
          <w:color w:val="4A5568"/>
          <w:sz w:val="23"/>
        </w:rPr>
        <w:t>Separate Risk Calculation Mechanics:</w:t>
      </w:r>
    </w:p>
    <w:p>
      <w:pPr>
        <w:pStyle w:val="ListNumber"/>
        <w:spacing w:before="20" w:after="40"/>
      </w:pPr>
      <w:r/>
      <w:r>
        <w:rPr>
          <w:b/>
        </w:rPr>
        <w:t>Monogenic Evaluation</w:t>
      </w:r>
      <w:r>
        <w:t>: For indices $\{0, 1, 4\}$, evaluated as discrete presence/absence ($x_j &gt; 0$) generating positive/negative clinical pathogenicity notifications based on ClinVar assertions.</w:t>
      </w:r>
    </w:p>
    <w:p>
      <w:pPr>
        <w:pStyle w:val="ListNumber"/>
        <w:spacing w:before="20" w:after="40"/>
      </w:pPr>
      <w:r/>
      <w:r>
        <w:rPr>
          <w:b/>
        </w:rPr>
        <w:t>Polygenic Risk Score (PRS)</w:t>
      </w:r>
      <w:r>
        <w:t>: For indices $\{2, 3\}$, raw PRS is computed as $\text{PRS} = \sum_{j \in \{2, 3\}} \beta_j x_j$. This score is compared against the empirical reference distribution $\mathcal{R}_{\text{pop}}$ ($N=2,800$) to yield an exact population percentile:</w:t>
      </w:r>
    </w:p>
    <w:p>
      <w:pPr>
        <w:spacing w:before="40" w:after="80" w:line="276" w:lineRule="auto"/>
      </w:pPr>
      <w:r>
        <w:t xml:space="preserve">   $$\text{Percentile} = \frac{1}{|\mathcal{R}_{\text{pop}}|} \sum_{r \in \mathcal{R}_{\text{pop}}} \mathbb{I}(r \le \text{PRS}) \times 100\%$$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4.2 Domain 2: OHDSI OMOP CDM Clinical EHR</w:t>
      </w:r>
    </w:p>
    <w:p>
      <w:pPr>
        <w:spacing w:before="40" w:after="80" w:line="276" w:lineRule="auto"/>
      </w:pPr>
      <w:r>
        <w:t>The clinical feature vector $x \in \{0, 1\}^5$ corresponds to standard OMOP Concept IDs: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OMOP Concept ID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OMOP Domain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Target Outcome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`317009`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`CONDITION_OCCURRENCE`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Asthma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30-Day Major Adverse Cardiovascular Event (MACE)</w:t>
            </w:r>
          </w:p>
        </w:tc>
      </w:tr>
      <w:tr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1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`201826`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`CONDITION_OCCURRENCE`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Type 2 Diabetes Mellitus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30-Day MACE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2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`4329847`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`CONDITION_OCCURRENCE`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Myocardial Infarction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30-Day MACE</w:t>
            </w:r>
          </w:p>
        </w:tc>
      </w:tr>
      <w:tr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3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`1124300`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`DRUG_EXPOSURE`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Statin (Atorvastatin)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30-Day MACE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4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`1503297`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`DRUG_EXPOSURE`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Metformin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30-Day MACE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5. Interoperability &amp; Schema Specifications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5.1 HL7 FHIR R4 MolecularSequence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"resourceType": "MolecularSequence",</w:t>
              <w:br/>
              <w:t xml:space="preserve">  "id": "seq-rs80357711",</w:t>
              <w:br/>
              <w:t xml:space="preserve">  "type": "dna",</w:t>
              <w:br/>
              <w:t xml:space="preserve">  "coordinateSystem": 1,</w:t>
              <w:br/>
              <w:t xml:space="preserve">  "referenceSeq": {</w:t>
              <w:br/>
              <w:t xml:space="preserve">    "chromosome": { "coding": [{ "system": "http://terminology.hl7.org/CodeSystem/chromosome-human", "code": "17" }] },</w:t>
              <w:br/>
              <w:t xml:space="preserve">    "genomeBuild": "GRCh38",</w:t>
              <w:br/>
              <w:t xml:space="preserve">    "windowStart": 43057062,</w:t>
              <w:br/>
              <w:t xml:space="preserve">    "windowEnd": 43057062</w:t>
              <w:br/>
              <w:t xml:space="preserve">  },</w:t>
              <w:br/>
              <w:t xml:space="preserve">  "variant": [{</w:t>
              <w:br/>
              <w:t xml:space="preserve">    "observedAllele": "A",</w:t>
              <w:br/>
              <w:t xml:space="preserve">    "referenceAllele": "AG",</w:t>
              <w:br/>
              <w:t xml:space="preserve">    "cigar": "1D"</w:t>
              <w:br/>
              <w:t xml:space="preserve">  }]</w:t>
              <w:br/>
              <w:t>}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2D3748"/>
          <w:sz w:val="26"/>
        </w:rPr>
        <w:t>5.2 OHDSI OMOP CDM v5.4 Measurement Model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9"/>
              </w:rPr>
              <w:t>{</w:t>
              <w:br/>
              <w:t xml:space="preserve">  "measurement_id": 80357711,</w:t>
              <w:br/>
              <w:t xml:space="preserve">  "person_id": 0,</w:t>
              <w:br/>
              <w:t xml:space="preserve">  "measurement_concept_id": 4329847,</w:t>
              <w:br/>
              <w:t xml:space="preserve">  "measurement_date": "2026-08-20",</w:t>
              <w:br/>
              <w:t xml:space="preserve">  "measurement_type_concept_id": 44818702,</w:t>
              <w:br/>
              <w:t xml:space="preserve">  "value_as_concept_id": 4181412,</w:t>
              <w:br/>
              <w:t xml:space="preserve">  "value_source_value": "rs80357711:BRCA1",</w:t>
              <w:br/>
              <w:t xml:space="preserve">  "unit_concept_id": 8510</w:t>
              <w:br/>
              <w:t>}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6. Zero-Exposure Federated Cohort Discovery Protocol</w:t>
      </w:r>
    </w:p>
    <w:p>
      <w:pPr>
        <w:pStyle w:val="ListNumber"/>
        <w:spacing w:before="20" w:after="40"/>
      </w:pPr>
      <w:r>
        <w:t>Researcher transmits criterion $\mathcal{Q} = (\text{gene}, \text{variant\_class}, \text{min\_dosage})$.</w:t>
      </w:r>
    </w:p>
    <w:p>
      <w:pPr>
        <w:pStyle w:val="ListNumber"/>
        <w:spacing w:before="20" w:after="40"/>
      </w:pPr>
      <w:r>
        <w:t>Node $k$ evaluates matching patients $M_k = \sum_{i=1}^{n_k} \mathbb{I}(x_i \text{ satisfies } \mathcal{Q})$.</w:t>
      </w:r>
    </w:p>
    <w:p>
      <w:pPr>
        <w:pStyle w:val="ListNumber"/>
        <w:spacing w:before="20" w:after="40"/>
      </w:pPr>
      <w:r/>
      <w:r>
        <w:rPr>
          <w:b/>
        </w:rPr>
        <w:t>Small-Cell Suppression ($k$-Anonymity)</w:t>
      </w:r>
      <w:r>
        <w:t>:</w:t>
      </w:r>
    </w:p>
    <w:p>
      <w:pPr>
        <w:spacing w:before="40" w:after="80" w:line="276" w:lineRule="auto"/>
      </w:pPr>
      <w:r>
        <w:t xml:space="preserve">   $$\widehat{M}_k = \begin{cases} 0 &amp; \text{if } 0 &lt; M_k &lt; 5 \\ M_k &amp; \text{otherwise} \end{cases}$$</w:t>
      </w:r>
    </w:p>
    <w:p>
      <w:pPr>
        <w:pStyle w:val="ListNumber"/>
        <w:spacing w:before="20" w:after="40"/>
      </w:pPr>
      <w:r>
        <w:t>Aggregator calculates statistical power estimate $1 - \beta$ based on total count $\sum \widehat{M}_k$:</w:t>
      </w:r>
    </w:p>
    <w:p>
      <w:pPr>
        <w:spacing w:before="40" w:after="80" w:line="276" w:lineRule="auto"/>
      </w:pPr>
      <w:r>
        <w:t xml:space="preserve">   $$\text{Power} = \min\left(0.99, \Phi\left(\sqrt{\sum \widehat{M}_k \cdot \text{eff}} - 1.96\right)\right)$$</w:t>
      </w:r>
    </w:p>
    <w:p>
      <w:pPr>
        <w:pStyle w:val="ListNumber"/>
        <w:spacing w:before="20" w:after="40"/>
      </w:pPr>
      <w:r>
        <w:t>Only total counts and power estimates are returned. Zero row-level IDs cross the network.</w:t>
      </w:r>
    </w:p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7. REST API Endpoint Catalog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Authorization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Rate Limit</w:t>
            </w:r>
          </w:p>
        </w:tc>
        <w:tc>
          <w:tcPr>
            <w:tcW w:type="dxa" w:w="1872"/>
            <w:shd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`/auth/login`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None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10 / 10s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Authenticate email/password, returns signed JWT (`exp=60m`).</w:t>
            </w:r>
          </w:p>
        </w:tc>
      </w:tr>
      <w:tr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`/api/fl/status`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Bearer JWT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30 / 10s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Current round index, node counts, dataset metadata, and privacy budget.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`/api/fl/run-round`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Bearer JWT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10 / 10s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Executes 1 FedAvg round across nodes with specified $\epsilon_{\text{step}}$ and `domain`.</w:t>
            </w:r>
          </w:p>
        </w:tc>
      </w:tr>
      <w:tr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`/api/fl/history`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Bearer JWT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30 / 10s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Historical convergence trajectory with per-ancestry metric breakdown.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`/api/fl/predict`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Bearer JWT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30 / 10s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Computes separate monogenic findings and polygenic population percentile.</w:t>
            </w:r>
          </w:p>
        </w:tc>
      </w:tr>
      <w:tr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`/api/fl/model-inspect`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Researcher Role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10 / 10s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Returns model parameter tensors and statistical distributions.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`GET`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`/api/genomics/real-variants`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None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30 / 10s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Returns 38 cataloged variants in FHIR R4 and OMOP CDM v5.4 format.</w:t>
            </w:r>
          </w:p>
        </w:tc>
      </w:tr>
      <w:tr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`POST`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`/api/discovery/cohort-count`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Bearer JWT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10 / 10s</w:t>
            </w:r>
          </w:p>
        </w:tc>
        <w:tc>
          <w:tcPr>
            <w:tcW w:type="dxa" w:w="1872"/>
            <w:shd w:fill="F7FAFC"/>
          </w:tcPr>
          <w:p>
            <w:pPr>
              <w:spacing w:before="60" w:after="60"/>
            </w:pPr>
            <w:r>
              <w:rPr>
                <w:sz w:val="19"/>
              </w:rPr>
              <w:t>Executes zero-exposure federated count query with $k \ge 5$ suppression.</w:t>
            </w:r>
          </w:p>
        </w:tc>
      </w:tr>
    </w:tbl>
    <w:p/>
    <w:p>
      <w:pPr>
        <w:spacing w:before="120" w:after="120"/>
      </w:pPr>
      <w:r>
        <w:rPr>
          <w:color w:val="E2E8F0"/>
        </w:rPr>
        <w:t>_______________________________________________________________________________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B6CB0"/>
          <w:sz w:val="32"/>
        </w:rPr>
        <w:t>8. Verification &amp; Test Suite Summary</w:t>
      </w:r>
    </w:p>
    <w:p>
      <w:pPr>
        <w:spacing w:before="40" w:after="80" w:line="276" w:lineRule="auto"/>
      </w:pPr>
      <w:r>
        <w:t xml:space="preserve">All 15 automated verification tests pass cleanly under </w:t>
      </w:r>
      <w:r>
        <w:rPr>
          <w:rFonts w:ascii="Consolas" w:hAnsi="Consolas"/>
          <w:color w:val="805AD5"/>
          <w:sz w:val="19"/>
        </w:rPr>
        <w:t>pytest</w:t>
      </w:r>
      <w:r>
        <w:t>:</w:t>
      </w:r>
    </w:p>
    <w:p>
      <w:pPr>
        <w:pStyle w:val="ListNumber"/>
        <w:spacing w:before="20" w:after="40"/>
      </w:pPr>
      <w:r/>
      <w:r>
        <w:rPr>
          <w:rFonts w:ascii="Consolas" w:hAnsi="Consolas"/>
          <w:color w:val="805AD5"/>
          <w:sz w:val="19"/>
        </w:rPr>
        <w:t>test_task1.py</w:t>
      </w:r>
      <w:r>
        <w:t>: Deterministic seed execution, adversarial label sensitivity, gradient convergence dynamics, and explicit dataset type verification.</w:t>
      </w:r>
    </w:p>
    <w:p>
      <w:pPr>
        <w:pStyle w:val="ListNumber"/>
        <w:spacing w:before="20" w:after="40"/>
      </w:pPr>
      <w:r/>
      <w:r>
        <w:rPr>
          <w:rFonts w:ascii="Consolas" w:hAnsi="Consolas"/>
          <w:color w:val="805AD5"/>
          <w:sz w:val="19"/>
        </w:rPr>
        <w:t>test_task2.py</w:t>
      </w:r>
      <w:r>
        <w:t>: JWT authentication, 401 unauth rejection, 403 role gate for model inspection, CORS lockdown, token expiration.</w:t>
      </w:r>
    </w:p>
    <w:p>
      <w:pPr>
        <w:pStyle w:val="ListNumber"/>
        <w:spacing w:before="20" w:after="40"/>
      </w:pPr>
      <w:r/>
      <w:r>
        <w:rPr>
          <w:rFonts w:ascii="Consolas" w:hAnsi="Consolas"/>
          <w:color w:val="805AD5"/>
          <w:sz w:val="19"/>
        </w:rPr>
        <w:t>test_task6.py</w:t>
      </w:r>
      <w:r>
        <w:t xml:space="preserve">: FHIR R4 </w:t>
      </w:r>
      <w:r>
        <w:rPr>
          <w:rFonts w:ascii="Consolas" w:hAnsi="Consolas"/>
          <w:color w:val="805AD5"/>
          <w:sz w:val="19"/>
        </w:rPr>
        <w:t>MolecularSequence</w:t>
      </w:r>
      <w:r>
        <w:t xml:space="preserve"> and OMOP CDM v5.4 Pydantic schema validation across 38 genomic loci.</w:t>
      </w:r>
    </w:p>
    <w:p>
      <w:pPr>
        <w:pStyle w:val="ListNumber"/>
        <w:spacing w:before="20" w:after="40"/>
      </w:pPr>
      <w:r/>
      <w:r>
        <w:rPr>
          <w:rFonts w:ascii="Consolas" w:hAnsi="Consolas"/>
          <w:color w:val="805AD5"/>
          <w:sz w:val="19"/>
        </w:rPr>
        <w:t>test_task11.py</w:t>
      </w:r>
      <w:r>
        <w:t>: Zero-exposure cohort count discovery with $k \ge 5$ small-cell privacy suppression.</w:t>
      </w:r>
    </w:p>
    <w:p>
      <w:pPr>
        <w:pStyle w:val="ListNumber"/>
        <w:spacing w:before="20" w:after="40"/>
      </w:pPr>
      <w:r/>
      <w:r>
        <w:rPr>
          <w:rFonts w:ascii="Consolas" w:hAnsi="Consolas"/>
          <w:color w:val="805AD5"/>
          <w:sz w:val="19"/>
        </w:rPr>
        <w:t>test_task12.py</w:t>
      </w:r>
      <w:r>
        <w:t>: Second OMOP clinical domain (</w:t>
      </w:r>
      <w:r>
        <w:rPr>
          <w:rFonts w:ascii="Consolas" w:hAnsi="Consolas"/>
          <w:color w:val="805AD5"/>
          <w:sz w:val="19"/>
        </w:rPr>
        <w:t>CONDITION_OCCURRENCE</w:t>
      </w:r>
      <w:r>
        <w:t xml:space="preserve"> + </w:t>
      </w:r>
      <w:r>
        <w:rPr>
          <w:rFonts w:ascii="Consolas" w:hAnsi="Consolas"/>
          <w:color w:val="805AD5"/>
          <w:sz w:val="19"/>
        </w:rPr>
        <w:t>DRUG_EXPOSURE</w:t>
      </w:r>
      <w:r>
        <w:t>) end-to-end FL execution.</w:t>
      </w:r>
    </w:p>
    <w:p>
      <w:pPr>
        <w:pStyle w:val="ListNumber"/>
        <w:spacing w:before="20" w:after="40"/>
      </w:pPr>
      <w:r/>
      <w:r>
        <w:rPr>
          <w:rFonts w:ascii="Consolas" w:hAnsi="Consolas"/>
          <w:color w:val="805AD5"/>
          <w:sz w:val="19"/>
        </w:rPr>
        <w:t>test_task13.py</w:t>
      </w:r>
      <w:r>
        <w:t>: Separation of monogenic pathogenicity findings from polygenic risk percentile scoring.</w:t>
      </w:r>
    </w:p>
    <w:p>
      <w:pPr>
        <w:pStyle w:val="ListNumber"/>
        <w:spacing w:before="20" w:after="40"/>
      </w:pPr>
      <w:r/>
      <w:r>
        <w:rPr>
          <w:rFonts w:ascii="Consolas" w:hAnsi="Consolas"/>
          <w:color w:val="805AD5"/>
          <w:sz w:val="19"/>
        </w:rPr>
        <w:t>test_task14_15.py</w:t>
      </w:r>
      <w:r>
        <w:t>: Dataset license verification, class-imbalance weighted BCE loss, and multi-ancestry (</w:t>
      </w:r>
      <w:r>
        <w:rPr>
          <w:rFonts w:ascii="Consolas" w:hAnsi="Consolas"/>
          <w:color w:val="805AD5"/>
          <w:sz w:val="19"/>
        </w:rPr>
        <w:t>EUR</w:t>
      </w:r>
      <w:r>
        <w:t xml:space="preserve">, </w:t>
      </w:r>
      <w:r>
        <w:rPr>
          <w:rFonts w:ascii="Consolas" w:hAnsi="Consolas"/>
          <w:color w:val="805AD5"/>
          <w:sz w:val="19"/>
        </w:rPr>
        <w:t>SAS</w:t>
      </w:r>
      <w:r>
        <w:t xml:space="preserve">, </w:t>
      </w:r>
      <w:r>
        <w:rPr>
          <w:rFonts w:ascii="Consolas" w:hAnsi="Consolas"/>
          <w:color w:val="805AD5"/>
          <w:sz w:val="19"/>
        </w:rPr>
        <w:t>AFR</w:t>
      </w:r>
      <w:r>
        <w:t>) evaluation breakdown.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