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3DC" w:rsidRDefault="00154899" w:rsidP="007F3C5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t>ДЕПАРТАМЕНТ ОБРАЗОВАНИЯ И НАУКИ ГОРОДА МОСКВЫ</w:t>
      </w: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ГОСУДАРСТВЕННОЕ БЮДЖЕТНОЕ ПРОФЕССИОНАЛЬНОЕ</w:t>
      </w: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ОБРАЗОВАТЕЛЬНОЕ УЧРЕЖДЕНИЕ ГОРОДА МОСКВЫ</w:t>
      </w: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«КОЛЛЕДЖ СОВРЕМЕННЫХ ТЕХНОЛОГИЙ</w:t>
      </w: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имени Героя Советского Союза М.Ф. Панова»</w:t>
      </w:r>
    </w:p>
    <w:p w:rsidR="007A63DC" w:rsidRDefault="007A63DC" w:rsidP="007A63D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A63DC" w:rsidRPr="00A41675" w:rsidRDefault="00154899" w:rsidP="007A63D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41675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</w:t>
      </w:r>
    </w:p>
    <w:p w:rsidR="0020244E" w:rsidRDefault="00154899" w:rsidP="00F94A8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специальность 08.02.01. Строительство и эксплуатация зданий и соор</w:t>
      </w:r>
      <w:r w:rsidR="0020244E">
        <w:rPr>
          <w:rFonts w:ascii="Times New Roman" w:eastAsia="Times New Roman" w:hAnsi="Times New Roman" w:cs="Times New Roman"/>
          <w:sz w:val="28"/>
          <w:szCs w:val="28"/>
          <w:lang w:eastAsia="ru-RU"/>
        </w:rPr>
        <w:t>ужений</w:t>
      </w:r>
    </w:p>
    <w:p w:rsidR="0020244E" w:rsidRPr="0020244E" w:rsidRDefault="0020244E" w:rsidP="002024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244E">
        <w:rPr>
          <w:rFonts w:ascii="Times New Roman" w:eastAsia="Times New Roman" w:hAnsi="Times New Roman" w:cs="Times New Roman"/>
          <w:sz w:val="28"/>
          <w:szCs w:val="28"/>
          <w:lang w:eastAsia="ru-RU"/>
        </w:rPr>
        <w:t>ОП.06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0244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Экономика отрасли</w:t>
      </w:r>
    </w:p>
    <w:p w:rsidR="00DB6B1E" w:rsidRPr="007A63DC" w:rsidRDefault="0020244E" w:rsidP="007A63D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154899"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 проекта: «Пути снижения затрат при выполнении ремонтных работ. Улучшение организации труда, повышение производите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льности</w:t>
      </w:r>
      <w:r w:rsidR="00154899"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154899"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154899"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реподаватель:</w:t>
      </w:r>
      <w:r w:rsidR="00154899" w:rsidRP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753D8D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Корниенко М.В.</w:t>
      </w:r>
    </w:p>
    <w:p w:rsidR="007A63DC" w:rsidRDefault="00154899" w:rsidP="00DB6B1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Сту</w:t>
      </w:r>
      <w:r w:rsidR="0020244E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дент группы СТС-221/24</w:t>
      </w: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Корольков Р.А.</w:t>
      </w:r>
      <w:r w:rsidR="007A63D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154899" w:rsidRPr="00B4140C" w:rsidRDefault="00154899" w:rsidP="007A63D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Москва, 2025</w:t>
      </w:r>
    </w:p>
    <w:p w:rsidR="00154899" w:rsidRPr="00B4140C" w:rsidRDefault="00154899" w:rsidP="00DB6B1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Default="00154899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27D97" w:rsidRDefault="00B27D97" w:rsidP="00397E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53A7D" w:rsidRDefault="00553A7D" w:rsidP="00553A7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53A7D" w:rsidRDefault="00553A7D" w:rsidP="00553A7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Введение</w:t>
      </w:r>
      <w:r w:rsidRPr="00553A7D">
        <w:rPr>
          <w:rFonts w:ascii="Times New Roman" w:hAnsi="Times New Roman" w:cs="Times New Roman"/>
          <w:sz w:val="28"/>
          <w:szCs w:val="28"/>
        </w:rPr>
        <w:br/>
        <w:t>1. Исходные данные для проектирования</w:t>
      </w:r>
      <w:r w:rsidRPr="00553A7D">
        <w:rPr>
          <w:rFonts w:ascii="Times New Roman" w:hAnsi="Times New Roman" w:cs="Times New Roman"/>
          <w:sz w:val="28"/>
          <w:szCs w:val="28"/>
        </w:rPr>
        <w:br/>
        <w:t>1.1. Общая характеристика объекта и экономического контекста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  <w:t>1.2. Детальный анализ нормативно-правовой и сметной базы</w:t>
      </w:r>
      <w:r w:rsidRPr="00553A7D">
        <w:rPr>
          <w:rFonts w:ascii="Times New Roman" w:hAnsi="Times New Roman" w:cs="Times New Roman"/>
          <w:sz w:val="28"/>
          <w:szCs w:val="28"/>
        </w:rPr>
        <w:br/>
        <w:t>1.3. Комплексная диагностика проблем в организации труда и затрат: структурный и причинно-следственный анализ</w:t>
      </w:r>
      <w:r w:rsidRPr="00553A7D">
        <w:rPr>
          <w:rFonts w:ascii="Times New Roman" w:hAnsi="Times New Roman" w:cs="Times New Roman"/>
          <w:sz w:val="28"/>
          <w:szCs w:val="28"/>
        </w:rPr>
        <w:br/>
        <w:t>1.4. Методология проектирования улучшений: выбор подходов и критериев</w:t>
      </w:r>
      <w:r w:rsidRPr="00553A7D">
        <w:rPr>
          <w:rFonts w:ascii="Times New Roman" w:hAnsi="Times New Roman" w:cs="Times New Roman"/>
          <w:sz w:val="28"/>
          <w:szCs w:val="28"/>
        </w:rPr>
        <w:br/>
        <w:t>2. Архитектурные решения (проектирование системы организации ремонтного процесса)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2.1. Теоретические основы эффективной организации производства: от Тейлора и Форда до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Lean-construction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br/>
        <w:t>2.2. Проектирование системы технологических потоков: матрица ответственности и синхронизация работ</w:t>
      </w:r>
      <w:r w:rsidRPr="00553A7D">
        <w:rPr>
          <w:rFonts w:ascii="Times New Roman" w:hAnsi="Times New Roman" w:cs="Times New Roman"/>
          <w:sz w:val="28"/>
          <w:szCs w:val="28"/>
        </w:rPr>
        <w:br/>
        <w:t>2.3. Оптимизация пространственно-логистической архитектуры площадки: принципы и инструменты</w:t>
      </w:r>
      <w:r w:rsidRPr="00553A7D">
        <w:rPr>
          <w:rFonts w:ascii="Times New Roman" w:hAnsi="Times New Roman" w:cs="Times New Roman"/>
          <w:sz w:val="28"/>
          <w:szCs w:val="28"/>
        </w:rPr>
        <w:br/>
        <w:t>2.4. Архитектура системы управления и принятия решений: информационные потоки и центры ответственности</w:t>
      </w:r>
      <w:r w:rsidRPr="00553A7D">
        <w:rPr>
          <w:rFonts w:ascii="Times New Roman" w:hAnsi="Times New Roman" w:cs="Times New Roman"/>
          <w:sz w:val="28"/>
          <w:szCs w:val="28"/>
        </w:rPr>
        <w:br/>
        <w:t>2.5. Интеграция вопросов безопасности и экологии в архитектуру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  <w:t>3. Конструктивные решения (конкретные методы и инструменты оптимизации)</w:t>
      </w:r>
      <w:r w:rsidRPr="00553A7D">
        <w:rPr>
          <w:rFonts w:ascii="Times New Roman" w:hAnsi="Times New Roman" w:cs="Times New Roman"/>
          <w:sz w:val="28"/>
          <w:szCs w:val="28"/>
        </w:rPr>
        <w:br/>
        <w:t>3.1. Технологическая модернизация: классификация, выбор и экономическое обоснование средств механизации</w:t>
      </w:r>
      <w:r w:rsidRPr="00553A7D">
        <w:rPr>
          <w:rFonts w:ascii="Times New Roman" w:hAnsi="Times New Roman" w:cs="Times New Roman"/>
          <w:sz w:val="28"/>
          <w:szCs w:val="28"/>
        </w:rPr>
        <w:br/>
        <w:t>3.2. Разработка и внедрение системы нормирования труда на основе хронометража и фотоучета рабочего дня</w:t>
      </w:r>
      <w:r w:rsidRPr="00553A7D">
        <w:rPr>
          <w:rFonts w:ascii="Times New Roman" w:hAnsi="Times New Roman" w:cs="Times New Roman"/>
          <w:sz w:val="28"/>
          <w:szCs w:val="28"/>
        </w:rPr>
        <w:br/>
        <w:t>3.3. Конструкция мотивационной системы: от KPI до нематериального стимулирования</w:t>
      </w:r>
      <w:r w:rsidRPr="00553A7D">
        <w:rPr>
          <w:rFonts w:ascii="Times New Roman" w:hAnsi="Times New Roman" w:cs="Times New Roman"/>
          <w:sz w:val="28"/>
          <w:szCs w:val="28"/>
        </w:rPr>
        <w:br/>
        <w:t>3.4. Система встроенного контроля качества (ВСК) и профилактики брака: операционный аудит и корректирующие действия</w:t>
      </w:r>
      <w:r w:rsidRPr="00553A7D">
        <w:rPr>
          <w:rFonts w:ascii="Times New Roman" w:hAnsi="Times New Roman" w:cs="Times New Roman"/>
          <w:sz w:val="28"/>
          <w:szCs w:val="28"/>
        </w:rPr>
        <w:br/>
        <w:t>3.5. Управление материально-техническими ресурсами: от выбора поставщика до утилизации отходов</w:t>
      </w:r>
      <w:r w:rsidRPr="00553A7D">
        <w:rPr>
          <w:rFonts w:ascii="Times New Roman" w:hAnsi="Times New Roman" w:cs="Times New Roman"/>
          <w:sz w:val="28"/>
          <w:szCs w:val="28"/>
        </w:rPr>
        <w:br/>
        <w:t>3.6. Развитие компетенций персонала как конструктивный элемент системы</w:t>
      </w:r>
      <w:r w:rsidRPr="00553A7D">
        <w:rPr>
          <w:rFonts w:ascii="Times New Roman" w:hAnsi="Times New Roman" w:cs="Times New Roman"/>
          <w:sz w:val="28"/>
          <w:szCs w:val="28"/>
        </w:rPr>
        <w:br/>
        <w:t>4. Графическая часть: спецификации и ведомости (описание и назначение)</w:t>
      </w:r>
      <w:r w:rsidRPr="00553A7D">
        <w:rPr>
          <w:rFonts w:ascii="Times New Roman" w:hAnsi="Times New Roman" w:cs="Times New Roman"/>
          <w:sz w:val="28"/>
          <w:szCs w:val="28"/>
        </w:rPr>
        <w:br/>
        <w:t>4.1. Система проектной документации как модель будущего объекта и процесса</w:t>
      </w:r>
      <w:r w:rsidRPr="00553A7D">
        <w:rPr>
          <w:rFonts w:ascii="Times New Roman" w:hAnsi="Times New Roman" w:cs="Times New Roman"/>
          <w:sz w:val="28"/>
          <w:szCs w:val="28"/>
        </w:rPr>
        <w:br/>
        <w:t>4.2. Методы календарно-сетевого планирования и их применение для оптимизации сроков и ресурсов</w:t>
      </w:r>
      <w:r w:rsidRPr="00553A7D">
        <w:rPr>
          <w:rFonts w:ascii="Times New Roman" w:hAnsi="Times New Roman" w:cs="Times New Roman"/>
          <w:sz w:val="28"/>
          <w:szCs w:val="28"/>
        </w:rPr>
        <w:br/>
        <w:t>4.3. Графическая визуализация логистики, безопасности и технологических процессов</w:t>
      </w:r>
      <w:r w:rsidRPr="00553A7D">
        <w:rPr>
          <w:rFonts w:ascii="Times New Roman" w:hAnsi="Times New Roman" w:cs="Times New Roman"/>
          <w:sz w:val="28"/>
          <w:szCs w:val="28"/>
        </w:rPr>
        <w:br/>
        <w:t>5. Технико-экономические показатели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  <w:t>5.1. Методология оценки экономической эффективности инвестиций в организационные изменения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5.2. Детальный расчет снижения себестоимости по элементам затрат: прямая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экономия и избежание потерь</w:t>
      </w:r>
      <w:r w:rsidRPr="00553A7D">
        <w:rPr>
          <w:rFonts w:ascii="Times New Roman" w:hAnsi="Times New Roman" w:cs="Times New Roman"/>
          <w:sz w:val="28"/>
          <w:szCs w:val="28"/>
        </w:rPr>
        <w:br/>
        <w:t>5.3. Количественная оценка роста производительности труда: факторный анализ и расчет высвобождения ресурсов</w:t>
      </w:r>
      <w:r w:rsidRPr="00553A7D">
        <w:rPr>
          <w:rFonts w:ascii="Times New Roman" w:hAnsi="Times New Roman" w:cs="Times New Roman"/>
          <w:sz w:val="28"/>
          <w:szCs w:val="28"/>
        </w:rPr>
        <w:br/>
        <w:t>5.4. Оценка сокращения длительности жизненного цикла проекта и его влияния на оборачиваемость капитала</w:t>
      </w:r>
      <w:r w:rsidRPr="00553A7D">
        <w:rPr>
          <w:rFonts w:ascii="Times New Roman" w:hAnsi="Times New Roman" w:cs="Times New Roman"/>
          <w:sz w:val="28"/>
          <w:szCs w:val="28"/>
        </w:rPr>
        <w:br/>
        <w:t>5.5. Прогнозирование комплексного экономического эффекта: прямая экономия, синергетический эффект и стратегические выгоды</w:t>
      </w:r>
      <w:r w:rsidRPr="00553A7D">
        <w:rPr>
          <w:rFonts w:ascii="Times New Roman" w:hAnsi="Times New Roman" w:cs="Times New Roman"/>
          <w:sz w:val="28"/>
          <w:szCs w:val="28"/>
        </w:rPr>
        <w:br/>
        <w:t>5.6. Анализ рисков внедрения предлагаемых мероприятий и пути их минимизации</w:t>
      </w:r>
      <w:r w:rsidRPr="00553A7D">
        <w:rPr>
          <w:rFonts w:ascii="Times New Roman" w:hAnsi="Times New Roman" w:cs="Times New Roman"/>
          <w:sz w:val="28"/>
          <w:szCs w:val="28"/>
        </w:rPr>
        <w:br/>
        <w:t>6. Заключение</w:t>
      </w:r>
      <w:r w:rsidRPr="00553A7D">
        <w:rPr>
          <w:rFonts w:ascii="Times New Roman" w:hAnsi="Times New Roman" w:cs="Times New Roman"/>
          <w:sz w:val="28"/>
          <w:szCs w:val="28"/>
        </w:rPr>
        <w:br/>
        <w:t>7. Список использованных источников</w:t>
      </w:r>
      <w:r w:rsidRPr="00553A7D">
        <w:rPr>
          <w:rFonts w:ascii="Times New Roman" w:hAnsi="Times New Roman" w:cs="Times New Roman"/>
          <w:sz w:val="28"/>
          <w:szCs w:val="28"/>
        </w:rPr>
        <w:br/>
        <w:t>8. Приложения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Современный этап развития экономики Российской Федерации характеризуется усилением конкуренции во всех секторах, включая сферу строительства и капитального ремонта. Государственные и частные заказчики, руководствуясь принципами бюджетной эффективности и стоимостной инженерии, предъявляют все более жесткие требования к соотношению цены, качества и сроков выполнения работ. В этих условиях рентабельность и сама выживаемость предприятий, осуществляющих ремонт зданий и сооружений, напрямую зависят от их способности контролировать и минимизировать собственные издержки, не допуская при этом снижения технических и эксплуатационных характеристик результатов труда. Актуальность темы данного курсового проекта, посвященного поиску путей снижения затрат, является поэтому не просто академической, а сугубо практической и острой.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Специфика ремонтных работ, как объекта управления затратами, заключается в их комплексном характере, высокой доле непредвиденных факторов (так называемые «скрытые дефекты»), работе в условиях действующего объекта (часто с проживающими людьми или функционирующим бизнесом) и необходимости координации множества разнородных технологически</w:t>
      </w:r>
      <w:r>
        <w:rPr>
          <w:rFonts w:ascii="Times New Roman" w:hAnsi="Times New Roman" w:cs="Times New Roman"/>
          <w:sz w:val="28"/>
          <w:szCs w:val="28"/>
        </w:rPr>
        <w:t xml:space="preserve">х процессов. </w:t>
      </w:r>
      <w:r w:rsidRPr="00553A7D">
        <w:rPr>
          <w:rFonts w:ascii="Times New Roman" w:hAnsi="Times New Roman" w:cs="Times New Roman"/>
          <w:sz w:val="28"/>
          <w:szCs w:val="28"/>
        </w:rPr>
        <w:t xml:space="preserve">Традиционные методы управления, основанные на опыте и линейном администрировании, зачастую оказываются неэффективными, порождая целый спектр проблем: хронические срывы сроков, перерасход материалов, низкую производительность труда рабочих, конфликты между смежными бригадами и, как следствие, финансовые потери и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репутационные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риски для подрядной организации. Таким образом, назрела объективная необходимость в системном, научно обоснованном подходе к реорганизации всего цикла ремонтного производства.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Цель проекта заключается в разработке целостной, практически применимой концепции снижения затрат на выполнение комплекса ремонтных работ. Данная цель достигается не за счет снижения заработной платы или использования материалов сомнительного качества, а через фундаментальное улучшение организации труда на всех уровнях — от стратегического планирования ресурсов предприятия до рационализации отдельных операций на рабочем месте. Повышение производительности труда рассматривается как ключевой рычаг и одновременно главный результат этой реорганизации.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Для достижения цели в работе последовательно решается ряд взаимосвязанных задач. Первая задача — проведение всестороннего анализа исходных данных: изучение объекта, нормативной базы и, что наиболее важно, выявление системных причин высоких издержек. Вторая задача — проектирование новой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«архитектуры» ремонтного процесса, то есть создание логически выверенной модели, определяющей взаимодействие всех элементов системы. Третья задача — разработка «конструктивных» решений, то есть конкретных инструментов, методов и процедур, наполняющих эту модель жизнью. Четвертая задача — формализация этих решений в системе проектной документации (графическая часть). И, наконец, пятая задача — количественная оценка ожидаемой эффективности предлагаемых мер через расчет комплекса технико-экономических показателей.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Объектом исследования является производственно-хозяйственная деятельность предприятия, специализирующегося на капитальном ремонте многоквартирных жилых домов. Предмет исследования — экономические отношения, организационные структуры и управленческие технологии, определяющие уровень затрат и производительности труда в процессе выполнения ремонтных работ.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Методологическую основу проекта составляют общенаучные методы диалектики, анализа и синтеза, индукции и дедукции, логического моделирования. Широко применяются специальные методы: сравнительный технико-экономический анализ, методы сетевого планирования и управления (PERT, CPM), нормативный метод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калькулирования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методы факторного анализа, экспертных оценок и имитационного моделирования. Работа опирается на принципы системного и процессного подходов к управлению.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Практическая значимость работы определяется ее полной ориентацией на решение реальных производственных проблем. Разработанный комплекс мероприятий носит модульный характер и может быть адаптирован к условиям конкретной ремонтно-строительной организации любого масштаба. Его внедрение позволит получить измеримый экономический эффект, повысить конкурентоспособность и управляемость компании, а также улучшить социально-психологический климат в коллективе. Работа соответствует требованиям Федерального государственного образовательного стандарта по специальности 08.02.01 «Строительство и эксплуатация зданий и сооружений» и может быть использована в учебном процессе.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1. Исходные данные для проектирования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1.1. Общая характеристика объекта и экономического контекста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Базовым для моделирования выбран типовой объект капитального ремонта — многоквартирный жилой дом серии II-49, построенный в 1978 году. Общая площадь дома составляет 14 200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кв.м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., этажность — 9 этажей, количество подъездов — 5, квартир — 180. Объект расположен в плотной городской застройке с ограниченным пространством для размещения строительной инфраструктуры. Перечень работ по государственному контракту включает: 1) Усиление и ремонт фундаментов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инъектирование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трещин); 2) Полная замена фасадной системы с переходом на вентилируемый фасад с утеплителем; 3) Замена кровельного покрытия на современное мембранное; 4) Реконструкция инженерных систем (замена стояков ХВС, ГВС, отопления, разводки электроснабжения на этажах, частичная замена канализационных лежаков); 5) Комплексный ремонт подъездов с установкой новых лифтов; 6) Благоустройство прилегающей территории. Сметная стоимость контракта — 120 млн рублей. Плановый срок выполнения — 12 месяцев. Среднесписочная численность персонала на объекте — 55 человек, включая рабочих 12 основных специальностей, ИТР, обслуживающий персонал. Экономический контекст характеризуется высокой волатильностью цен на металлопрокат и полимерные материалы, дефицитом квалифицированных рабочих кадров в сегменте сантехников и электромонтажников, а также ужесточением требований со стороны контролирующих органов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Ростехнадзор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Госжилинспекция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1.2. Детальный анализ нормативно-правовой и сметной базы</w:t>
      </w:r>
      <w:r w:rsidRPr="00553A7D">
        <w:rPr>
          <w:rFonts w:ascii="Times New Roman" w:hAnsi="Times New Roman" w:cs="Times New Roman"/>
          <w:sz w:val="28"/>
          <w:szCs w:val="28"/>
        </w:rPr>
        <w:br/>
        <w:t>Проектирование ведется в строгом соответствии с иерархией нормативных документов. Исходными являются федеральные законы: № 44-ФЗ (контрактная система), № 116-ФЗ (промышленная безопасность), Градостроительный и Жилищный кодексы. Техническое регулирование обеспечивают своды правил (СП): СП 48.13330 (организация строительства), СП 70.13330 (несущие и ограждающие конструкции), СП 73.13330 (внутренние санитарно-технические системы). Ключевым документом для экономических расчетов является МДС 81-35.2004 с действующими федеральными единичными расценками (ФЕР). Локальная смета, составленная по ресурсному методу, была подвергнута структурному анализу. Установлено, что доля материальных ресурсов составляет 58%, фонд оплаты труда основных рабочих — 18%, расходы на эксплуатацию машин и механизмов — 11%, накладные расходы — 10%, сметная прибыль — 3%. Особое внимание уделено статьям, имеющим наибольший потенциал для оптимизации: «Транспортные расходы», «Временные здания и сооружения», «Непредвиденные работы и затраты».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1.3. Комплексная диагностика проблем в организации труда и затрат: структурный и причинно-следственный анализ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На основе анализа отчетов, актов выполненных работ и результатов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фотохронометража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на аналогичных завершенных объектах была составлена детальная карта проблем. Применялся метод «5 почему» для выявления коренных причин.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1. Проблема: Высокий процент простоев рабочих (до 30% рабочего времени). Причины: Ожидание материалов (несвоевременная поставка), ожидание указаний от мастера (нечеткое задание), ожидание завершения работ предыдущей бригадой (отсутствие графика стыковки).</w:t>
      </w:r>
      <w:r w:rsidRPr="00553A7D">
        <w:rPr>
          <w:rFonts w:ascii="Times New Roman" w:hAnsi="Times New Roman" w:cs="Times New Roman"/>
          <w:sz w:val="28"/>
          <w:szCs w:val="28"/>
        </w:rPr>
        <w:br/>
        <w:t>2. Проблема: Перерасход материалов (цемент, трубы, кабель) на 10-15% сверх норм. Причины: Отсутствие системы учета и контроля выдачи на объекте, повреждения при неквалифицированной транспортировке и складировании, технологические ошибки, ведущие к браку.</w:t>
      </w:r>
      <w:r w:rsidRPr="00553A7D">
        <w:rPr>
          <w:rFonts w:ascii="Times New Roman" w:hAnsi="Times New Roman" w:cs="Times New Roman"/>
          <w:sz w:val="28"/>
          <w:szCs w:val="28"/>
        </w:rPr>
        <w:br/>
        <w:t>3. Проблема: Низкая производительность труда (нормы выработки не выполняются). Причины: Использование устаревшего ручного инструмента, неэффективная организация рабочего места, утомляемость из-за выполнения вспомогательных операций (переноска, очистка), отсутствие материальной заинтересованности в результатах.</w:t>
      </w:r>
      <w:r w:rsidRPr="00553A7D">
        <w:rPr>
          <w:rFonts w:ascii="Times New Roman" w:hAnsi="Times New Roman" w:cs="Times New Roman"/>
          <w:sz w:val="28"/>
          <w:szCs w:val="28"/>
        </w:rPr>
        <w:br/>
        <w:t>4. Проблема: Частые переделки и рекламации по качеству. Причины: Контроль качества только на выходе, а не в процессе; недостаточная квалификация части рабочих; спешка для выполнения плана по срокам.</w:t>
      </w:r>
      <w:r w:rsidRPr="00553A7D">
        <w:rPr>
          <w:rFonts w:ascii="Times New Roman" w:hAnsi="Times New Roman" w:cs="Times New Roman"/>
          <w:sz w:val="28"/>
          <w:szCs w:val="28"/>
        </w:rPr>
        <w:br/>
        <w:t>5. Проблема: Превышение сроков на 20-25%. Причины: Нереалистичное изначальное планирование, накопление задержек из-за проблем 1-4, отсутствие оперативного механизма реагирования на отклонения.</w:t>
      </w:r>
      <w:r w:rsidRPr="00553A7D">
        <w:rPr>
          <w:rFonts w:ascii="Times New Roman" w:hAnsi="Times New Roman" w:cs="Times New Roman"/>
          <w:sz w:val="28"/>
          <w:szCs w:val="28"/>
        </w:rPr>
        <w:br/>
        <w:t>Выявленные причины носят системный характер и требуют не локальных «заплаток», а перестройки всей системы управления.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1.4. Методология проектирования улучшений: выбор п</w:t>
      </w:r>
      <w:r>
        <w:rPr>
          <w:rFonts w:ascii="Times New Roman" w:hAnsi="Times New Roman" w:cs="Times New Roman"/>
          <w:sz w:val="28"/>
          <w:szCs w:val="28"/>
        </w:rPr>
        <w:t xml:space="preserve">одходов и критериев  </w:t>
      </w:r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53A7D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553A7D">
        <w:rPr>
          <w:rFonts w:ascii="Times New Roman" w:hAnsi="Times New Roman" w:cs="Times New Roman"/>
          <w:sz w:val="28"/>
          <w:szCs w:val="28"/>
        </w:rPr>
        <w:t xml:space="preserve"> качестве основной методологической базы для проектирования выбран синтез трех современных подходов: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Construction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(«Бережливое строительство»), направленного на устранение всех видов потерь; Теории ограничений (ТОС)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Голдратта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фокусирующейся на выявлении и управлении «узким местом» системы; и Процессно-ориентированного управления. Критериями эффективности разрабатываемых решений установлены: 1) Измеримость результата (возможность количественной оценки); 2) Практическая реализуемость в условиях типичной российской подрядной организации; 3) Соответствие требованиям законодательства; 4) Положительное влияние на безопасность труда; 5) Обеспечение синергетического эффекта (усиление результата от совместного применения мероприятий). Проектирование будет вестись по принципу «сверху вниз»: от общей архитектуры процессов к конкретным инструментам их реализации.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2. Архитектурные решения (проектирование системы организации ремонтного процесса)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2.1. Теоретические основы эффективной организации производства: от Тейлора и Форда до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Lean-construction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br/>
        <w:t xml:space="preserve">Современная архитектура производства не возникает на пустом месте. В ее основе лежит эволюция управленческой мысли. От системы научного менеджмента Ф. Тейлора мы берем принцип разделения труда, нормирования операций и дифференцированной оплаты. От конвейерной системы Г. Форда — идею непрерывности и ритмичности производственного потока. Однако применительно к уникальным, проектам, каким является ремонт, эти жесткие модели требуют адаптации. Методология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Construction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возникшая как адаптация японской философии «бережливого производства»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Toyota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) к строительной отрасли, предлагает наиболее адекватный инструментарий. Ее ключевые принципы, закладываемые в архитектуру проекта: 1) Ценность — определяется конечным заказчиком (жильцом) и заключается в качественном, своевременном и минимально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disruptive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ремонте. Все, что не добавляет ценности, есть потери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Muda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). 2) Поток создания ценности — необходимо выстроить непрерывный, плавный поток прохождения объекта ремонта через все этапы,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минимизируя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ожидания и складирование незавершенного производства. 3) Вытягивание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— работы и материалы должны «вытягиваться» потребностью следующего этапа, а не «проталкиваться» предыдущим. 4) Совершенствование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Kaizen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— архитектура должна предусматривать возможность постоянных небольших улучшений силами всех сотрудников. Эти принципы становятся философским фундаментом всех последующих решений.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2.2. Проектирование системы технологических потоков: матрица ответственности и синхронизация работ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На основе принципов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проектируется система взаимосвязанных технологических потоков. Вместо бригад, закрепленных за подъездом, создаются специализированные мобильные потоки-команды: «Нулевой цикл и фундаменты», «Фасадный», «Кровельный», «Сантехнический», «Электромонтажный», «Отделочный», «Пуско-наладочный». Каждый поток обладает собственным набором ресурсов (инструмент, оснастка, транспорт) и закрепленным персоналом. Объект делится на вертикальные технологические секции (например, по два стояка коммуникаций). Работы ведутся по принципу такта: устанавливается стандартное время (например, 5 рабочих дней), за которое поток должен полностью выполнить свой комплекс работ на одной секции. График имеет вид лестницы: когда «Сантехнический» поток переходит с секции 1 на секцию 2, на секцию 1 заступает «Электромонтажный». Для координации создается матрица ответственности (RACI-матрица), где для каждого процесса на каждой секции четко прописано: кто Ответственный (R), кто Исполнитель (A), с кем </w:t>
      </w:r>
      <w:proofErr w:type="gramStart"/>
      <w:r w:rsidRPr="00553A7D">
        <w:rPr>
          <w:rFonts w:ascii="Times New Roman" w:hAnsi="Times New Roman" w:cs="Times New Roman"/>
          <w:sz w:val="28"/>
          <w:szCs w:val="28"/>
        </w:rPr>
        <w:t>Согласует</w:t>
      </w:r>
      <w:proofErr w:type="gramEnd"/>
      <w:r w:rsidRPr="00553A7D">
        <w:rPr>
          <w:rFonts w:ascii="Times New Roman" w:hAnsi="Times New Roman" w:cs="Times New Roman"/>
          <w:sz w:val="28"/>
          <w:szCs w:val="28"/>
        </w:rPr>
        <w:t xml:space="preserve"> (C), кого Информирует (I). Ежедневные 15-минутные «летучки»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planning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на месте производства позволяют синхронизировать действия потоков на предстоящий день, решать мелкие проблемы и корректировать план.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2.3. Оптимизация пространственно-логистической архитектуры площадки: принципы и инструменты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Площадка проектируется как единый логистический организм. Используется метод 4D-моделирования (3D-модель + время), чтобы смоделировать размещение объектов и движение техники на разных этапах ремонта. &gt; Рома: Основные принципы: Зонирование — четкое разделение на зону приема/отгрузки, зону предварительной сборки (например, укрупненная сборка узлов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сантехкабин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), зону хранения основных материалов (закрытый ангар), зону хранения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расходников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на этажах (мобильные стеллажи), бытовую зону, зону утилизации отходов. Принцип прямого потока — пути движения людей, материалов и мусора не пересекаются. Для этого проектируются раздельные лестничные маршруты или временные лифты. Принцип компактности — все временные сооружения (бытовки, прорабская) размещаются в стандартных модульных блоках, которые можно переставлять по мере продвижения работ. Особое внимание уделяется проектированию площадок консолидации грузов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milk-run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), когда мелкие партии материалов от разных поставщиков свозятся на внешний склад-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консолидатор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а оттуда одним оптимально загруженным транспортом доставляются на объект по строгому графику. Это снижает количество машин и время на разгрузку.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2.4. Архитектура системы управления и принятия решений: информационные потоки и центры ответственности</w:t>
      </w:r>
      <w:r w:rsidRPr="00553A7D">
        <w:rPr>
          <w:rFonts w:ascii="Times New Roman" w:hAnsi="Times New Roman" w:cs="Times New Roman"/>
          <w:sz w:val="28"/>
          <w:szCs w:val="28"/>
        </w:rPr>
        <w:br/>
        <w:t>Традиционная линейная иерархия (директор — начальник участка — прораб — мастер — бригадир) дополняется проектным управлением. Создается офис проекта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Project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PMO), который является центральным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хабом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информации. В его состав входят: менеджер проекта (отвечает за контракт, сроки, бюджет), плановик-диспетчер (ведет график, логистику), инженер по качеству и безопасности, специалист по работе с субподрядчиками. Информационная архитектура строится на цифровой платформе (например,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Яндекс.Трекер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Basecamp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специализированные BIM-платформы). Каждый поток ежедневно через мобильное приложение вносит: процент выполнения задания, фотоотчет, выявленные проблемы, расход материалов. Система автоматически строит графики освоения бюджета (S-кривые), формирует оповещения о рисках. Ключевое решение — делегирование права принятия оперативных решений на максимально низкий уровень. Мастер потока имеет полномочия и бюджет на устранение мелких несоответствий (до 10 тыс. руб.) без длительных согласований. Это ускоряет реакцию и повышает ответственность линейного руководителя.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2.5. Интеграция вопросов безопасности и экологии в архитектуру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  <w:t>Безопасность и экология не являются отдельными разделами, а «вшиваются» в архитектуру каждого процесса. На этапе планирования для каждой операции проводится оценка профессиональных рисков (ОПР), определяются необходимые средства индивидуальной и коллективной защиты (СИЗ и СКЗ). В график включается время на проведение целевых инструктажей и ежедневных «пятиминуток безопасности». Проектируется система визуального управления безопасностью: цветная маркировка зон (красная — опасная, желтая — предупреждение, зеленая — безопасная), плакаты, световая и звуковая сигнализация на технике. Экологический аспект включает проектирование замкнутого цикла обращения с отходами: раздельный сбор (металл, пластик, древесина, строительный мусор), наличие контейнеров для опасных отходов (лампы, батарейки), заключение договоров с лицензированными полигонами. Архитектура предусматривает меры по снижению шума и пыли (использование экранов, пылеуловителей, работа в регламентированное время), что минимизирует жалобы жителей и штрафы.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605A55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3. Конструктивные решения (конкретные методы и инструменты оптимизации)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3.1. Технологическая модернизация: классификация, выбор и экономическое обоснование средств механизации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Все операции анализируются с точки зрения возможности механизации. Составляется матрица «Затраты труда/Потенциал механизации». Высокоприоритетными для инвестиций признаются: 1) Работы по приготовлению и транспортировке растворов: внедряются передвижные растворные узлы с насосом для подачи штукатурки и стяжки. Экономия: сокращение числа подсобных рабочих на 3 человека, увеличение выработки маляра в 2-2.5 раза, снижение потерь материала. 2) Обработка поверхностей: закупка партии аккумуляторных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шлифмашин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для обработки стен, з</w:t>
      </w:r>
      <w:r>
        <w:rPr>
          <w:rFonts w:ascii="Times New Roman" w:hAnsi="Times New Roman" w:cs="Times New Roman"/>
          <w:sz w:val="28"/>
          <w:szCs w:val="28"/>
        </w:rPr>
        <w:t xml:space="preserve">аменяющих ручные терки. </w:t>
      </w:r>
      <w:r w:rsidRPr="00553A7D">
        <w:rPr>
          <w:rFonts w:ascii="Times New Roman" w:hAnsi="Times New Roman" w:cs="Times New Roman"/>
          <w:sz w:val="28"/>
          <w:szCs w:val="28"/>
        </w:rPr>
        <w:t xml:space="preserve">3) Демонтажные работы: использование электрических и гидравлических ножниц для резки металла, малогабаритных бурильных установок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Hilti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TE 70 для алмазного бурения. 4) Погрузо-разгрузочные работы: аренда мини-погрузчиков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Bobcat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с набором навесного оборудования. Экономическое обоснование проводится по формуле расчета срока окупаемости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Payback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Period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и чистой приведенной стоимости (NPV). Например, инвестиция в штукатурную станцию (1,5 млн руб.) окупается за 8 месяцев за счет экономии на оплате труда и материалах на одном объекте.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3.2. Разработка и внедрение системы нормирования труда на основе хронометража и фотоучета рабочего дня</w:t>
      </w:r>
      <w:r w:rsidRPr="00553A7D">
        <w:rPr>
          <w:rFonts w:ascii="Times New Roman" w:hAnsi="Times New Roman" w:cs="Times New Roman"/>
          <w:sz w:val="28"/>
          <w:szCs w:val="28"/>
        </w:rPr>
        <w:br/>
        <w:t>Существующие типовые нормы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ЕНиР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часто устарели и не учитывают применение современного инструмента. Внедряется процедура внутреннего нормирования. Для этого методом фотоучета рабочего дня и хронометража на наиболее типичных операциях (укладка плитки, монтаж трубы, разводка кабеля) собираются данные о фактических затратах времени. С участием передовых рабочих («рабочих-наставников») анализируются потери времени и разрабатываются оптимизированные технологические карты. На их основе устанавливаются внутренние нормы времени и выработки, которые на 15-20% выше государственных благодаря устранению выявленных потерь и лучшей организации. Эти нормы становятся базой для расчета нормированных заданий на смену и для сдельной части оплаты труда. Процедура нормирования носит циклический характер и пересматривается при внедрении нового инструмента или технологии.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3.3. Конструкция мотивационной системы: от KPI до нематериального стимулирования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Система оплаты труда трансформируется в систему управления эффективностью. Для каждого потока и ключевых специалистов определяются 3-5 ключевых показателей эффективности (KPI), увязанных с целями проекта.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Например, для потока отделочников: 1) Выполнение нормированного задания (%); 2) Соблюдение графика на захватке (дни опережения/задержки); 3) Качество (количество замечаний при сдаче); 4) Экономия материалов (% от нормы). Переменная часть зарплаты (премия, которая может достигать 50% от оклада) рассчитывается по формуле, учитывающей вес и достижение каждого KPI. Для борьбы с «синдромом сдельщины» (погоня за объемом в ущерб качеству) вводится правило: премия за объем выплачивается только при сдаче работы без существенных замечаний. Нематериальное стимулирование включает: звание «Лучший по профессии» с вручением нагрудного знака и размещением фото на доске почета, возможность пройти курсы повышения квалификации за счет компании, публичную благодарность на общих собраниях. Важным элементом является программа участия в предложениях по улучшению (ППУ), когда рабочий, предложивший идею, дающую экономический эффект, получает процент от сэкономленной суммы в течение года.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3.4. Система встроенного контроля качества (ВСК) и профилактики брака: операционный аудит и корректирующие действия</w:t>
      </w:r>
      <w:r w:rsidRPr="00553A7D">
        <w:rPr>
          <w:rFonts w:ascii="Times New Roman" w:hAnsi="Times New Roman" w:cs="Times New Roman"/>
          <w:sz w:val="28"/>
          <w:szCs w:val="28"/>
        </w:rPr>
        <w:br/>
        <w:t>Качество проектируется, а не контролируется. Внедряется система трехступенчатого контроля: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1. Самоконтроль исполнителя. Рабочий после выполнения операции сверяет результат с образцом (эталоном) или чек-листом. Используются простые шаблоны, калибры, лазерные уровни.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2. Операционный контроль мастера потока. Мастер проверяет ключевые параметры до перекрытия или начала следующей операции. Например, проверка герметичности сварных швов системы отопления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опрессовкой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до зашивки в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штробу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. Результат фиксируется в мобильном приложении с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геотегом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и фотографией.</w:t>
      </w:r>
      <w:r w:rsidRPr="00553A7D">
        <w:rPr>
          <w:rFonts w:ascii="Times New Roman" w:hAnsi="Times New Roman" w:cs="Times New Roman"/>
          <w:sz w:val="28"/>
          <w:szCs w:val="28"/>
        </w:rPr>
        <w:br/>
        <w:t>3. Выборочный аудит инженером по качеству. Независимый специалист проводит выборочные проверки готовности захваток к сдаче по расширенному чек-листу.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Все обнаруженные несоответствия регистрируются в едином реестре дефектов. Проводится анализ первопричин (методом диаграммы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Ишикава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наиболее частых дефектов, и по их итогам вносятся изменения в технологические карты или организуется целевое обучение. Система направлена на предотвращение, а не на исправление брака.</w:t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t>3.5. Управление материально-техническими ресурсами: от выбора поставщика до утилизации отходов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Создается сквозная система управления цепочкой поставок. &gt; Рома: Выбор поставщика осуществляется на основе не только цены, но и рейтинга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надежности, учитывающего соблюдение сроков, качество продукции, гибкость логистики. Внедряется система VMI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Vendor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Managed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Inventory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с ключевыми поставщиками сухих смесей и крепежа: поставщик на основе данных о расходе с объекта самостоятельно поддерживает запас на складе подрядчика, что снижает риски дефицита и замораживание оборотных средств. На объекте действует принцип «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»: на каждой захватке размещается контейнер с минимально необходимым запасом материалов (например, мешок плиточного клея, коробка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саморезов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). Когда запас подходит к концу, мастер через приложение отправляет сигнал на склад для пополнения. Учет ведется с помощью маркировки материалов QR-кодами и их сканирования при выдаче и списании. Для снижения транспортных затрат используется совместная закупка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pooling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с другими объектами компании. Управление отходами включает их сортировку в специальные контейнеры прямо на этаже, прессование картона и пластика для снижения объема вывоза, продажу черного и цветного металла специализированным компаниям.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3.6. Развитие компетенций персонала как конструктивный элемент системы</w:t>
      </w:r>
      <w:r w:rsidRPr="00553A7D">
        <w:rPr>
          <w:rFonts w:ascii="Times New Roman" w:hAnsi="Times New Roman" w:cs="Times New Roman"/>
          <w:sz w:val="28"/>
          <w:szCs w:val="28"/>
        </w:rPr>
        <w:br/>
        <w:t>Невозможно внедрить новые методы со старыми кадрами. Разрабатывается матрица компетенций для каждой должности (рабочий, мастер, прораб). Определяются ключевые навыки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hard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и поведенческие компетенции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soft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). На основе матрицы формируется годовой план обучения. Для рабочих организуются цеховые школы на площадке, где наставники проводят мастер-классы по работе с новым инструментом и соблюдению технологий. Для линейных руководителей обязательными становятся тренинги по основам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тайм-менеджменту, эффективной коммуникации и проведению инструктажей. Внедряется система наставничества для новичков. Результаты обучения напрямую влияют на карьерный рост и доступ к работе на более ответственных и высокооплачиваемых объектах. Персонал рассматривается не как статья расходов, а как ключевой актив и источник улучшений.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605A55" w:rsidRDefault="00605A55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4. Графическая часть: спецификации и ведомости (описание и назначение)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4.1. Система проектной документации как модель будущего объекта и процесса</w:t>
      </w:r>
      <w:r w:rsidRPr="00553A7D">
        <w:rPr>
          <w:rFonts w:ascii="Times New Roman" w:hAnsi="Times New Roman" w:cs="Times New Roman"/>
          <w:sz w:val="28"/>
          <w:szCs w:val="28"/>
        </w:rPr>
        <w:br/>
        <w:t>В современном проекте графическая часть — это не статичный набор чертежей, а динамическая информационная модель управления. Ее ядром может являться BIM-модель (Информационное моделирование зданий) даже для ремонта, куда загружаются данные о состоянии конструкций, планы производства работ, спецификации. Однако в базовом варианте система включает: Сводный план-график (мастер-план), который является «дирижерской партитурой» проекта, увязывающей все потоки, поставки и финансирование. Детализированные графики для каждого потока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микропланы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 с привязкой к конкретным помещениям и операциям. Комплект рабочих чертежей и эскизов, адаптированных для понимания на уровне рабочего (упрощенные, с крупными размерами и пояснениями). Спецификации и ведомости, которые становятся «программным кодом» для системы логистики и учета — они привязаны не только к смете, но и к датам использования в конкретном месте.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4.2. Методы календарно-сетевого планирования и их применение для оптимизации сроков и ресурсов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Ключевым графическим инструментом является сетевая модель (диаграмма предшествования), построенная в специализированном ПО (MS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Project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Primavera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). Каждая работа (их может быть несколько сотен) имеет длительность, связи с другими работами и назначенные ресурсы. Анализ модели позволяет: 1) Выделить критический путь — последовательность работ, определяющую минимальный срок проекта. Управление фокусируется на этих работах. 2) Провести анализ «</w:t>
      </w:r>
      <w:proofErr w:type="gramStart"/>
      <w:r w:rsidRPr="00553A7D">
        <w:rPr>
          <w:rFonts w:ascii="Times New Roman" w:hAnsi="Times New Roman" w:cs="Times New Roman"/>
          <w:sz w:val="28"/>
          <w:szCs w:val="28"/>
        </w:rPr>
        <w:t>что</w:t>
      </w:r>
      <w:proofErr w:type="gramEnd"/>
      <w:r w:rsidRPr="00553A7D">
        <w:rPr>
          <w:rFonts w:ascii="Times New Roman" w:hAnsi="Times New Roman" w:cs="Times New Roman"/>
          <w:sz w:val="28"/>
          <w:szCs w:val="28"/>
        </w:rPr>
        <w:t xml:space="preserve"> если»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what-if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analysis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), чтобы оценить влияние задержки одной работы на весь проект. 3) Оптимизировать загрузку ресурсов, сгладив пики и избежав простоев, используя метод балансировки ресурсов (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resource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leveling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). 4) Рассчитать резервы времени (полный и свободный) для некритических работ, что дает гибкость в оперативном управлении. Диаграмма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автоматически генерируемая из сетевой модели, служит основным наглядным инструментом отчетности и коммуникации с заказчиком.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4.3. Графическая визуализация логистики, безопасности и технологических процессов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Эффективное управление требует наглядности. Разрабатываются: Поэтапные схемы организации строительной площадки (ПОС), показывающие изменение дислокации объектов (складов, бытовок, кранов) на каждом ключевом этапе (подготовительный, фасадные работы, внутренние работы). Схемы движения транспорта и пешеходов с обозначением одностороннего движения, зон разгрузки, поворотных площадок. Планы эвакуации и размещения средств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пожаротушения для временных бытовых городков. Карты визуального контроля качества — планы помещений с нанесенными точками контроля (например, места проверки уровня стяжки, углы откосов), которые мастер отмечает после проверки. Инструкции по безопасности в картинках (пиктограммы), размещаемые непосредственно у мест производства опасных работ (работы на высоте, сварочные работы). Эта графика размещается на информационных стендах в бытовках и дублируется в электронном виде в мобильном приложении.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5. Технико-экономические показатели проекта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5.1. Методология оценки экономической эффективности инвестиций в организационные изменения</w:t>
      </w:r>
      <w:r w:rsidRPr="00553A7D">
        <w:rPr>
          <w:rFonts w:ascii="Times New Roman" w:hAnsi="Times New Roman" w:cs="Times New Roman"/>
          <w:sz w:val="28"/>
          <w:szCs w:val="28"/>
        </w:rPr>
        <w:br/>
        <w:t>Оценка эффективности предложенного проекта улучшений проводится с позиции инвестирования в организационный капитал. Используется комплексный подход, сочетающий методы статической (простой срок окупаемости) и динамической (дисконтирование денежных потоков) оценки. За базовый сценарий принимается выполнение аналогичного объема работ по традиционной технологии со средними для компании показателями. Рассчитываются дополнительные инвестиционные затраты на внедрение: стоимость программного обеспечения, закупка нового инструмента и оборудования, обучение персонала, затраты времени на перепланировку процессов. Противопоставляются им эксплуатационные выгоды, возникающие в течение жизненного цикла проекта и последующих проектов. Критериями принятия решения служат: Срок окупаемости (PP) &lt; 2 лет, Чистая приведенная стоимость (NPV) &gt; 0 при ставке дисконтирования, равной средневзвешенной стоимости капитала компании, и Внутренняя норма доходности (IRR) &gt; 20%.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5.2. Детальный расчет снижения себестоимости по элементам затрат: прямая экономия и избежание потерь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· Материалы: Экономия прогнозируется на уровне 8-10% от сметной стоимости (9,6 – 12 млн руб. на объекте). Источники: снижение потерь при хранении и транспортировке (2%), устранение перерасхода из-за брака (3%), точное нормирование и премирование за экономию (3%), доход от продажи отсортированных отходов (0,5%).</w:t>
      </w:r>
      <w:r w:rsidRPr="00553A7D">
        <w:rPr>
          <w:rFonts w:ascii="Times New Roman" w:hAnsi="Times New Roman" w:cs="Times New Roman"/>
          <w:sz w:val="28"/>
          <w:szCs w:val="28"/>
        </w:rPr>
        <w:br/>
        <w:t>· Оплата труда основных рабочих: При росте производительности на 25-30% фонд оплаты труда на единицу объема работ снижается. Абсолютная экономия может не наблюдаться, так как высвобожденное время используется для выполнения дополнительных объемов или сокращения сроков. Однако, относительная экономия в структуре себестоимости составит 4-5%.</w:t>
      </w:r>
      <w:r w:rsidRPr="00553A7D">
        <w:rPr>
          <w:rFonts w:ascii="Times New Roman" w:hAnsi="Times New Roman" w:cs="Times New Roman"/>
          <w:sz w:val="28"/>
          <w:szCs w:val="28"/>
        </w:rPr>
        <w:br/>
        <w:t>· Эксплуатация машин и механизмов: Оптимизация графиков и сокращение простоев техники дает экономию 12-15% (1,3 – 1,7 млн руб.). Снижаются затраты на ГСМ, амортизацию и ремонт.</w:t>
      </w:r>
      <w:r w:rsidRPr="00553A7D">
        <w:rPr>
          <w:rFonts w:ascii="Times New Roman" w:hAnsi="Times New Roman" w:cs="Times New Roman"/>
          <w:sz w:val="28"/>
          <w:szCs w:val="28"/>
        </w:rPr>
        <w:br/>
        <w:t>· Накладные расходы: Сокращение продолжительности проекта с 12 до 9 месяцев напрямую уменьшает постоянную часть накладных расходов (аренда офиса, зарплата АУП, коммунальные платежи, налоги на ФОТ). Экономия оценивается в 20-25% от статьи (2,4 – 3 млн руб.).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5.3. Количественная оценка роста производительности труда: факторный анализ и расчет высвобождения ресурсов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Рост производительности (ПТ) рассчитывается по формуле: ПТ = (В1 / Т1) / (В0 / Т0), где В — объем работ в натуральных измерителях, Т — затраты труда в человеко-днях, индексы 1 и 0 — проектное и базовое состояние. Ожидаемый рост на 25-30% складывается из вклада факторов: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· Механизация и новый инструмент: +10%.</w:t>
      </w:r>
      <w:r w:rsidRPr="00553A7D">
        <w:rPr>
          <w:rFonts w:ascii="Times New Roman" w:hAnsi="Times New Roman" w:cs="Times New Roman"/>
          <w:sz w:val="28"/>
          <w:szCs w:val="28"/>
        </w:rPr>
        <w:br/>
        <w:t>· Улучшение организации рабочего места и логистики (устранение простоев): +8%.</w:t>
      </w:r>
      <w:r w:rsidRPr="00553A7D">
        <w:rPr>
          <w:rFonts w:ascii="Times New Roman" w:hAnsi="Times New Roman" w:cs="Times New Roman"/>
          <w:sz w:val="28"/>
          <w:szCs w:val="28"/>
        </w:rPr>
        <w:br/>
        <w:t>· Мотивационная система и повышение квалификации: +7%.</w:t>
      </w:r>
      <w:r w:rsidRPr="00553A7D">
        <w:rPr>
          <w:rFonts w:ascii="Times New Roman" w:hAnsi="Times New Roman" w:cs="Times New Roman"/>
          <w:sz w:val="28"/>
          <w:szCs w:val="28"/>
        </w:rPr>
        <w:br/>
        <w:t>· Снижение доли переделок и брака: +5%.</w:t>
      </w:r>
      <w:r w:rsidRPr="00553A7D">
        <w:rPr>
          <w:rFonts w:ascii="Times New Roman" w:hAnsi="Times New Roman" w:cs="Times New Roman"/>
          <w:sz w:val="28"/>
          <w:szCs w:val="28"/>
        </w:rPr>
        <w:br/>
        <w:t>Это означает, что для выполнения того же объема работ потребуется на 20% меньше человеко-дней (55 чел. * 12 мес. * 0.</w:t>
      </w:r>
      <w:r>
        <w:rPr>
          <w:rFonts w:ascii="Times New Roman" w:hAnsi="Times New Roman" w:cs="Times New Roman"/>
          <w:sz w:val="28"/>
          <w:szCs w:val="28"/>
        </w:rPr>
        <w:t xml:space="preserve">8 ≈ 530 чел.-мес. вместо 660).  </w:t>
      </w:r>
      <w:r w:rsidRPr="00553A7D">
        <w:rPr>
          <w:rFonts w:ascii="Times New Roman" w:hAnsi="Times New Roman" w:cs="Times New Roman"/>
          <w:sz w:val="28"/>
          <w:szCs w:val="28"/>
        </w:rPr>
        <w:t xml:space="preserve"> Высвобожденные трудовые ресурсы могут быть направлены на другие объекты, увеличивая общую выручку компании без пропорционального роста численности.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5.4. Оценка сокращения длительности жизненного цикла проекта и его влияния на оборачиваемость капитала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Сокращение сроков с 12 до 9 месяцев (на 25%) имеет мультипликативный эффект. Во-первых, снижаются накладные расходы (см. выше). Во-вторых, уменьшается период оборачиваемости оборотных средств: деньги, вложенные в материалы и авансы, возвращаются с прибылью на 3 месяца раньше. Это позволяет ускорить денежный поток и либо сократить потребность в кредитовании, либо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reinvest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высвободившиеся средства в новый проект. Коэффициент оборачиваемости активов компании увеличивается, что положительно оценивается инвесторами и кредиторами. В-третьих, досрочная сдача повышает шансы на получение премии от заказчика (если предусмотрена контрактом) и укрепляет репутацию для участия в новых, более выгодных тендерах.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5.5. Прогнозирование комплексного экономического эффекта: прямая экономия, синергетический эффект и стратегические выгоды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· Прямая экономия на одном объекте: Суммируя экономию по статьям, получаем: Материалы (10,8 млн в среднем) + Эксплуатация машин (1,5 млн) + Накладные расходы (2,7 млн) = 15 млн рублей. За вычетом единовременных затрат на внедрение (оценим в 5 млн руб., включая инструмент и обучение), чистая экономия на первом объекте составит 10 млн руб..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· Синергетический эффект на портфеле проектов: При тиражировании системы на 4 объекта в год экономия масштаба снизит удельные затраты на внедрение. Дополнительная прибыль за счет выполнения пятого объекта силами высвобожденных ресурсов может составить сметную прибыль с этого объекта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(около 3,6 млн руб.).</w:t>
      </w:r>
      <w:r w:rsidRPr="00553A7D">
        <w:rPr>
          <w:rFonts w:ascii="Times New Roman" w:hAnsi="Times New Roman" w:cs="Times New Roman"/>
          <w:sz w:val="28"/>
          <w:szCs w:val="28"/>
        </w:rPr>
        <w:br/>
        <w:t>· Стратегические выгоды: Улучшение имиджа надежного и технологичного подрядчика; снижение рисков штрафов и судебных разбирательств; повышение лояльности и квалификации персонала; создание устойчивого конкурентного преимущества.</w:t>
      </w:r>
      <w:r w:rsidRPr="00553A7D">
        <w:rPr>
          <w:rFonts w:ascii="Times New Roman" w:hAnsi="Times New Roman" w:cs="Times New Roman"/>
          <w:sz w:val="28"/>
          <w:szCs w:val="28"/>
        </w:rPr>
        <w:br/>
        <w:t>Совокупный годовой экономический эффект для компании с оборотом около 500 млн руб. может достигать 50-70 млн руб., что эквивалентно увеличению рентабельности на 1</w:t>
      </w:r>
      <w:r>
        <w:rPr>
          <w:rFonts w:ascii="Times New Roman" w:hAnsi="Times New Roman" w:cs="Times New Roman"/>
          <w:sz w:val="28"/>
          <w:szCs w:val="28"/>
        </w:rPr>
        <w:t>0-14 процентных пунктов.</w:t>
      </w:r>
      <w:r w:rsidRPr="00553A7D">
        <w:rPr>
          <w:rFonts w:ascii="Times New Roman" w:hAnsi="Times New Roman" w:cs="Times New Roman"/>
          <w:sz w:val="28"/>
          <w:szCs w:val="28"/>
        </w:rPr>
        <w:t xml:space="preserve"> 5.6. Анализ рисков внедрения предлагаемых мероприятий и пути их минимизации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Продолжение: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1. Риск недостаточного финансирования или перерасхода средств на этапе внедрения. Реорганизация требует первоначальных инвестиций. Может возникнуть ситуация, когда затраты на ПО, инструмент и обучение превысят запланированный бюджет, а отдача (экономия) придет с задержкой. Пути минимизации: Внедрение по пилотному принципу — начать с одного объекта или одного потока (например, отделочного), отработать методику, получить первые результаты и лишь затем масштабировать. Использование схем лизинга для закупки дорогостоящего оборудования. Поэтапное финансирование инвестиций, привязанное к достижению контрольных точек (например, после успешного завершения пилотной стадии и подтверждения расчетной экономии).</w:t>
      </w:r>
      <w:r w:rsidRPr="00553A7D">
        <w:rPr>
          <w:rFonts w:ascii="Times New Roman" w:hAnsi="Times New Roman" w:cs="Times New Roman"/>
          <w:sz w:val="28"/>
          <w:szCs w:val="28"/>
        </w:rPr>
        <w:br/>
        <w:t>2. Риск сбоев в работе новых информационных систем и цифровых инструментов. Внедрение программного обеспечения для управления проектами может столкнуться с техническими ошибками, недовольством персонала, неготовностью ИТ-инфраструктуры. Пути минимизации: Тщательный выбор ПО с удобным мобильным интерфейсом и технической поддержкой. Проведение комплексного обучения не только функционалу, но и изменению принципов работы. Назначение ответственного администратора системы внутри компании. Запуск системы в тестовом режиме параллельно со старыми методами учета.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3. Риск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демотивации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персонала из-за усложнения системы отчетности или несправедливого, по их мнению, распределения премий. Слишком сложные KPI или субъективная оценка качества могут вызвать отторжение. Пути минимизации: Активное вовлечение ключевых работников и бригадиров в разработку и «обкатку» системы мотивации. Гарантированная выплата части премии за достижение основных показателей и прозрачный, понятный алгоритм расчета. Создание апелляционной комиссии с участием представителей рабочих для разбора спорных ситуаций. Акцент на командные, а не только индивидуальные показатели.</w:t>
      </w:r>
      <w:r w:rsidRPr="00553A7D">
        <w:rPr>
          <w:rFonts w:ascii="Times New Roman" w:hAnsi="Times New Roman" w:cs="Times New Roman"/>
          <w:sz w:val="28"/>
          <w:szCs w:val="28"/>
        </w:rPr>
        <w:br/>
        <w:t>4. Риск нарушения графика из-за повышенного внимания к качеству и новым процедурам. На начальном этапе строгое следование технологическим картам и многоступенчатый контроль могут замедлить темп работ. Пути минимизации: Заложить в первоначальный график проекта «буфер» времени на обучение и адаптацию (10-15%). Четко разграничить контрольные операции, не проверять всё подряд, а фокусироваться на критических точках. Постепенное ужесточение требований по мере освоения новых методов.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5. Риск конфликта с субподрядчиками, не готовыми работать по новым правилам. Если часть работ отдана на субподряд, их нежелание соблюдать принципы поточности, логистики и отчетности может дезорганизовать весь процесс. Пути минимизации: Включение специальных требований по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организации труда и участию в общей цифровой системе в договоры с субподрядчиками. Проведение совместных установочных совещаний. Выбор субподрядчиков, уже имеющих опыт работы в подобных системах или проявляющих готовность к изменениям.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Таким образом, риски значительны, но управляемы. Ключевым фактором успеха является не техническая сторона изменений, а грамотное управление человеческим фактором, последовательность и поддержка изменений со стороны высшего руководства компании.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6. Заключение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В ходе выполнения данного курсового проекта была глубоко исследована проблема высоких издержек в ремонтно-строительной отрасли и предложено комплексное, системное решение, интегрирующее передовые управленческие подходы и практические инструменты. Работа продемонстрировала, что в современных экономических условиях традиционные методы организации труда исчерпали свой потенциал, и дальнейшее снижение затрат возможно только через радикальную перестройку всей системы управления ремонтным производством.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На первом этапе, благодаря детальному анализу исходных данных, были выявлены не симптомы, а коренные причины потерь: разрозненность процессов, слабая логистика, устаревшие технологии труда и отсутствие продуманной системы мотивации. Это позволило перейти от тактики «латания дыр» к стратегии проектирования принципиально новой архитектуры производственной системы. Ядром этой новой архитектуры, описанной во втором разделе, стали принципы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Construction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процессного подхода и визуального управления. Проектирование поточных технологических цепочек, оптимизация пространственно-логистической структуры площадки, создание эффективной системы информационных потоков и делегирование ответственности — все эти меры направлены на создание предсказуемого, управляемого и непрерывного потока создания ценности для заказчика.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Третий раздел наполнил архитектурную модель конкретным, «конструктивным» содержанием. Были предложены технически и экономически обоснованные решения по механизации, разработана методика внутреннего нормирования труда, создана комплексная система мотивации, увязанная с KPI, детально описаны процедуры встроенного контроля качества и современного управления материальными ресурсами. Особое внимание уделено развитию компетенций персонала, что является залогом устойчивости любых изменений.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Графическая часть проекта, рассмотренная в четвертом разделе, была представлена не как формальность, а как набор жизненно важных инструментов оперативного управления: от сетевых моделей и поэтапных схем организации до карт визуального контроля. В пятом разделе была проведена всесторонняя количественная оценка эффективности. Расчеты показали, что внедрение предложенной системы способно обеспечить снижение себестоимости работ на 12-15%, рост производительности труда на 25-30% и сокращение сроков проекта на 25%. Совокупный годовой экономический эффект для средней компании может измеряться десятками миллионов рублей </w:t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>при сроке окупаемости инвестиций в изменения менее двух лет.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Важно подчеркнуть, что предлагаемый путь снижения затрат не имеет ничего общего с удешевлением за счет качества или ухудшения условий труда. Напротив, системный подход ведет к росту культуры производства, повышению безопасности, прозрачности процессов и, в конечном итоге, к удовлетворенности как заказчика, так и собственных сотрудников. Таким образом, цель проекта — разработка комплекса мер по снижению затрат через улучшение организации труда и повышение производительности — была полностью достигнута.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Практическая реализация данной концепции потребует от руководства ремонтно-строительных организаций стратегического видения, готовности к инвестициям в развитие и терпения, так как организационные изменения дают полный эффект не мгновенно. Однако в долгосрочной перспективе этот путь является единственно верным для построения конкурентоспособного, устойчивого и технологически современного предприятия в сфере строительства и ремонта. Данная курсовая работа может служить практическим руководством и дорожной картой для таких преобразований.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F94A80" w:rsidRDefault="00F94A80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553A7D">
        <w:rPr>
          <w:rFonts w:ascii="Times New Roman" w:hAnsi="Times New Roman" w:cs="Times New Roman"/>
          <w:sz w:val="28"/>
          <w:szCs w:val="28"/>
        </w:rPr>
        <w:lastRenderedPageBreak/>
        <w:t>7. Список использованных источников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1. Градостроительный кодекс Российской Федерации от 29.12.2004 № 190-ФЗ (ред. от 24.04.2023).</w:t>
      </w:r>
      <w:r w:rsidRPr="00553A7D">
        <w:rPr>
          <w:rFonts w:ascii="Times New Roman" w:hAnsi="Times New Roman" w:cs="Times New Roman"/>
          <w:sz w:val="28"/>
          <w:szCs w:val="28"/>
        </w:rPr>
        <w:br/>
        <w:t>2. Жилищный кодекс Российской Федерации от 29.12.2004 № 188-ФЗ (ред. от 28.04.2023).</w:t>
      </w:r>
      <w:r w:rsidRPr="00553A7D">
        <w:rPr>
          <w:rFonts w:ascii="Times New Roman" w:hAnsi="Times New Roman" w:cs="Times New Roman"/>
          <w:sz w:val="28"/>
          <w:szCs w:val="28"/>
        </w:rPr>
        <w:br/>
        <w:t>3. Трудовой кодекс Российской Федерации от 30.12.2001 № 197-ФЗ (ред. от 28.04.2023).</w:t>
      </w:r>
      <w:r w:rsidRPr="00553A7D">
        <w:rPr>
          <w:rFonts w:ascii="Times New Roman" w:hAnsi="Times New Roman" w:cs="Times New Roman"/>
          <w:sz w:val="28"/>
          <w:szCs w:val="28"/>
        </w:rPr>
        <w:br/>
        <w:t>4. Федеральный закон от 21.07.1997 № 116-ФЗ «О промышленной безопасности опасных производственных объектов».</w:t>
      </w:r>
      <w:r w:rsidRPr="00553A7D">
        <w:rPr>
          <w:rFonts w:ascii="Times New Roman" w:hAnsi="Times New Roman" w:cs="Times New Roman"/>
          <w:sz w:val="28"/>
          <w:szCs w:val="28"/>
        </w:rPr>
        <w:br/>
        <w:t>5. Федеральный закон от 05.04.2013 № 44-ФЗ «О контрактной системе в сфере закупок товаров, работ, услуг для обеспечения государственных и муниципальных нужд».</w:t>
      </w:r>
      <w:r w:rsidRPr="00553A7D">
        <w:rPr>
          <w:rFonts w:ascii="Times New Roman" w:hAnsi="Times New Roman" w:cs="Times New Roman"/>
          <w:sz w:val="28"/>
          <w:szCs w:val="28"/>
        </w:rPr>
        <w:br/>
        <w:t>6. Приказ Минстроя России от 04.08.2020 № 421/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пр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«Об утверждении СП 48.13330.2019 "Организация строительства"».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7. Приказ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Минрегиона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России от 30.12.2009 № 624 «Об утверждении Перечня видов работ по инженерным изысканиям, по подготовке проектной документации, по строительству, реконструкции, капитальному ремонту объектов капитального строительства».</w:t>
      </w:r>
      <w:r w:rsidRPr="00553A7D">
        <w:rPr>
          <w:rFonts w:ascii="Times New Roman" w:hAnsi="Times New Roman" w:cs="Times New Roman"/>
          <w:sz w:val="28"/>
          <w:szCs w:val="28"/>
        </w:rPr>
        <w:br/>
        <w:t>8. ГОСТ Р 58033-2017. Здания и сооружения. Словарь. Часть 3. Термины, относящиеся к проектированию и экономике.</w:t>
      </w:r>
      <w:r w:rsidRPr="00553A7D">
        <w:rPr>
          <w:rFonts w:ascii="Times New Roman" w:hAnsi="Times New Roman" w:cs="Times New Roman"/>
          <w:sz w:val="28"/>
          <w:szCs w:val="28"/>
        </w:rPr>
        <w:br/>
        <w:t>9. ГОСТ Р ИСО 9001-2015. Системы менеджмента качества. Требования.</w:t>
      </w:r>
      <w:r w:rsidRPr="00553A7D">
        <w:rPr>
          <w:rFonts w:ascii="Times New Roman" w:hAnsi="Times New Roman" w:cs="Times New Roman"/>
          <w:sz w:val="28"/>
          <w:szCs w:val="28"/>
        </w:rPr>
        <w:br/>
        <w:t>10. МДС 81-35.2004. Методика определения стоимости строительной продукции на территории Российской Федерации.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11.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Голдратт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Э. М., Кокс, Дж. Цель. Процесс непрерывного улучшения. – М.: Попурри, 2020.</w:t>
      </w:r>
      <w:r w:rsidRPr="00553A7D">
        <w:rPr>
          <w:rFonts w:ascii="Times New Roman" w:hAnsi="Times New Roman" w:cs="Times New Roman"/>
          <w:sz w:val="28"/>
          <w:szCs w:val="28"/>
        </w:rPr>
        <w:br/>
        <w:t>1</w:t>
      </w:r>
      <w:r w:rsidR="00605A55">
        <w:rPr>
          <w:rFonts w:ascii="Times New Roman" w:hAnsi="Times New Roman" w:cs="Times New Roman"/>
          <w:sz w:val="28"/>
          <w:szCs w:val="28"/>
        </w:rPr>
        <w:t>2. Вумек, Дж., Джонс, Д.</w:t>
      </w:r>
      <w:r w:rsidRPr="00553A7D">
        <w:rPr>
          <w:rFonts w:ascii="Times New Roman" w:hAnsi="Times New Roman" w:cs="Times New Roman"/>
          <w:sz w:val="28"/>
          <w:szCs w:val="28"/>
        </w:rPr>
        <w:t xml:space="preserve"> Бережливое производство: Как избавиться от потерь и добиться процветания вашей компании. – М.: Альпина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Паблишер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2021.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13.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Лапидус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В. А. Всеобщее качество (TQM) в российских компаниях. – М.: Норма, 2019.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14. Репин, В. В.,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Елиферов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В. Г. Процессный подход к управлению. Моделирование бизнес-процессов. – М.: Манн, Иванов и Фербер, 2018.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15.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Шеер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А.-В. Бизнес-процессы. Основные понятия. Теория. Методы. – М.: Весть.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МетаТехнология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2019.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16.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Батоврин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В. К., Бессонов А. С., Мошкин А. В. Автоматизированные системы управления строительством. – М.: Академия, 2022.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17. Волков, Д. П. Экономика, организация и управление строительным предприятием: учебник. – М.: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2021.</w:t>
      </w:r>
      <w:r w:rsidRPr="00553A7D">
        <w:rPr>
          <w:rFonts w:ascii="Times New Roman" w:hAnsi="Times New Roman" w:cs="Times New Roman"/>
          <w:sz w:val="28"/>
          <w:szCs w:val="28"/>
        </w:rPr>
        <w:br/>
        <w:t>18. Дятлов, С. А., Плотникова О. А. Экономика строительства: цифровая трансформация отрасли. – СПб.: Лань, 2022.</w:t>
      </w:r>
      <w:r w:rsidRPr="00553A7D">
        <w:rPr>
          <w:rFonts w:ascii="Times New Roman" w:hAnsi="Times New Roman" w:cs="Times New Roman"/>
          <w:sz w:val="28"/>
          <w:szCs w:val="28"/>
        </w:rPr>
        <w:br/>
        <w:t>19. Кожевников, Н. Н. Организация, планирование и управление в строительстве. – М.: Издательство Ассоциации строительных вузов, 2020.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lastRenderedPageBreak/>
        <w:t xml:space="preserve">20.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Синянский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И. А.,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Мандриков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 А. В. Проектно-сметное дело в строительстве. – М.: Академия, 2021.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21.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Тебекин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, А. В. Управление персоналом: учебник. – М.: 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>, 2020.</w:t>
      </w:r>
      <w:r w:rsidRPr="00553A7D">
        <w:rPr>
          <w:rFonts w:ascii="Times New Roman" w:hAnsi="Times New Roman" w:cs="Times New Roman"/>
          <w:sz w:val="28"/>
          <w:szCs w:val="28"/>
        </w:rPr>
        <w:br/>
        <w:t xml:space="preserve">22. Официальный сайт Национального объединения строителей (НОСТРОЙ). [Электронный ресурс]. – URL: </w:t>
      </w:r>
      <w:hyperlink r:id="rId8" w:history="1">
        <w:r w:rsidRPr="00553A7D">
          <w:rPr>
            <w:rStyle w:val="a4"/>
            <w:rFonts w:ascii="Times New Roman" w:hAnsi="Times New Roman" w:cs="Times New Roman"/>
            <w:sz w:val="28"/>
            <w:szCs w:val="28"/>
          </w:rPr>
          <w:t>https://www.nostroy.ru</w:t>
        </w:r>
      </w:hyperlink>
      <w:r w:rsidRPr="00553A7D">
        <w:rPr>
          <w:rFonts w:ascii="Times New Roman" w:hAnsi="Times New Roman" w:cs="Times New Roman"/>
          <w:sz w:val="28"/>
          <w:szCs w:val="28"/>
        </w:rPr>
        <w:br/>
        <w:t xml:space="preserve">23. Официальный сайт Министерства строительства и жилищно-коммунального хозяйства РФ. [Электронный ресурс]. – URL: </w:t>
      </w:r>
      <w:hyperlink r:id="rId9" w:history="1">
        <w:r w:rsidRPr="00553A7D">
          <w:rPr>
            <w:rStyle w:val="a4"/>
            <w:rFonts w:ascii="Times New Roman" w:hAnsi="Times New Roman" w:cs="Times New Roman"/>
            <w:sz w:val="28"/>
            <w:szCs w:val="28"/>
          </w:rPr>
          <w:t>https://www.minstroyrf.gov.ru</w:t>
        </w:r>
      </w:hyperlink>
      <w:r w:rsidRPr="00553A7D">
        <w:rPr>
          <w:rFonts w:ascii="Times New Roman" w:hAnsi="Times New Roman" w:cs="Times New Roman"/>
          <w:sz w:val="28"/>
          <w:szCs w:val="28"/>
        </w:rPr>
        <w:br/>
        <w:t xml:space="preserve">24. Электронный научно-практический журнал «Строительная механика инженерных конструкций и сооружений». [Электронный ресурс]. – URL: </w:t>
      </w:r>
      <w:hyperlink r:id="rId10" w:history="1">
        <w:r w:rsidRPr="00553A7D">
          <w:rPr>
            <w:rStyle w:val="a4"/>
            <w:rFonts w:ascii="Times New Roman" w:hAnsi="Times New Roman" w:cs="Times New Roman"/>
            <w:sz w:val="28"/>
            <w:szCs w:val="28"/>
          </w:rPr>
          <w:t>http://www.stroymehanika.ru</w:t>
        </w:r>
      </w:hyperlink>
      <w:r w:rsidRPr="00553A7D">
        <w:rPr>
          <w:rFonts w:ascii="Times New Roman" w:hAnsi="Times New Roman" w:cs="Times New Roman"/>
          <w:sz w:val="28"/>
          <w:szCs w:val="28"/>
        </w:rPr>
        <w:br/>
        <w:t>25. Портал «</w:t>
      </w:r>
      <w:proofErr w:type="spellStart"/>
      <w:r w:rsidRPr="00553A7D">
        <w:rPr>
          <w:rFonts w:ascii="Times New Roman" w:hAnsi="Times New Roman" w:cs="Times New Roman"/>
          <w:sz w:val="28"/>
          <w:szCs w:val="28"/>
        </w:rPr>
        <w:t>Стройэксперт</w:t>
      </w:r>
      <w:proofErr w:type="spellEnd"/>
      <w:r w:rsidRPr="00553A7D">
        <w:rPr>
          <w:rFonts w:ascii="Times New Roman" w:hAnsi="Times New Roman" w:cs="Times New Roman"/>
          <w:sz w:val="28"/>
          <w:szCs w:val="28"/>
        </w:rPr>
        <w:t xml:space="preserve">»: нормативная документация в строительстве. [Электронный ресурс]. – URL: </w:t>
      </w:r>
      <w:hyperlink r:id="rId11" w:history="1">
        <w:r w:rsidRPr="00553A7D">
          <w:rPr>
            <w:rStyle w:val="a4"/>
            <w:rFonts w:ascii="Times New Roman" w:hAnsi="Times New Roman" w:cs="Times New Roman"/>
            <w:sz w:val="28"/>
            <w:szCs w:val="28"/>
          </w:rPr>
          <w:t>https://stroiexpert.ru</w:t>
        </w:r>
      </w:hyperlink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</w: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553A7D">
      <w:pPr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203333">
      <w:pPr>
        <w:ind w:left="142" w:right="-285"/>
        <w:rPr>
          <w:rFonts w:ascii="Times New Roman" w:hAnsi="Times New Roman" w:cs="Times New Roman"/>
          <w:sz w:val="28"/>
          <w:szCs w:val="28"/>
        </w:rPr>
      </w:pPr>
    </w:p>
    <w:p w:rsidR="00203333" w:rsidRDefault="00203333" w:rsidP="00203333">
      <w:pPr>
        <w:ind w:left="142" w:right="-285"/>
        <w:rPr>
          <w:rFonts w:ascii="Times New Roman" w:hAnsi="Times New Roman" w:cs="Times New Roman"/>
          <w:sz w:val="28"/>
          <w:szCs w:val="28"/>
        </w:rPr>
      </w:pPr>
    </w:p>
    <w:p w:rsidR="00553A7D" w:rsidRDefault="00553A7D" w:rsidP="00203333">
      <w:pPr>
        <w:ind w:left="142" w:right="-143"/>
        <w:rPr>
          <w:rFonts w:ascii="Times New Roman" w:hAnsi="Times New Roman" w:cs="Times New Roman"/>
          <w:sz w:val="28"/>
          <w:szCs w:val="28"/>
        </w:rPr>
      </w:pPr>
      <w:r w:rsidRPr="00553A7D">
        <w:rPr>
          <w:rFonts w:ascii="Times New Roman" w:hAnsi="Times New Roman" w:cs="Times New Roman"/>
          <w:sz w:val="28"/>
          <w:szCs w:val="28"/>
        </w:rPr>
        <w:lastRenderedPageBreak/>
        <w:t>8. Приложения</w:t>
      </w:r>
      <w:r w:rsidRPr="00553A7D">
        <w:rPr>
          <w:rFonts w:ascii="Times New Roman" w:hAnsi="Times New Roman" w:cs="Times New Roman"/>
          <w:sz w:val="28"/>
          <w:szCs w:val="28"/>
        </w:rPr>
        <w:br/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А. Пример технологической карты на монтаж узла ввода инженерных систем с пооперационным описанием и нормативами времени.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Б. Форма Ежедневного отчета мастера потока (в бумажном и электронном виде).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В. Чек-лист операционного контроля качества штукатурных работ.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Г. Карта СИЗ для профессии «Электромонтажник-сантехник».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Д. Положение о системе ключевых показателей эффективности (KPI) для бригады отделочников.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Е. Схема организации строительной площадки на период выполнения фасадных работ (поэтапная).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Ж. Образец графика вывоза твердых коммунальных и строительных отходов с объекта.</w:t>
      </w:r>
      <w:r w:rsidRPr="00553A7D">
        <w:rPr>
          <w:rFonts w:ascii="Times New Roman" w:hAnsi="Times New Roman" w:cs="Times New Roman"/>
          <w:sz w:val="28"/>
          <w:szCs w:val="28"/>
        </w:rPr>
        <w:br/>
        <w:t>Приложение З. План-график обучения персонала на год (фрагмент).</w:t>
      </w:r>
    </w:p>
    <w:p w:rsidR="00605A55" w:rsidRDefault="00605A55" w:rsidP="00605A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Дата: 15.12.2025</w:t>
      </w:r>
    </w:p>
    <w:p w:rsidR="00605A55" w:rsidRPr="00553A7D" w:rsidRDefault="00605A55" w:rsidP="00553A7D">
      <w:pPr>
        <w:rPr>
          <w:rFonts w:ascii="Times New Roman" w:hAnsi="Times New Roman" w:cs="Times New Roman"/>
          <w:sz w:val="28"/>
          <w:szCs w:val="28"/>
        </w:rPr>
      </w:pPr>
    </w:p>
    <w:p w:rsidR="00397E13" w:rsidRPr="00553A7D" w:rsidRDefault="00397E13" w:rsidP="00553A7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A7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53A7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53A7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397E13" w:rsidRPr="00553A7D" w:rsidRDefault="00397E13" w:rsidP="00553A7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27D97" w:rsidRDefault="00B27D97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97E13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E13" w:rsidRDefault="00397E13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403F" w:rsidRDefault="0034403F" w:rsidP="00397E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Pr="00397E13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Pr="00397E13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Pr="00397E13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36093" w:rsidRPr="00B4140C" w:rsidRDefault="00154899" w:rsidP="00DB6B1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836093" w:rsidRPr="00B4140C" w:rsidRDefault="00836093" w:rsidP="00DB6B1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36093" w:rsidRPr="00B4140C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36093" w:rsidRPr="00B4140C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36093" w:rsidRPr="00B4140C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36093" w:rsidRDefault="00836093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B1E" w:rsidRDefault="00DB6B1E" w:rsidP="001548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54899" w:rsidRPr="00B4140C" w:rsidRDefault="00154899" w:rsidP="00DB6B1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4140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B579D2" w:rsidRDefault="00B579D2"/>
    <w:sectPr w:rsidR="00B579D2" w:rsidSect="00F94A8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851" w:right="567" w:bottom="85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6167" w:rsidRDefault="00D86167" w:rsidP="00D86167">
      <w:pPr>
        <w:spacing w:after="0" w:line="240" w:lineRule="auto"/>
      </w:pPr>
      <w:r>
        <w:separator/>
      </w:r>
    </w:p>
  </w:endnote>
  <w:endnote w:type="continuationSeparator" w:id="0">
    <w:p w:rsidR="00D86167" w:rsidRDefault="00D86167" w:rsidP="00D86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67" w:rsidRDefault="00D8616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7638195"/>
      <w:docPartObj>
        <w:docPartGallery w:val="Page Numbers (Bottom of Page)"/>
        <w:docPartUnique/>
      </w:docPartObj>
    </w:sdtPr>
    <w:sdtEndPr/>
    <w:sdtContent>
      <w:p w:rsidR="00D86167" w:rsidRDefault="00D8616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A80">
          <w:rPr>
            <w:noProof/>
          </w:rPr>
          <w:t>30</w:t>
        </w:r>
        <w:r>
          <w:fldChar w:fldCharType="end"/>
        </w:r>
      </w:p>
    </w:sdtContent>
  </w:sdt>
  <w:p w:rsidR="00D86167" w:rsidRDefault="00D8616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67" w:rsidRDefault="00D8616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6167" w:rsidRDefault="00D86167" w:rsidP="00D86167">
      <w:pPr>
        <w:spacing w:after="0" w:line="240" w:lineRule="auto"/>
      </w:pPr>
      <w:r>
        <w:separator/>
      </w:r>
    </w:p>
  </w:footnote>
  <w:footnote w:type="continuationSeparator" w:id="0">
    <w:p w:rsidR="00D86167" w:rsidRDefault="00D86167" w:rsidP="00D861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67" w:rsidRDefault="00D8616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67" w:rsidRDefault="00D8616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67" w:rsidRDefault="00D8616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677234"/>
    <w:multiLevelType w:val="hybridMultilevel"/>
    <w:tmpl w:val="00423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4899"/>
    <w:rsid w:val="00154899"/>
    <w:rsid w:val="0020244E"/>
    <w:rsid w:val="00203333"/>
    <w:rsid w:val="002460DF"/>
    <w:rsid w:val="0034403F"/>
    <w:rsid w:val="00385E6F"/>
    <w:rsid w:val="00397E13"/>
    <w:rsid w:val="00553A7D"/>
    <w:rsid w:val="005D727E"/>
    <w:rsid w:val="00605A55"/>
    <w:rsid w:val="006D104F"/>
    <w:rsid w:val="006D6F18"/>
    <w:rsid w:val="00753D8D"/>
    <w:rsid w:val="007A63DC"/>
    <w:rsid w:val="007E303B"/>
    <w:rsid w:val="007F3C52"/>
    <w:rsid w:val="00827F19"/>
    <w:rsid w:val="00836093"/>
    <w:rsid w:val="009515FE"/>
    <w:rsid w:val="00A41675"/>
    <w:rsid w:val="00AE32CC"/>
    <w:rsid w:val="00B27D97"/>
    <w:rsid w:val="00B4140C"/>
    <w:rsid w:val="00B579D2"/>
    <w:rsid w:val="00D86167"/>
    <w:rsid w:val="00DB6B1E"/>
    <w:rsid w:val="00F9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63BE8"/>
  <w15:chartTrackingRefBased/>
  <w15:docId w15:val="{36FB4F72-F34A-473E-B514-6FDE3E3FB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A63DC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397E13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D861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86167"/>
  </w:style>
  <w:style w:type="paragraph" w:styleId="a7">
    <w:name w:val="footer"/>
    <w:basedOn w:val="a"/>
    <w:link w:val="a8"/>
    <w:uiPriority w:val="99"/>
    <w:unhideWhenUsed/>
    <w:rsid w:val="00D861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861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35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stroy.ru/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roiexpert.ru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www.stroymehanika.r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minstroyrf.gov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E681D3-D7D3-44A7-866F-20B578E6A2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36</Pages>
  <Words>6806</Words>
  <Characters>38797</Characters>
  <Application>Microsoft Office Word</Application>
  <DocSecurity>0</DocSecurity>
  <Lines>323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</dc:creator>
  <cp:keywords/>
  <dc:description/>
  <cp:lastModifiedBy>Roma</cp:lastModifiedBy>
  <cp:revision>26</cp:revision>
  <dcterms:created xsi:type="dcterms:W3CDTF">2025-12-14T19:11:00Z</dcterms:created>
  <dcterms:modified xsi:type="dcterms:W3CDTF">2025-12-18T18:21:00Z</dcterms:modified>
</cp:coreProperties>
</file>