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README — назначение папки «FBl-2core»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Назначение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Канонический репозиторий декларативной конфигурации актуальных FBL-хостов и общих Nix-модулей.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Что хранить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hosts/, общие модули, Nix-конфиги, operator-tools, документацию репозитория и настройки, которые должны воспроизводимо применяться на хостах.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Что не хранить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Проектные заметки по железу, общие медиа, сырые выгрузки и исторические хосты как будто они актуальны.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Что сделано 31.08.2026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В docs перенесены «FBl-2core Operator Toolkit» и «HyFetch при SSH». В центральном индексе актуальный Home Fox исправлен на iHF02T-6; iHF02T-4 рассматривается как исторический. Подтверждена необходимость common operator tooling для актуальных хостов.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Правило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Это источник истины для воспроизводимой конфигурации хостов. Проектные папки узлов не должны содержать конкурирующие канонические копии тех же конфигов.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