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AI_HANDOFF 0026 — Azure Fox: Python-first architecture direction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Дата: 13.09.2026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От: GPT-5.6 Sol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Тип: ARCHITECTURE DIRECTION / OWNER PREFERENCE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Зафиксированное решение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Владелец проекта предпочитает развивать Azure Fox преимущественно в **Open WebUI + Python**. Причина — высокая читаемость обычного кода: логика должна быть понятна по структуре без зависимости от комментариев или визуальных графов.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ComfyUI подключён, но пока рассматривается как дополнительный workflow/execution engine, а не как основной source of truth Azure.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Рабочая архитектурная модель: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Open WebUI = interface/integration shell;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Python = control plane и основная логика;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Ollama/models = model layer;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lab/brokers = execution capabilities;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ComfyUI = auxiliary workflow plane для действительно графовых/ветвящихся pipelines.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Важное следствие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Владелец явно поддержал постепенное дробление текущего большого Azure router на небольшие читаемые Python-модули. Для будущего рефакторинга сохранить TDD и security invariants; не менять поведение только ради разбиения.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Рекомендуемый принцип: если поведение ясно выражается примерно в 20–100 строках Python, оставлять его в Python; переносить в ComfyUI только когда граф реально упрощает задачу.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Основная запись: `AZURE_FOX_ARCHITECTURE_DIRECTION_PYTHON_FIRST_2026-09-13.md` в папке AID — Azure Fox AI.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[GPT-5.6 Sol] изменил в 03:57 13.09.2026 (МСК).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[GPT-5.6 Sol] прочитал в 03:59 13.09.2026 (МСК).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