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Cr01 Forge design — stable A1111-style UI beside ComfyUI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APPROVED DESIGN / NOT IMPLEMENTED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12.09.2026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Target host: Cr01MS-32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Canonical workspace: FBL/FBl-2core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Goal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Add Stable Diffusion WebUI Forge as the primary human-facing image-generation UI on Cr01MS-32 while keeping ComfyUI as a completely separate advanced/API service.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Forge deployment must be close to the Automatic1111 workflow, locally hosted, LAN-only, reproducible, suitable for the Cr01 GTX 1650 4 GiB, and must not duplicate model files that can be shared with ComfyUI.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additional application-level NSFW/safety post-processing layer is to be added around Forge. Model capabilities and limitations remain model-dependent.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Selected upstream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the stable upstream repository: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lllyasviel/stable-diffusion-webui-forge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branch is not followed at runtime; FBL must pin an exact Git revision.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approved reference revision at design time: dfdcbab685e57677014f05a3309b48cc87383167 (current main HEAD observed on 12.09.2026; upstream commit date 26.06.2025).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Forge Neo/reForge fork is selected for v1.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Architecture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Cr01 runs Forge and ComfyUI as independent services: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Cr01MS-32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Forge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primary A1111-style UI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separate systemd service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CUDA / low-VRAM oriented configuration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└── LAN-only listener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ComfyUI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separate existing systemd service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advanced workflows / future API integration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 /nix/fbl-hot/models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├── checkpoints/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├── vae/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├── loras/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├── embeddings/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├── controlnet/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└── upscalers/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Forge must not depend on the ComfyUI service and ComfyUI must not depend on Forge. Either service can be restarted or upgraded without changing the other.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Both services may be enabled at the same time, but v1 does not add a GPU arbitration daemon. Because Cr01 has only 4 GiB VRAM, active image generation should be done through one backend at a time.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Model storage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existing FBL model-vault policy remains authoritative: /nix/fbl-hot/models/ is HOT/rebuildable storage on the Cr01 NVMe and is not the only copy for unique/valuable data.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Forge and ComfyUI must consume the same image-model directories instead of keeping separate checkpoint/LoRA/VAE copies. Adapter-specific path mapping or symlinks are acceptable, but the underlying large model file should exist once.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 image model is downloaded automatically as part of the service deployment. The first smoke-test model should be SD1.5-class or another lightweight checkpoint suitable for 4 GiB VRAM.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Service and NixOS ownership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Forge is declarative FBl-2core configuration, not a mutable git-pull application.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Expected ownership: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new modules/services/forge.nix module;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Cr01 host imports the Forge module;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source revision is pinned in declarative configuration;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systemd owns lifecycle and restart behavior;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mutable runtime/state/cache data lives under /nix/fbl-hot/forge/ rather than the root filesystem;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model data remains under /nix/fbl-hot/models/;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startup must not silently move to another Git branch/revision.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exact Nix/Python packaging mechanism may be selected during implementation, but it must preserve the requirements above: pinned source, reproducible configuration, no runtime source self-update, and CUDA access.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Network and port policy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Forge is exposed only on the Cr01 LAN interface in v1. No public Internet exposure and no reverse proxy are added initially.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Port policy follows the existing FBL invariant: assigned numeric ports exist only in modules/registry/ports.nix; service and firewall code consume a semantic config.fbl.ports.* key.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Planned registry entry: forge = 7860.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7860 is currently unassigned in the active registry and matches the conventional A1111/Forge port.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firewall opening must be scoped to the semantic Cr01 LAN interface, analogous to the ComfyUI LAN-only policy.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GPU / low-VRAM policy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Cr01 hardware constraint for this service: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NVIDIA GTX 1650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- 4 GiB VRAM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Turing generation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Forge should start with a conservative low-VRAM configuration appropriate for this GPU. The deployment must avoid assumptions that require large SDXL/FLUX-class VRAM footprints for the initial smoke test.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initial runtime acceptance test is based on an SD1.5-class model. Larger models are optional follow-up work after baseline validation.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Outputs and durability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Forge-generated output is user data, not rebuildable model/cache data. v1 may keep working output in Forge state on the HOT tier for testing, but this location is not a durable archive.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Routing valuable generated images to durable HDD/Nextcloud storage is explicitly a follow-up item; no unique output should be treated as safely archived merely because it exists on /nix/fbl-hot.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Failure behavior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 Forge service failure must not stop ComfyUI or other Cr01 services.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systemd restart policy should be bounded/throttled rather than a tight crash loop.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missing model files must not trigger automatic model downloads.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failure to initialize CUDA must be visible in journalctl -u forge and must not silently fall back to an unexpected remote backend.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Forge must remain LAN-only even when restarting after failure.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Validation / acceptance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Implementation is accepted only after fresh evidence of all of the following: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Static configuration confirms no Forge numeric port literal exists outside the port registry.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Cr01 evaluation/build succeeds for the pinned Forge configuration.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nixos-rebuild dry-activate succeeds before switch.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 After switch, systemctl status forge is healthy and the listener is bound to the intended Cr01 LAN address/semantic port.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5. Forge UI is reachable from the LAN and not intentionally exposed outside the LAN policy.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6. nvidia-smi and Forge logs confirm CUDA/GPU use during a smoke generation.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7. A lightweight SD1.5-class checkpoint can complete one txt2img generation without taking down ComfyUI or the host.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8. Forge and ComfyUI point at the shared model vault instead of maintaining duplicate checkpoint files.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Out of scope for v1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Forge Neo/reForge migration.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Public Internet exposure.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Reverse proxy / SSO.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Automatic model downloading.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GPU arbitration between Forge and ComfyUI.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Open WebUI integration with Forge.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Durable automatic archiving of generated images.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Approved decisions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Stable Forge upstream, not Neo.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Forge is separate from ComfyUI.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Forge is the primary A1111-like human UI; ComfyUI remains advanced/API tooling.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Shared model vault on the Cr01 HOT tier.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LAN-only access initially.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Exact upstream revision is pinned; no moving main at runtime.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No additional application-level NSFW/safety filter is introduced.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