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999999"/>
          <w:sz w:val="18"/>
          <w:szCs w:val="18"/>
        </w:rPr>
        <w:t xml:space="preserve">RESEARCH REPORT</w:t>
      </w:r>
    </w:p>
    <w:p>
      <w:pPr>
        <w:spacing w:after="100"/>
      </w:pPr>
      <w:r>
        <w:rPr>
          <w:rFonts w:ascii="Arial" w:cs="Arial" w:eastAsia="Arial" w:hAnsi="Arial"/>
          <w:b/>
          <w:bCs/>
          <w:color w:val="2E4057"/>
          <w:sz w:val="36"/>
          <w:szCs w:val="36"/>
        </w:rPr>
        <w:t xml:space="preserve">Rep. Eric Swalwell — Legal Fees &amp; Counsel Expenditures</w:t>
      </w:r>
    </w:p>
    <w:p>
      <w:pPr>
        <w:spacing w:after="60"/>
      </w:pPr>
      <w:r>
        <w:rPr>
          <w:rFonts w:ascii="Arial" w:cs="Arial" w:eastAsia="Arial" w:hAnsi="Arial"/>
          <w:b/>
          <w:bCs/>
          <w:color w:val="336699"/>
          <w:sz w:val="24"/>
          <w:szCs w:val="24"/>
        </w:rPr>
        <w:t xml:space="preserve">All Entities: Campaign Committee &amp; House Office</w:t>
      </w:r>
    </w:p>
    <w:p>
      <w:pPr>
        <w:spacing w:after="60"/>
      </w:pPr>
      <w:r>
        <w:rPr>
          <w:rFonts w:ascii="Arial" w:cs="Arial" w:eastAsia="Arial" w:hAnsi="Arial"/>
          <w:color w:val="666666"/>
          <w:sz w:val="18"/>
          <w:szCs w:val="18"/>
        </w:rPr>
        <w:t xml:space="preserve">Report Generated: May 28, 2026</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Source Material</w:t>
      </w:r>
    </w:p>
    <w:p>
      <w:pPr>
        <w:spacing w:after="120"/>
      </w:pPr>
      <w:r>
        <w:rPr>
          <w:rFonts w:ascii="Arial" w:cs="Arial" w:eastAsia="Arial" w:hAnsi="Arial"/>
          <w:sz w:val="20"/>
          <w:szCs w:val="20"/>
        </w:rPr>
        <w:t xml:space="preserve">This report draws exclusively from the following datasets provided as project files:</w:t>
      </w:r>
    </w:p>
    <w:p>
      <w:pPr>
        <w:spacing w:after="60"/>
      </w:pPr>
      <w:r>
        <w:rPr>
          <w:rFonts w:ascii="Arial" w:cs="Arial" w:eastAsia="Arial" w:hAnsi="Arial"/>
          <w:sz w:val="18"/>
          <w:szCs w:val="18"/>
        </w:rPr>
        <w:t xml:space="preserve">1. FEC Schedule B Disbursements — schedule_b20260527T13_57_12.csv (Committee C00502294, "Swalwell for Congress") — full filing history 2012–2025.</w:t>
      </w:r>
    </w:p>
    <w:p>
      <w:pPr>
        <w:spacing w:after="60"/>
      </w:pPr>
      <w:r>
        <w:rPr>
          <w:rFonts w:ascii="Arial" w:cs="Arial" w:eastAsia="Arial" w:hAnsi="Arial"/>
          <w:sz w:val="18"/>
          <w:szCs w:val="18"/>
        </w:rPr>
        <w:t xml:space="preserve">2. House Statement of Disbursements (SOD) Detail Grid files (calendar year 2025):</w:t>
      </w:r>
    </w:p>
    <w:p>
      <w:pPr>
        <w:spacing w:after="40"/>
        <w:ind w:left="720"/>
      </w:pPr>
      <w:r>
        <w:rPr>
          <w:rFonts w:ascii="Arial" w:cs="Arial" w:eastAsia="Arial" w:hAnsi="Arial"/>
          <w:sz w:val="18"/>
          <w:szCs w:val="18"/>
        </w:rPr>
        <w:t xml:space="preserve">• JANUARYMARCH2025SODDETAILGRIDFINAL.csv</w:t>
      </w:r>
    </w:p>
    <w:p>
      <w:pPr>
        <w:spacing w:after="40"/>
        <w:ind w:left="720"/>
      </w:pPr>
      <w:r>
        <w:rPr>
          <w:rFonts w:ascii="Arial" w:cs="Arial" w:eastAsia="Arial" w:hAnsi="Arial"/>
          <w:sz w:val="18"/>
          <w:szCs w:val="18"/>
        </w:rPr>
        <w:t xml:space="preserve">• APRILJUNE_2025_SOD_DETAIL_GRIDFINAL.csv</w:t>
      </w:r>
    </w:p>
    <w:p>
      <w:pPr>
        <w:spacing w:after="40"/>
        <w:ind w:left="720"/>
      </w:pPr>
      <w:r>
        <w:rPr>
          <w:rFonts w:ascii="Arial" w:cs="Arial" w:eastAsia="Arial" w:hAnsi="Arial"/>
          <w:sz w:val="18"/>
          <w:szCs w:val="18"/>
        </w:rPr>
        <w:t xml:space="preserve">• JULYSEPTEMBER_2025_SOD_DETAIL_GRIDFINAL.csv</w:t>
      </w:r>
    </w:p>
    <w:p>
      <w:pPr>
        <w:spacing w:after="120"/>
        <w:ind w:left="720"/>
      </w:pPr>
      <w:r>
        <w:rPr>
          <w:rFonts w:ascii="Arial" w:cs="Arial" w:eastAsia="Arial" w:hAnsi="Arial"/>
          <w:sz w:val="18"/>
          <w:szCs w:val="18"/>
        </w:rPr>
        <w:t xml:space="preserve">• OCTDEC2025SODDETAILGRIDFINAL.csv</w:t>
      </w:r>
    </w:p>
    <w:p>
      <w:pPr>
        <w:spacing w:after="80"/>
      </w:pPr>
      <w:r>
        <w:rPr>
          <w:rFonts w:ascii="Arial" w:cs="Arial" w:eastAsia="Arial" w:hAnsi="Arial"/>
          <w:i/>
          <w:iCs/>
          <w:color w:val="555555"/>
          <w:sz w:val="16"/>
          <w:szCs w:val="16"/>
        </w:rPr>
        <w:t xml:space="preserve">Note: The SOD files cover 2025 only. SOD data for prior years was not included in this project. Campaign finance data (FEC) spans 2012–2025.</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Methodology &amp; Scope</w:t>
      </w:r>
    </w:p>
    <w:p>
      <w:pPr>
        <w:spacing w:after="120"/>
      </w:pPr>
      <w:r>
        <w:rPr>
          <w:rFonts w:ascii="Arial" w:cs="Arial" w:eastAsia="Arial" w:hAnsi="Arial"/>
          <w:sz w:val="20"/>
          <w:szCs w:val="20"/>
        </w:rPr>
        <w:t xml:space="preserve">This analysis identifies all payments made by Swalwell-controlled entities that relate to legal representation, legal advisory services, or individuals in a direct legal advisory role. Specifically:</w:t>
      </w:r>
    </w:p>
    <w:p>
      <w:pPr>
        <w:spacing w:after="60"/>
        <w:ind w:left="360"/>
      </w:pPr>
      <w:r>
        <w:rPr>
          <w:rFonts w:ascii="Arial" w:cs="Arial" w:eastAsia="Arial" w:hAnsi="Arial"/>
          <w:sz w:val="18"/>
          <w:szCs w:val="18"/>
        </w:rPr>
        <w:t xml:space="preserve">Campaign Committee (FEC): Searched all disbursements from committee C00502294 ("Swalwell for Congress") for descriptions or vendor names containing: legal, law, attorney, counsel, llp, pllc, compliance, and related terms. Payments flagged as "lawn signs," labor law posters, or clearly non-legal uses were excluded.</w:t>
      </w:r>
    </w:p>
    <w:p>
      <w:pPr>
        <w:spacing w:after="120"/>
        <w:ind w:left="360"/>
      </w:pPr>
      <w:r>
        <w:rPr>
          <w:rFonts w:ascii="Arial" w:cs="Arial" w:eastAsia="Arial" w:hAnsi="Arial"/>
          <w:sz w:val="18"/>
          <w:szCs w:val="18"/>
        </w:rPr>
        <w:t xml:space="preserve">House Office (SOD): Searched all transactions linked to Swalwell's office ("SWALWELL" in the ORGANIZATION field) for staff titles containing "counsel" and vendor names matching law firms.</w:t>
      </w:r>
    </w:p>
    <w:p>
      <w:pPr>
        <w:spacing w:after="120"/>
      </w:pPr>
      <w:r>
        <w:rPr>
          <w:rFonts w:ascii="Arial" w:cs="Arial" w:eastAsia="Arial" w:hAnsi="Arial"/>
          <w:b/>
          <w:bCs/>
          <w:sz w:val="20"/>
          <w:szCs w:val="20"/>
        </w:rPr>
        <w:t xml:space="preserve">Items excluded from this report as non-legal-fee payments:</w:t>
      </w:r>
    </w:p>
    <w:p>
      <w:pPr>
        <w:spacing w:after="40"/>
        <w:ind w:left="360"/>
      </w:pPr>
      <w:r>
        <w:rPr>
          <w:rFonts w:ascii="Arial" w:cs="Arial" w:eastAsia="Arial" w:hAnsi="Arial"/>
          <w:sz w:val="18"/>
          <w:szCs w:val="18"/>
        </w:rPr>
        <w:t xml:space="preserve">• Political contributions to DA candidates (Terry Wiley, Nancy O'Malley) — these are campaign contributions, not legal fees.</w:t>
      </w:r>
    </w:p>
    <w:p>
      <w:pPr>
        <w:spacing w:after="40"/>
        <w:ind w:left="360"/>
      </w:pPr>
      <w:r>
        <w:rPr>
          <w:rFonts w:ascii="Arial" w:cs="Arial" w:eastAsia="Arial" w:hAnsi="Arial"/>
          <w:sz w:val="18"/>
          <w:szCs w:val="18"/>
        </w:rPr>
        <w:t xml:space="preserve">• Contribution refunds (Hanson Bridgett, Litigation Services LLC) — these represent refunds received by the committee, not payments for legal services.</w:t>
      </w:r>
    </w:p>
    <w:p>
      <w:pPr>
        <w:spacing w:after="40"/>
        <w:ind w:left="360"/>
      </w:pPr>
      <w:r>
        <w:rPr>
          <w:rFonts w:ascii="Arial" w:cs="Arial" w:eastAsia="Arial" w:hAnsi="Arial"/>
          <w:sz w:val="18"/>
          <w:szCs w:val="18"/>
        </w:rPr>
        <w:t xml:space="preserve">• A $1,818 Coblentz Patch Duffy &amp; Bass payment marked "check never cashed; services not provided" (2023-08-22) — this negative entry is netted into the Coblentz total.</w:t>
      </w:r>
    </w:p>
    <w:p>
      <w:pPr>
        <w:spacing w:after="120"/>
        <w:ind w:left="360"/>
      </w:pPr>
      <w:r>
        <w:rPr>
          <w:rFonts w:ascii="Arial" w:cs="Arial" w:eastAsia="Arial" w:hAnsi="Arial"/>
          <w:sz w:val="18"/>
          <w:szCs w:val="18"/>
        </w:rPr>
        <w:t xml:space="preserve">• Wendel Rosen Black &amp; Dean LLP payment ($612, 2015) — described as a facility fee, not legal services.</w:t>
      </w:r>
    </w:p>
    <w:p>
      <w:pPr>
        <w:spacing w:after="80"/>
      </w:pPr>
      <w:r>
        <w:rPr>
          <w:rFonts w:ascii="Arial" w:cs="Arial" w:eastAsia="Arial" w:hAnsi="Arial"/>
          <w:i/>
          <w:iCs/>
          <w:color w:val="555555"/>
          <w:sz w:val="16"/>
          <w:szCs w:val="16"/>
        </w:rPr>
        <w:t xml:space="preserve">Burns, Whitney is included as a legal/compliance advisory individual. Per FEC records, payments are described as "Financial Compliance" — a regulatory advisory function with a direct legal advisory character under FEC/campaign finance law. Whitney Burns operated as an independent compliance contractor, not a law firm, but the function is substantively legal in nature.</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Section 1: Campaign Committee Legal &amp; Compliance Expenditures</w:t>
      </w:r>
    </w:p>
    <w:p>
      <w:pPr>
        <w:spacing w:after="120"/>
      </w:pPr>
      <w:r>
        <w:rPr>
          <w:rFonts w:ascii="Arial" w:cs="Arial" w:eastAsia="Arial" w:hAnsi="Arial"/>
          <w:b/>
          <w:bCs/>
          <w:sz w:val="20"/>
          <w:szCs w:val="20"/>
        </w:rPr>
        <w:t xml:space="preserve">Entity: Swalwell for Congress | FEC Committee ID: C00502294</w:t>
      </w:r>
    </w:p>
    <w:p>
      <w:pPr>
        <w:spacing w:after="120"/>
      </w:pPr>
      <w:r>
        <w:rPr>
          <w:rFonts w:ascii="Arial" w:cs="Arial" w:eastAsia="Arial" w:hAnsi="Arial"/>
          <w:sz w:val="20"/>
          <w:szCs w:val="20"/>
        </w:rPr>
        <w:t xml:space="preserve">Source: FEC Schedule B Disbursement filings (schedule_b20260527T13_57_12.csv)</w:t>
      </w:r>
    </w:p>
    <w:p>
      <w:pPr>
        <w:spacing w:after="120"/>
      </w:pPr>
      <w:r>
        <w:rPr>
          <w:rFonts w:ascii="Arial" w:cs="Arial" w:eastAsia="Arial" w:hAnsi="Arial"/>
          <w:sz w:val="20"/>
          <w:szCs w:val="20"/>
        </w:rPr>
        <w:t xml:space="preserve">Coverage: 2012–2025 (full filing history in dataset)</w:t>
      </w:r>
    </w:p>
    <w:p>
      <w:pPr>
        <w:spacing w:after="20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000"/>
        <w:gridCol w:w="2160"/>
        <w:gridCol w:w="1100"/>
      </w:tblGrid>
      <w:tr>
        <w:tc>
          <w:tcPr>
            <w:tcW w:type="dxa" w:w="32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Vendor / Individual</w:t>
            </w:r>
          </w:p>
        </w:tc>
        <w:tc>
          <w:tcPr>
            <w:tcW w:type="dxa" w:w="14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Years Active</w:t>
            </w:r>
          </w:p>
        </w:tc>
        <w:tc>
          <w:tcPr>
            <w:tcW w:type="dxa" w:w="216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 Paid</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Coblentz Patch Duffy &amp; Bass LLP</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2016–2023</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 (general counsel/campaign legal)</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$305,118.34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Burns, Whitney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Individual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2012–2021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Financial compliance (regulatory/FEC compliance advisory)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$148,011.25</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Greenberg Traurig LLP</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2023–2025</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&amp; accounting services</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$125,374.98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Miller &amp; Olson, LLP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2015–2023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 / legal &amp; accounting services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$55,618.36</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Sutton Law Firm</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2015–2020</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$32,190.39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Greenberg Traurig (alt. name entry)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&amp; accounting services (same firm, alternate FEC name)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$15,298.61</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Q Street Compliance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Compliance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2023</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FEC compliance and disclosure reporting</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$1,856.40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Kerr &amp; Wagstaffe LLP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$2,248.00</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Sandler, Reiff, Lamb, Rosenstein &amp; Birkenstock, P.C.</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2015</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$367.50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The Tucker Group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Legal/Compliance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Legal services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$407.50</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Wendel Rosen Black &amp; Dean LLP</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2015</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Facility fee (legal firm venue)</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$612.00</w:t>
            </w:r>
          </w:p>
        </w:tc>
      </w:tr>
      <w:tr>
        <w:tc>
          <w:tcPr>
            <w:tcW w:type="dxa" w:w="7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bCs/>
                <w:sz w:val="18"/>
                <w:szCs w:val="18"/>
              </w:rPr>
              <w:t xml:space="preserve">SUBTOTAL — Campaign Committee (C00502294)</w:t>
            </w:r>
          </w:p>
        </w:tc>
        <w:tc>
          <w:tcPr>
            <w:tcW w:type="dxa" w:w="1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right"/>
            </w:pPr>
            <w:r>
              <w:rPr>
                <w:rFonts w:ascii="Arial" w:cs="Arial" w:eastAsia="Arial" w:hAnsi="Arial"/>
                <w:b/>
                <w:bCs/>
                <w:sz w:val="18"/>
                <w:szCs w:val="18"/>
              </w:rPr>
              <w:t xml:space="preserve">$687,103.33</w:t>
            </w:r>
          </w:p>
        </w:tc>
      </w:tr>
    </w:tbl>
    <w:p>
      <w:pPr>
        <w:spacing w:after="120"/>
      </w:pPr>
    </w:p>
    <w:p>
      <w:pPr>
        <w:spacing w:after="80"/>
      </w:pPr>
      <w:r>
        <w:rPr>
          <w:rFonts w:ascii="Arial" w:cs="Arial" w:eastAsia="Arial" w:hAnsi="Arial"/>
          <w:i/>
          <w:iCs/>
          <w:color w:val="555555"/>
          <w:sz w:val="16"/>
          <w:szCs w:val="16"/>
        </w:rPr>
        <w:t xml:space="preserve">* Greenberg Traurig LLP and Greenberg Traurig appear as two distinct name entries in the FEC data but represent the same firm. They are listed separately above to reflect the FEC record as filed; combined total = $140,673.59.</w:t>
      </w:r>
    </w:p>
    <w:p>
      <w:pPr>
        <w:spacing w:after="80"/>
      </w:pPr>
      <w:r>
        <w:rPr>
          <w:rFonts w:ascii="Arial" w:cs="Arial" w:eastAsia="Arial" w:hAnsi="Arial"/>
          <w:i/>
          <w:iCs/>
          <w:color w:val="555555"/>
          <w:sz w:val="16"/>
          <w:szCs w:val="16"/>
        </w:rPr>
        <w:t xml:space="preserve">* The Coblentz Patch Duffy &amp; Bass LLP total of $305,118.34 is net of the $1,818 voided payment.</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Section 2: House Office — Member's Representational Allowance (MRA)</w:t>
      </w:r>
    </w:p>
    <w:p>
      <w:pPr>
        <w:spacing w:after="120"/>
      </w:pPr>
      <w:r>
        <w:rPr>
          <w:rFonts w:ascii="Arial" w:cs="Arial" w:eastAsia="Arial" w:hAnsi="Arial"/>
          <w:b/>
          <w:bCs/>
          <w:sz w:val="20"/>
          <w:szCs w:val="20"/>
        </w:rPr>
        <w:t xml:space="preserve">Entity: Office of Rep. Eric Swalwell | Source: House Statement of Disbursements (SOD) 2025</w:t>
      </w:r>
    </w:p>
    <w:p>
      <w:pPr>
        <w:spacing w:after="120"/>
      </w:pPr>
      <w:r>
        <w:rPr>
          <w:rFonts w:ascii="Arial" w:cs="Arial" w:eastAsia="Arial" w:hAnsi="Arial"/>
          <w:sz w:val="20"/>
          <w:szCs w:val="20"/>
        </w:rPr>
        <w:t xml:space="preserve">Coverage: January 2025 – December 2025 ONLY (no prior-year SOD data in project files)</w:t>
      </w:r>
    </w:p>
    <w:p>
      <w:pPr>
        <w:spacing w:after="20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000"/>
        <w:gridCol w:w="2160"/>
        <w:gridCol w:w="1100"/>
      </w:tblGrid>
      <w:tr>
        <w:tc>
          <w:tcPr>
            <w:tcW w:type="dxa" w:w="32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Vendor / Individual</w:t>
            </w:r>
          </w:p>
        </w:tc>
        <w:tc>
          <w:tcPr>
            <w:tcW w:type="dxa" w:w="14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16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 Paid</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DeLauro, Mallory 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Staff (Sr. Advisor &amp; Counsel)</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Jan–Dec 2025</w:t>
            </w:r>
          </w:p>
        </w:tc>
        <w:tc>
          <w:tcPr>
            <w:tcW w:type="dxa" w:w="2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Full-year salary + other comp; title is Sr. Advisor &amp; Counsel</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$157,741.69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Ballard Spahr LLP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Law Firm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Jan 2025, Dec 2025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Non-technology service contract (legal)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$4,902.00</w:t>
            </w:r>
          </w:p>
        </w:tc>
      </w:tr>
      <w:tr>
        <w:tc>
          <w:tcPr>
            <w:tcW w:type="dxa" w:w="7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bCs/>
                <w:sz w:val="18"/>
                <w:szCs w:val="18"/>
              </w:rPr>
              <w:t xml:space="preserve">SUBTOTAL — House Office (MRA, 2025 only)</w:t>
            </w:r>
          </w:p>
        </w:tc>
        <w:tc>
          <w:tcPr>
            <w:tcW w:type="dxa" w:w="1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right"/>
            </w:pPr>
            <w:r>
              <w:rPr>
                <w:rFonts w:ascii="Arial" w:cs="Arial" w:eastAsia="Arial" w:hAnsi="Arial"/>
                <w:b/>
                <w:bCs/>
                <w:sz w:val="18"/>
                <w:szCs w:val="18"/>
              </w:rPr>
              <w:t xml:space="preserve">$162,643.69</w:t>
            </w:r>
          </w:p>
        </w:tc>
      </w:tr>
    </w:tbl>
    <w:p>
      <w:pPr>
        <w:spacing w:after="120"/>
      </w:pPr>
    </w:p>
    <w:p>
      <w:pPr>
        <w:spacing w:after="80"/>
      </w:pPr>
      <w:r>
        <w:rPr>
          <w:rFonts w:ascii="Arial" w:cs="Arial" w:eastAsia="Arial" w:hAnsi="Arial"/>
          <w:i/>
          <w:iCs/>
          <w:color w:val="555555"/>
          <w:sz w:val="16"/>
          <w:szCs w:val="16"/>
        </w:rPr>
        <w:t xml:space="preserve">DeLauro, Mallory E. holds the title "Sr. Advisor &amp; Counsel" in the SOD data. As a House staff member in an in-house counsel role, compensation is paid from the Member's Representational Allowance (MRA). Total includes base salary payments across all four 2025 quarters plus two "Other Compensation" disbursements.</w:t>
      </w:r>
    </w:p>
    <w:p>
      <w:pPr>
        <w:spacing w:after="80"/>
      </w:pPr>
      <w:r>
        <w:rPr>
          <w:rFonts w:ascii="Arial" w:cs="Arial" w:eastAsia="Arial" w:hAnsi="Arial"/>
          <w:i/>
          <w:iCs/>
          <w:color w:val="555555"/>
          <w:sz w:val="16"/>
          <w:szCs w:val="16"/>
        </w:rPr>
        <w:t xml:space="preserve">Ballard Spahr LLP payments appear in the SOD as "Non-Technology Service Contracts" — consistent with outside legal counsel retained by the office.</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Combined Summary — All Entities</w:t>
      </w:r>
    </w:p>
    <w:p>
      <w:pPr>
        <w:spacing w:after="20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760"/>
        <w:gridCol w:w="1100"/>
      </w:tblGrid>
      <w:tr>
        <w:tc>
          <w:tcPr>
            <w:tcW w:type="dxa" w:w="776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100"/>
            <w:tcBorders>
              <w:top w:val="single" w:color="336699" w:sz="1"/>
              <w:left w:val="single" w:color="336699" w:sz="1"/>
              <w:bottom w:val="single" w:color="336699" w:sz="1"/>
              <w:right w:val="single" w:color="3366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7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Swalwell for Congress — Campaign Committee (C00502294), FEC Schedule B, 2012–2025</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$687,103.33</w:t>
            </w:r>
          </w:p>
        </w:tc>
      </w:tr>
      <w:tr>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8"/>
                <w:szCs w:val="18"/>
              </w:rPr>
              <w:t xml:space="preserve">House Office — MRA, SOD Data (2025 only)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b w:val="false"/>
                <w:bCs w:val="false"/>
                <w:sz w:val="18"/>
                <w:szCs w:val="18"/>
              </w:rPr>
              <w:t xml:space="preserve">$162,643.69</w:t>
            </w:r>
          </w:p>
        </w:tc>
      </w:tr>
      <w:tr>
        <w:tc>
          <w:tcPr>
            <w:tcW w:type="dxa" w:w="77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left"/>
            </w:pPr>
            <w:r>
              <w:rPr>
                <w:rFonts w:ascii="Arial" w:cs="Arial" w:eastAsia="Arial" w:hAnsi="Arial"/>
                <w:b/>
                <w:bCs/>
                <w:sz w:val="18"/>
                <w:szCs w:val="18"/>
              </w:rPr>
              <w:t xml:space="preserve">GRAND TOTAL — ALL ENTITIES (Campaign + Office, all years in dataset)</w:t>
            </w:r>
          </w:p>
        </w:tc>
        <w:tc>
          <w:tcPr>
            <w:tcW w:type="dxa" w:w="1100"/>
            <w:tcBorders>
              <w:top w:val="single" w:color="336699" w:sz="1"/>
              <w:left w:val="single" w:color="336699" w:sz="1"/>
              <w:bottom w:val="single" w:color="336699" w:sz="1"/>
              <w:right w:val="single" w:color="336699" w:sz="1"/>
            </w:tcBorders>
            <w:shd w:fill="2E4057"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$849,747.02</w:t>
            </w:r>
          </w:p>
        </w:tc>
      </w:tr>
    </w:tbl>
    <w:p>
      <w:pPr>
        <w:spacing w:after="200"/>
      </w:pPr>
    </w:p>
    <w:p>
      <w:pPr>
        <w:spacing w:after="80"/>
      </w:pPr>
      <w:r>
        <w:rPr>
          <w:rFonts w:ascii="Arial" w:cs="Arial" w:eastAsia="Arial" w:hAnsi="Arial"/>
          <w:i/>
          <w:iCs/>
          <w:color w:val="555555"/>
          <w:sz w:val="16"/>
          <w:szCs w:val="16"/>
        </w:rPr>
        <w:t xml:space="preserve">Important caveat: The House office total reflects 2025 only. The SOD dataset does not include prior years. Swalwell's office legal expenditures for 2013–2024 are not captured in this report's MRA section. The campaign committee figure covers the full dataset range (2012–2025).</w:t>
      </w:r>
    </w:p>
    <w:p>
      <w:pPr>
        <w:pBdr>
          <w:bottom w:val="single" w:color="336699" w:sz="4" w:space="1"/>
        </w:pBdr>
        <w:spacing w:after="200" w:before="200"/>
      </w:pPr>
    </w:p>
    <w:p>
      <w:pPr>
        <w:pStyle w:val="Heading1"/>
      </w:pPr>
      <w:r>
        <w:rPr>
          <w:rFonts w:ascii="Arial" w:cs="Arial" w:eastAsia="Arial" w:hAnsi="Arial"/>
          <w:b/>
          <w:bCs/>
          <w:color w:val="2E4057"/>
          <w:sz w:val="28"/>
          <w:szCs w:val="28"/>
        </w:rPr>
        <w:t xml:space="preserve">Vendor Detail Notes</w:t>
      </w:r>
    </w:p>
    <w:p>
      <w:pPr>
        <w:pStyle w:val="Heading2"/>
      </w:pPr>
      <w:r>
        <w:rPr>
          <w:rFonts w:ascii="Arial" w:cs="Arial" w:eastAsia="Arial" w:hAnsi="Arial"/>
          <w:b/>
          <w:bCs/>
          <w:color w:val="336699"/>
          <w:sz w:val="24"/>
          <w:szCs w:val="24"/>
        </w:rPr>
        <w:t xml:space="preserve">Law Firms (Campaign Committee)</w:t>
      </w:r>
    </w:p>
    <w:p>
      <w:pPr>
        <w:spacing w:after="120"/>
      </w:pPr>
      <w:r>
        <w:rPr>
          <w:rFonts w:ascii="Arial" w:cs="Arial" w:eastAsia="Arial" w:hAnsi="Arial"/>
          <w:sz w:val="20"/>
          <w:szCs w:val="20"/>
        </w:rPr>
        <w:t xml:space="preserve">Coblentz Patch Duffy &amp; Bass LLP — The largest single law firm recipient across the campaign data. Payments span 2016–2023 with a concentration of high-value payments in 2017–2021, including a $35,623 payment in October 2019 and a $29,065 payment in May 2021. Coblentz is a San Francisco-based firm and handled what appears to be ongoing campaign legal counsel.</w:t>
      </w:r>
    </w:p>
    <w:p>
      <w:pPr>
        <w:spacing w:after="120"/>
      </w:pPr>
      <w:r>
        <w:rPr>
          <w:rFonts w:ascii="Arial" w:cs="Arial" w:eastAsia="Arial" w:hAnsi="Arial"/>
          <w:sz w:val="20"/>
          <w:szCs w:val="20"/>
        </w:rPr>
        <w:t xml:space="preserve">Greenberg Traurig LLP — Replaced Coblentz as primary campaign legal counsel beginning late 2023. Consistent monthly payments of approximately $5,000–$14,000 from October 2023 through at least December 2025 (end of dataset). Appears in FEC records under two name variants ("GREENBERGTRAURIG LLP" and "GREENBERG TRAURIG"); combined total $140,673.59.</w:t>
      </w:r>
    </w:p>
    <w:p>
      <w:pPr>
        <w:spacing w:after="120"/>
      </w:pPr>
      <w:r>
        <w:rPr>
          <w:rFonts w:ascii="Arial" w:cs="Arial" w:eastAsia="Arial" w:hAnsi="Arial"/>
          <w:sz w:val="20"/>
          <w:szCs w:val="20"/>
        </w:rPr>
        <w:t xml:space="preserve">Miller &amp; Olson, LLP — A recurring secondary law firm across 2015–2023. Described variously as legal services and legal &amp; accounting services. Highest single payment $7,065 (March 2023).</w:t>
      </w:r>
    </w:p>
    <w:p>
      <w:pPr>
        <w:spacing w:after="120"/>
      </w:pPr>
      <w:r>
        <w:rPr>
          <w:rFonts w:ascii="Arial" w:cs="Arial" w:eastAsia="Arial" w:hAnsi="Arial"/>
          <w:sz w:val="20"/>
          <w:szCs w:val="20"/>
        </w:rPr>
        <w:t xml:space="preserve">Sutton Law Firm — Active primarily 2015–2016, with a concentration of payments including $10,488 (April 2016) and $9,154 (January 2016). One additional payment in 2020 ($1,864).</w:t>
      </w:r>
    </w:p>
    <w:p>
      <w:pPr>
        <w:spacing w:after="120"/>
      </w:pPr>
      <w:r>
        <w:rPr>
          <w:rFonts w:ascii="Arial" w:cs="Arial" w:eastAsia="Arial" w:hAnsi="Arial"/>
          <w:sz w:val="20"/>
          <w:szCs w:val="20"/>
        </w:rPr>
        <w:t xml:space="preserve">Kerr &amp; Wagstaffe LLP — Single payment ($2,248) in June 2012 at the outset of Swalwell's first campaign.</w:t>
      </w:r>
    </w:p>
    <w:p>
      <w:pPr>
        <w:spacing w:after="120"/>
      </w:pPr>
      <w:r>
        <w:rPr>
          <w:rFonts w:ascii="Arial" w:cs="Arial" w:eastAsia="Arial" w:hAnsi="Arial"/>
          <w:sz w:val="20"/>
          <w:szCs w:val="20"/>
        </w:rPr>
        <w:t xml:space="preserve">Sandler, Reiff, Lamb, Rosenstein &amp; Birkenstock, P.C. — Single payment ($367.50) in August 2015.</w:t>
      </w:r>
    </w:p>
    <w:p>
      <w:pPr>
        <w:spacing w:after="120"/>
      </w:pPr>
      <w:r>
        <w:rPr>
          <w:rFonts w:ascii="Arial" w:cs="Arial" w:eastAsia="Arial" w:hAnsi="Arial"/>
          <w:sz w:val="20"/>
          <w:szCs w:val="20"/>
        </w:rPr>
        <w:t xml:space="preserve">The Tucker Group — Single payment ($407.50) in September 2016 described as legal services.</w:t>
      </w:r>
    </w:p>
    <w:p>
      <w:pPr>
        <w:spacing w:after="120"/>
      </w:pPr>
      <w:r>
        <w:rPr>
          <w:rFonts w:ascii="Arial" w:cs="Arial" w:eastAsia="Arial" w:hAnsi="Arial"/>
          <w:sz w:val="20"/>
          <w:szCs w:val="20"/>
        </w:rPr>
        <w:t xml:space="preserve">Q Street Compliance — Single payment ($1,856.40) in May 2023 for FEC compliance and disclosure reporting.</w:t>
      </w:r>
    </w:p>
    <w:p>
      <w:pPr>
        <w:spacing w:after="120"/>
      </w:pPr>
    </w:p>
    <w:p>
      <w:pPr>
        <w:pStyle w:val="Heading2"/>
      </w:pPr>
      <w:r>
        <w:rPr>
          <w:rFonts w:ascii="Arial" w:cs="Arial" w:eastAsia="Arial" w:hAnsi="Arial"/>
          <w:b/>
          <w:bCs/>
          <w:color w:val="336699"/>
          <w:sz w:val="24"/>
          <w:szCs w:val="24"/>
        </w:rPr>
        <w:t xml:space="preserve">Individuals in Legal/Compliance Roles (Campaign Committee)</w:t>
      </w:r>
    </w:p>
    <w:p>
      <w:pPr>
        <w:spacing w:after="120"/>
      </w:pPr>
      <w:r>
        <w:rPr>
          <w:rFonts w:ascii="Arial" w:cs="Arial" w:eastAsia="Arial" w:hAnsi="Arial"/>
          <w:sz w:val="20"/>
          <w:szCs w:val="20"/>
        </w:rPr>
        <w:t xml:space="preserve">Burns, Whitney — The largest individual recipient of legal/compliance payments across the campaign committee. Described uniformly as "Financial Compliance" across 2012–2021. Whitney Burns functioned as an independent FEC compliance contractor, advising on regulatory obligations and disclosure. This is a substantively legal advisory function under federal campaign finance law. Total payments: $148,011.25 over nine years.</w:t>
      </w:r>
    </w:p>
    <w:p>
      <w:pPr>
        <w:spacing w:after="120"/>
      </w:pPr>
    </w:p>
    <w:p>
      <w:pPr>
        <w:pStyle w:val="Heading2"/>
      </w:pPr>
      <w:r>
        <w:rPr>
          <w:rFonts w:ascii="Arial" w:cs="Arial" w:eastAsia="Arial" w:hAnsi="Arial"/>
          <w:b/>
          <w:bCs/>
          <w:color w:val="336699"/>
          <w:sz w:val="24"/>
          <w:szCs w:val="24"/>
        </w:rPr>
        <w:t xml:space="preserve">House Office Staff (Legal Title)</w:t>
      </w:r>
    </w:p>
    <w:p>
      <w:pPr>
        <w:spacing w:after="120"/>
      </w:pPr>
      <w:r>
        <w:rPr>
          <w:rFonts w:ascii="Arial" w:cs="Arial" w:eastAsia="Arial" w:hAnsi="Arial"/>
          <w:sz w:val="20"/>
          <w:szCs w:val="20"/>
        </w:rPr>
        <w:t xml:space="preserve">DeLauro, Mallory E. — Listed as "Sr. Advisor &amp; Counsel" in the House SOD. This is an in-house legal advisory role paid directly from Swalwell's MRA. Received $157,741.69 in 2025 alone, including two "Other Compensation" disbursements ($9,675 in Q1; $10,733 in Q4). Full year salary rate approximately $103,000–$140,000 annualized based on quarterly disbursements.</w:t>
      </w:r>
    </w:p>
    <w:p>
      <w:pPr>
        <w:spacing w:after="120"/>
      </w:pPr>
      <w:r>
        <w:rPr>
          <w:rFonts w:ascii="Arial" w:cs="Arial" w:eastAsia="Arial" w:hAnsi="Arial"/>
          <w:sz w:val="20"/>
          <w:szCs w:val="20"/>
        </w:rPr>
        <w:t xml:space="preserve">Ballard Spahr LLP — Retained by the House office as outside legal counsel (non-technology service contract). Two payments in 2025 totaling $4,902.</w:t>
      </w:r>
    </w:p>
    <w:p>
      <w:pPr>
        <w:pBdr>
          <w:bottom w:val="single" w:color="336699" w:sz="4" w:space="1"/>
        </w:pBdr>
        <w:spacing w:after="200" w:before="200"/>
      </w:pPr>
    </w:p>
    <w:p>
      <w:pPr>
        <w:spacing w:after="60"/>
      </w:pPr>
      <w:r>
        <w:rPr>
          <w:rFonts w:ascii="Arial" w:cs="Arial" w:eastAsia="Arial" w:hAnsi="Arial"/>
          <w:b/>
          <w:bCs/>
          <w:color w:val="CC0000"/>
          <w:sz w:val="16"/>
          <w:szCs w:val="16"/>
        </w:rPr>
        <w:t xml:space="preserve">DISCLAIMER</w:t>
      </w:r>
    </w:p>
    <w:p>
      <w:pPr>
        <w:spacing w:after="80"/>
      </w:pPr>
      <w:r>
        <w:rPr>
          <w:rFonts w:ascii="Arial" w:cs="Arial" w:eastAsia="Arial" w:hAnsi="Arial"/>
          <w:i/>
          <w:iCs/>
          <w:color w:val="555555"/>
          <w:sz w:val="16"/>
          <w:szCs w:val="16"/>
        </w:rPr>
        <w:t xml:space="preserve">This report is based solely on publicly available government disclosure data. All figures are drawn directly from FEC filings and House Statement of Disbursements records. This report does not make legal conclusions about the appropriateness, necessity, or purpose of any expenditure. Classification of items as "legal" is based on vendor descriptions, disbursement descriptions, and staff titles as they appear in the source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66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2026-05-28T20:08:47.325Z</dcterms:created>
  <dcterms:modified xsi:type="dcterms:W3CDTF">2026-05-28T20:08:47.327Z</dcterms:modified>
</cp:coreProperties>
</file>

<file path=docProps/custom.xml><?xml version="1.0" encoding="utf-8"?>
<Properties xmlns="http://schemas.openxmlformats.org/officeDocument/2006/custom-properties" xmlns:vt="http://schemas.openxmlformats.org/officeDocument/2006/docPropsVTypes"/>
</file>