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color w:val="262626"/>
          <w:sz w:val="46"/>
          <w:szCs w:val="46"/>
        </w:rPr>
      </w:pPr>
      <w:bookmarkStart w:colFirst="0" w:colLast="0" w:name="_bunvsiqb0xk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46"/>
          <w:szCs w:val="46"/>
          <w:rtl w:val="0"/>
        </w:rPr>
        <w:t xml:space="preserve">IXD Studio 1 - IXD-5105-0NA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color w:val="262626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46"/>
          <w:szCs w:val="46"/>
          <w:rtl w:val="0"/>
        </w:rPr>
        <w:t xml:space="preserve">Research: Prep for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color w:val="262626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u w:val="single"/>
          <w:rtl w:val="0"/>
        </w:rPr>
        <w:t xml:space="preserve">Team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Phurten Jang Sherpa</w:t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Pengcheng li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Ripal Patel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Sarah Ojo</w:t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What 2–3 themes seem most pressing or interesting?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Companionship &amp; Emotional Support: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Voice assistants can reduce loneliness and social isolation by providing conversation and a sense of being heard. Authenticity is crucial; if AI overpromises empathy, users may feel frustrated.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Daily Assistance &amp; Health Management: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Tools provide reminders for medications, appointments, and daily routines, supporting independence and easing the caregiver's workload.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Accessibility &amp; Ease of Use: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Simple, intuitive interfaces accommodate low digital literacy, hearing or vision limitations, and cognitive differences, which increases adoption and reduces user frustration.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Which stakeholders are most affected by these issues?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Older adults/seniors: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They directly experience loneliness, need help with daily tasks, and benefit from easy-to-use technology.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Caregivers/family members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They rely on AI to support seniors’ health and daily routines.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Healthcare providers: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Their workload and patient outcomes are impacted by seniors’ use of supportive technology.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Technology designers/developers: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They must create accessible, engaging, and safe AI solutions for these users.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Governments/Organizations: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They influence policies, funding, and standards that affect how these AI tools are used and adopted.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26262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32"/>
          <w:szCs w:val="32"/>
          <w:rtl w:val="0"/>
        </w:rPr>
        <w:t xml:space="preserve">What gaps or tensions appear in the research?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Cognitive Decline &amp; Dementia: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Many studies exclude users with memory issues; AI may need adaptations for different cognitive abilities.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Emotional &amp; Mental Health: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Research focuses on loneliness but less on depression or anxiety; reliance on AI for companionship could mask deeper mental health needs.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Cultural &amp; Language Differences: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Accents, languages, and cultural communication styles are often overlooked, potentially reducing usability and comfort.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Technical Reliability &amp; Safety: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Misunderstandings or missed reminders could create risks; backup measures are needed.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Cost &amp; Long-Term Use: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Limited attention to subscription fees or maintenance may affect sustained adoption.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Top Resources:</w:t>
      </w:r>
    </w:p>
    <w:p w:rsidR="00000000" w:rsidDel="00000000" w:rsidP="00000000" w:rsidRDefault="00000000" w:rsidRPr="00000000" w14:paraId="0000003D">
      <w:pPr>
        <w:spacing w:after="240" w:before="240" w:line="36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Cai, X., Zhou, H., Zhang, B., Wang, D., Chen, C., &amp; Bao, X. (2024). Factors influencing older adults’ acceptance of voice assistants. Frontiers in Psychology, 15, Article 1376207.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https://www.frontiersin.org/journals/psychology/articles/10.3389/fpsyg.2024.1376207/full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360" w:lineRule="auto"/>
        <w:ind w:left="720" w:hanging="720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Elli Cares.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Senior support and memory app for independent living.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https://www.elliapp.co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360" w:lineRule="auto"/>
        <w:ind w:left="720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Kim, S. (2021). Exploring how older adults use a smart speaker–based voice assistant in their first interactions: Qualitative study. JMIR mHealth and uHealth, 9(1), e20427.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https://doi.org/10.2196/20427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36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Liu, M., Wang, C., &amp; Hu, J. (2023).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Older adults’ intention to use voice assistants: Usability and emotional needs.Heliyon, 9(11), Article e21932.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https://doi.org/10.1016/j.heliyon.2023.e21932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36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Pak, R. (2018). Aging, technology and health (R. Pak &amp; A. McLaughlin, Eds.; 1st edition). Academic.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https://humber.primo.exlibrisgroup.com/permalink/01OCLS_HUMB/sqmqmu/alma991001589469507314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36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Virtual Home Assistant Use and Perceptions of Usefulness by Older Adults and Support Person Dyads. (2021).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International Journal of Environmental Research and Public Health, 18(3), 1113.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https://doi.org/10.3390/ijerph18031113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36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36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36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36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Group 3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i.org/10.3390/ijerph18031113" TargetMode="External"/><Relationship Id="rId10" Type="http://schemas.openxmlformats.org/officeDocument/2006/relationships/hyperlink" Target="https://humber.primo.exlibrisgroup.com/permalink/01OCLS_HUMB/sqmqmu/alma991001589469507314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1016/j.heliyon.2023.e21932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frontiersin.org/journals/psychology/articles/10.3389/fpsyg.2024.1376207/full" TargetMode="External"/><Relationship Id="rId7" Type="http://schemas.openxmlformats.org/officeDocument/2006/relationships/hyperlink" Target="https://www.elliapp.co/" TargetMode="External"/><Relationship Id="rId8" Type="http://schemas.openxmlformats.org/officeDocument/2006/relationships/hyperlink" Target="https://doi.org/10.2196/204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