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69E8" w14:textId="1795C33D" w:rsidR="00D6315F" w:rsidRDefault="006C3BF2" w:rsidP="00DD5B37">
      <w:pPr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EE631A">
        <w:rPr>
          <w:rFonts w:ascii="Times New Roman" w:hAnsi="Times New Roman" w:cs="Times New Roman"/>
          <w:b/>
          <w:bCs/>
          <w:sz w:val="40"/>
          <w:szCs w:val="40"/>
        </w:rPr>
        <w:t>Features</w:t>
      </w:r>
    </w:p>
    <w:p w14:paraId="0C75FE39" w14:textId="77777777" w:rsidR="00B90785" w:rsidRDefault="00B90785" w:rsidP="00DD5B37">
      <w:pPr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0"/>
        <w:gridCol w:w="4373"/>
        <w:gridCol w:w="3787"/>
      </w:tblGrid>
      <w:tr w:rsidR="00B90785" w:rsidRPr="00B90785" w14:paraId="0D9A0C48" w14:textId="6863EFF1" w:rsidTr="00B90785">
        <w:tc>
          <w:tcPr>
            <w:tcW w:w="1190" w:type="dxa"/>
          </w:tcPr>
          <w:p w14:paraId="2C3E469A" w14:textId="7C68F89F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078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4373" w:type="dxa"/>
          </w:tcPr>
          <w:p w14:paraId="6C273D70" w14:textId="242AB100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90785">
              <w:rPr>
                <w:rFonts w:ascii="Times New Roman" w:hAnsi="Times New Roman" w:cs="Times New Roman"/>
                <w:b/>
                <w:bCs/>
              </w:rPr>
              <w:t>Definition</w:t>
            </w:r>
          </w:p>
        </w:tc>
        <w:tc>
          <w:tcPr>
            <w:tcW w:w="3787" w:type="dxa"/>
          </w:tcPr>
          <w:p w14:paraId="5CF8DE52" w14:textId="0E853F38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</w:tr>
      <w:tr w:rsidR="00B90785" w:rsidRPr="00B90785" w14:paraId="583B49DE" w14:textId="5275CD99" w:rsidTr="00B90785">
        <w:tc>
          <w:tcPr>
            <w:tcW w:w="1190" w:type="dxa"/>
          </w:tcPr>
          <w:p w14:paraId="43D40219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DAB22E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Return</w:t>
            </w:r>
          </w:p>
          <w:p w14:paraId="69D5CE3E" w14:textId="1BB9D95A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A3EBD7E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A56012E" w14:textId="48348AFF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Daily return based on adjusted close</w:t>
            </w:r>
          </w:p>
        </w:tc>
        <w:tc>
          <w:tcPr>
            <w:tcW w:w="3787" w:type="dxa"/>
          </w:tcPr>
          <w:p w14:paraId="19448336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C5D504F" w14:textId="73F85792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:rsidRPr="00B90785" w14:paraId="365737E3" w14:textId="72DEA57D" w:rsidTr="00B90785">
        <w:tc>
          <w:tcPr>
            <w:tcW w:w="1190" w:type="dxa"/>
          </w:tcPr>
          <w:p w14:paraId="733558A9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58DAE46" w14:textId="0A4AD0B5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EPS</w:t>
            </w:r>
          </w:p>
        </w:tc>
        <w:tc>
          <w:tcPr>
            <w:tcW w:w="4373" w:type="dxa"/>
          </w:tcPr>
          <w:p w14:paraId="2E68ECA2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E66D9B9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Net income divided by diluted shares</w:t>
            </w:r>
          </w:p>
          <w:p w14:paraId="5763B175" w14:textId="57673BAB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787" w:type="dxa"/>
          </w:tcPr>
          <w:p w14:paraId="342A5763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27F8E7D" w14:textId="746A7C2A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:rsidRPr="00B90785" w14:paraId="521B7C2C" w14:textId="528A48C5" w:rsidTr="00B90785">
        <w:tc>
          <w:tcPr>
            <w:tcW w:w="1190" w:type="dxa"/>
          </w:tcPr>
          <w:p w14:paraId="283EB2B1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5602E42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Profit Margin</w:t>
            </w:r>
          </w:p>
          <w:p w14:paraId="4B07BE41" w14:textId="60975257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A83AA9A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31AA5B3" w14:textId="4ABB9D05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Net income divided by revenue</w:t>
            </w:r>
          </w:p>
        </w:tc>
        <w:tc>
          <w:tcPr>
            <w:tcW w:w="3787" w:type="dxa"/>
          </w:tcPr>
          <w:p w14:paraId="67F53B4B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E1694F8" w14:textId="25DB4510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:rsidRPr="00B90785" w14:paraId="6A82A46A" w14:textId="635DBB0B" w:rsidTr="00B90785">
        <w:tc>
          <w:tcPr>
            <w:tcW w:w="1190" w:type="dxa"/>
          </w:tcPr>
          <w:p w14:paraId="3D314828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25E93DF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Revenue Growth</w:t>
            </w:r>
          </w:p>
          <w:p w14:paraId="0377894B" w14:textId="45F0AD33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8F8AC89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E3CEC1B" w14:textId="615BC746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Percentage change in revenue over time</w:t>
            </w:r>
          </w:p>
          <w:p w14:paraId="1BDAA58A" w14:textId="141C39C9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787" w:type="dxa"/>
          </w:tcPr>
          <w:p w14:paraId="6F029111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DDD83BE" w14:textId="16FFD106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:rsidRPr="00B90785" w14:paraId="01DA4172" w14:textId="5613D555" w:rsidTr="00B90785">
        <w:tc>
          <w:tcPr>
            <w:tcW w:w="1190" w:type="dxa"/>
          </w:tcPr>
          <w:p w14:paraId="7BCDCDA7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62D3009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Income Growth</w:t>
            </w:r>
          </w:p>
          <w:p w14:paraId="30EA6208" w14:textId="50843ABA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40A7DB7E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ABF997C" w14:textId="7E98A2BB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Percentage change in net income over time</w:t>
            </w:r>
          </w:p>
        </w:tc>
        <w:tc>
          <w:tcPr>
            <w:tcW w:w="3787" w:type="dxa"/>
          </w:tcPr>
          <w:p w14:paraId="3E2F9A01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1EBF864" w14:textId="029C387C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:rsidRPr="00B90785" w14:paraId="04E3C4A3" w14:textId="64A4FE5A" w:rsidTr="00B90785">
        <w:tc>
          <w:tcPr>
            <w:tcW w:w="1190" w:type="dxa"/>
          </w:tcPr>
          <w:p w14:paraId="2D151CD8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F968211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Gross Margin</w:t>
            </w:r>
          </w:p>
          <w:p w14:paraId="2D0D6152" w14:textId="084729A4" w:rsidR="00DD5B37" w:rsidRP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3C97027C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55B5563" w14:textId="6ED355FF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Gross profit divided by revenue</w:t>
            </w:r>
          </w:p>
        </w:tc>
        <w:tc>
          <w:tcPr>
            <w:tcW w:w="3787" w:type="dxa"/>
          </w:tcPr>
          <w:p w14:paraId="3AC89E9A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D598E2D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28BE9D5C" w14:textId="4333F19B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2575DB8E" w14:textId="33A7A405" w:rsidTr="00B90785">
        <w:tc>
          <w:tcPr>
            <w:tcW w:w="1190" w:type="dxa"/>
          </w:tcPr>
          <w:p w14:paraId="0A8C203A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4D41024" w14:textId="77777777" w:rsidR="00DD5B37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Operating Margin</w:t>
            </w:r>
          </w:p>
          <w:p w14:paraId="30FB5FEE" w14:textId="043C1FA6" w:rsidR="00DD5B37" w:rsidRP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98F45D0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69C0893" w14:textId="55181FF8" w:rsidR="00B90785" w:rsidRP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</w:rPr>
              <w:t>Operating income divided by revenue</w:t>
            </w:r>
          </w:p>
        </w:tc>
        <w:tc>
          <w:tcPr>
            <w:tcW w:w="3787" w:type="dxa"/>
          </w:tcPr>
          <w:p w14:paraId="7054116D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4561FB5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414C263D" w14:textId="3D7944E0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02AF9F98" w14:textId="2163C482" w:rsidTr="00B90785">
        <w:tc>
          <w:tcPr>
            <w:tcW w:w="1190" w:type="dxa"/>
          </w:tcPr>
          <w:p w14:paraId="5582436C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80ADFF0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SGA Ratio</w:t>
            </w:r>
          </w:p>
          <w:p w14:paraId="6F298C0B" w14:textId="367C3176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25E8BAB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7EE7949" w14:textId="016171FC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SG&amp;A expenses divided by revenue</w:t>
            </w:r>
          </w:p>
        </w:tc>
        <w:tc>
          <w:tcPr>
            <w:tcW w:w="3787" w:type="dxa"/>
          </w:tcPr>
          <w:p w14:paraId="120FA833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DA2A33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0B767A9C" w14:textId="470B2823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2C31D948" w14:textId="5B4A5BCE" w:rsidTr="00B90785">
        <w:tc>
          <w:tcPr>
            <w:tcW w:w="1190" w:type="dxa"/>
          </w:tcPr>
          <w:p w14:paraId="7DAC3F62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38B196D" w14:textId="743DB095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RD Ratio</w:t>
            </w:r>
          </w:p>
        </w:tc>
        <w:tc>
          <w:tcPr>
            <w:tcW w:w="4373" w:type="dxa"/>
          </w:tcPr>
          <w:p w14:paraId="66CF87C6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A5B50A6" w14:textId="54088B29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R&amp;D expenses divided by revenue</w:t>
            </w:r>
          </w:p>
        </w:tc>
        <w:tc>
          <w:tcPr>
            <w:tcW w:w="3787" w:type="dxa"/>
          </w:tcPr>
          <w:p w14:paraId="75883422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123F625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4EB0E353" w14:textId="335C4322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42BE105C" w14:textId="730DB9CC" w:rsidTr="00B90785">
        <w:tc>
          <w:tcPr>
            <w:tcW w:w="1190" w:type="dxa"/>
          </w:tcPr>
          <w:p w14:paraId="72B17ED4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90154A1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Cost Ratio</w:t>
            </w:r>
          </w:p>
          <w:p w14:paraId="0BC95F49" w14:textId="429895A4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5BC7A44D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7592A71" w14:textId="03187185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Cost of revenue divided by revenue</w:t>
            </w:r>
          </w:p>
        </w:tc>
        <w:tc>
          <w:tcPr>
            <w:tcW w:w="3787" w:type="dxa"/>
          </w:tcPr>
          <w:p w14:paraId="6864C9E7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0E8E9FF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709DAE5C" w14:textId="1BA6C874" w:rsidR="00DD5B37" w:rsidRDefault="00DD5B37" w:rsidP="00DD5B37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B90785" w14:paraId="276C8E41" w14:textId="6C36E4CC" w:rsidTr="00B90785">
        <w:tc>
          <w:tcPr>
            <w:tcW w:w="1190" w:type="dxa"/>
          </w:tcPr>
          <w:p w14:paraId="639BD792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B08E434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Net Income per Share</w:t>
            </w:r>
          </w:p>
          <w:p w14:paraId="371470DB" w14:textId="14F7058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7583ABB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63A58C7" w14:textId="2F27724A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Net income divided by diluted shares</w:t>
            </w:r>
          </w:p>
        </w:tc>
        <w:tc>
          <w:tcPr>
            <w:tcW w:w="3787" w:type="dxa"/>
          </w:tcPr>
          <w:p w14:paraId="7F675648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0F45D2C" w14:textId="4D0CCED3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14:paraId="41F08FCD" w14:textId="09A72C97" w:rsidTr="00B90785">
        <w:tc>
          <w:tcPr>
            <w:tcW w:w="1190" w:type="dxa"/>
          </w:tcPr>
          <w:p w14:paraId="76770FF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93824B4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Revenue per Share</w:t>
            </w:r>
          </w:p>
          <w:p w14:paraId="1881850F" w14:textId="5C3849E0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76D9410D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BDA54B6" w14:textId="19E4BAA6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Revenue divided by diluted shares</w:t>
            </w:r>
          </w:p>
        </w:tc>
        <w:tc>
          <w:tcPr>
            <w:tcW w:w="3787" w:type="dxa"/>
          </w:tcPr>
          <w:p w14:paraId="5B8E6F1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D665AE5" w14:textId="07A18C42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14:paraId="051931F6" w14:textId="0AB9EC52" w:rsidTr="00B90785">
        <w:tc>
          <w:tcPr>
            <w:tcW w:w="1190" w:type="dxa"/>
          </w:tcPr>
          <w:p w14:paraId="4F81D94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8238801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 Ratio</w:t>
            </w:r>
          </w:p>
          <w:p w14:paraId="550A9261" w14:textId="02494251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218C020D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19E686F" w14:textId="4625571E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Depreciation and Amortization divided by revenue</w:t>
            </w:r>
          </w:p>
        </w:tc>
        <w:tc>
          <w:tcPr>
            <w:tcW w:w="3787" w:type="dxa"/>
          </w:tcPr>
          <w:p w14:paraId="51357662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9ABB346" w14:textId="133772A2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</w:tc>
      </w:tr>
      <w:tr w:rsidR="00B90785" w14:paraId="58742666" w14:textId="6B0941B8" w:rsidTr="00B90785">
        <w:tc>
          <w:tcPr>
            <w:tcW w:w="1190" w:type="dxa"/>
          </w:tcPr>
          <w:p w14:paraId="6A21AAF8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08FB30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Interest Coverage</w:t>
            </w:r>
          </w:p>
          <w:p w14:paraId="2EAED21B" w14:textId="1B7171A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0FEB742A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3BF2ED4" w14:textId="53D43B15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Operating income divided by interest expense</w:t>
            </w:r>
          </w:p>
        </w:tc>
        <w:tc>
          <w:tcPr>
            <w:tcW w:w="3787" w:type="dxa"/>
          </w:tcPr>
          <w:p w14:paraId="52C8067A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A33C334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5D2B2003" w14:textId="0B0B7D0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691797CD" w14:textId="5A77E9C8" w:rsidTr="00B90785">
        <w:tc>
          <w:tcPr>
            <w:tcW w:w="1190" w:type="dxa"/>
          </w:tcPr>
          <w:p w14:paraId="26AC50C9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BBBB6B6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Interest Burden</w:t>
            </w:r>
          </w:p>
          <w:p w14:paraId="79D378EA" w14:textId="56D43970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2135DB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0D29129" w14:textId="0B5D36FE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Pretax income divided by operating income</w:t>
            </w:r>
          </w:p>
        </w:tc>
        <w:tc>
          <w:tcPr>
            <w:tcW w:w="3787" w:type="dxa"/>
          </w:tcPr>
          <w:p w14:paraId="69BAF9AC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9EE128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45507D91" w14:textId="6ED48338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3D6C5ADE" w14:textId="3BEDEA55" w:rsidTr="00B90785">
        <w:tc>
          <w:tcPr>
            <w:tcW w:w="1190" w:type="dxa"/>
          </w:tcPr>
          <w:p w14:paraId="419CB687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1830BA9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Tax Burden</w:t>
            </w:r>
          </w:p>
          <w:p w14:paraId="70565DCA" w14:textId="0BFE9B69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608DEE8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C590046" w14:textId="3413396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Net Income divided by pretax income</w:t>
            </w:r>
          </w:p>
        </w:tc>
        <w:tc>
          <w:tcPr>
            <w:tcW w:w="3787" w:type="dxa"/>
          </w:tcPr>
          <w:p w14:paraId="5EFBF7C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BE1A3D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3143A3BC" w14:textId="0D49B045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6CE84F39" w14:textId="0AED2982" w:rsidTr="00B90785">
        <w:tc>
          <w:tcPr>
            <w:tcW w:w="1190" w:type="dxa"/>
          </w:tcPr>
          <w:p w14:paraId="3EDCC518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3441871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Non Op</w:t>
            </w:r>
            <w:proofErr w:type="gramEnd"/>
            <w:r>
              <w:rPr>
                <w:rFonts w:ascii="Times New Roman" w:hAnsi="Times New Roman" w:cs="Times New Roman"/>
              </w:rPr>
              <w:t xml:space="preserve"> Ratio</w:t>
            </w:r>
          </w:p>
          <w:p w14:paraId="7BDF427A" w14:textId="1B62F850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4E02267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F0639E8" w14:textId="566A7B1F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Non-operating income divided by revenue</w:t>
            </w:r>
          </w:p>
        </w:tc>
        <w:tc>
          <w:tcPr>
            <w:tcW w:w="3787" w:type="dxa"/>
          </w:tcPr>
          <w:p w14:paraId="262C950F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5D4CCB3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475E1B45" w14:textId="035D1CF5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245C2C74" w14:textId="00490501" w:rsidTr="00B90785">
        <w:tc>
          <w:tcPr>
            <w:tcW w:w="1190" w:type="dxa"/>
          </w:tcPr>
          <w:p w14:paraId="28EBC071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0BEF8E7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Abnormal Ratio</w:t>
            </w:r>
          </w:p>
          <w:p w14:paraId="6713E272" w14:textId="438A3A4F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4CD29849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0E32056" w14:textId="77427D6C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Abnormal gains or losses divided by revenue</w:t>
            </w:r>
          </w:p>
        </w:tc>
        <w:tc>
          <w:tcPr>
            <w:tcW w:w="3787" w:type="dxa"/>
          </w:tcPr>
          <w:p w14:paraId="377AA687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10324FA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Fundamental Feature</w:t>
            </w:r>
          </w:p>
          <w:p w14:paraId="0C51B02A" w14:textId="175F20D1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09D35910" w14:textId="34DFE299" w:rsidTr="00B90785">
        <w:tc>
          <w:tcPr>
            <w:tcW w:w="1190" w:type="dxa"/>
          </w:tcPr>
          <w:p w14:paraId="4FA27399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CABADC9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Mean 20 / Mean 60</w:t>
            </w:r>
          </w:p>
          <w:p w14:paraId="07EF5432" w14:textId="295F7F4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8610431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37DBD49" w14:textId="3136A4E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Rolling average of daily returns over 20 and 60 days</w:t>
            </w:r>
          </w:p>
        </w:tc>
        <w:tc>
          <w:tcPr>
            <w:tcW w:w="3787" w:type="dxa"/>
          </w:tcPr>
          <w:p w14:paraId="5236AA1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736FFAD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0C04D74D" w14:textId="7753502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1EA2CA76" w14:textId="77777777" w:rsidTr="00B90785">
        <w:tc>
          <w:tcPr>
            <w:tcW w:w="1190" w:type="dxa"/>
          </w:tcPr>
          <w:p w14:paraId="2DAB3B3D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F14FDCF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Vol 20/ Vol 60</w:t>
            </w:r>
          </w:p>
          <w:p w14:paraId="2B453A20" w14:textId="5CEA9035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0B74FEA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9D3AB07" w14:textId="6359EA0E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Rolling Volatility of returns over 20 and 60 days</w:t>
            </w:r>
          </w:p>
        </w:tc>
        <w:tc>
          <w:tcPr>
            <w:tcW w:w="3787" w:type="dxa"/>
          </w:tcPr>
          <w:p w14:paraId="2FCE6753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2C12C44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Engineered Features</w:t>
            </w:r>
          </w:p>
          <w:p w14:paraId="6854F75E" w14:textId="1628A1A8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627341A3" w14:textId="77777777" w:rsidTr="00B90785">
        <w:tc>
          <w:tcPr>
            <w:tcW w:w="1190" w:type="dxa"/>
          </w:tcPr>
          <w:p w14:paraId="0B1099BF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328FD28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Mom 20/ Mom 60</w:t>
            </w:r>
          </w:p>
          <w:p w14:paraId="67830686" w14:textId="225AA8F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6CEA1778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89E3446" w14:textId="4684BA41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Price momentum over 20 and 60 days</w:t>
            </w:r>
          </w:p>
        </w:tc>
        <w:tc>
          <w:tcPr>
            <w:tcW w:w="3787" w:type="dxa"/>
          </w:tcPr>
          <w:p w14:paraId="75EB219E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BB5B935" w14:textId="1C5EA4F6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584822FE" w14:textId="39ED2313" w:rsidR="00887784" w:rsidRDefault="00887784" w:rsidP="00887784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</w:tr>
      <w:tr w:rsidR="00B90785" w14:paraId="21DE6FE4" w14:textId="77777777" w:rsidTr="00B90785">
        <w:tc>
          <w:tcPr>
            <w:tcW w:w="1190" w:type="dxa"/>
          </w:tcPr>
          <w:p w14:paraId="09D27732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3E6C9B6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 12/ EMA 26</w:t>
            </w:r>
          </w:p>
          <w:p w14:paraId="68AA7CEF" w14:textId="6B9337D9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297B7FB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F87CA38" w14:textId="57D535BD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Exponential moving averages with short (12 days) and long (26 days) windows</w:t>
            </w:r>
          </w:p>
        </w:tc>
        <w:tc>
          <w:tcPr>
            <w:tcW w:w="3787" w:type="dxa"/>
          </w:tcPr>
          <w:p w14:paraId="5C15B211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28C4F870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4765A7AD" w14:textId="740AC432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07C965C5" w14:textId="77777777" w:rsidTr="00B90785">
        <w:tc>
          <w:tcPr>
            <w:tcW w:w="1190" w:type="dxa"/>
          </w:tcPr>
          <w:p w14:paraId="66EB89CE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787EFB94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 Cross</w:t>
            </w:r>
          </w:p>
          <w:p w14:paraId="59FD89C6" w14:textId="01DF19C0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61D3B9DD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6E9B45D2" w14:textId="7512805F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Difference between short-term and long-term EMA</w:t>
            </w:r>
          </w:p>
        </w:tc>
        <w:tc>
          <w:tcPr>
            <w:tcW w:w="3787" w:type="dxa"/>
          </w:tcPr>
          <w:p w14:paraId="589836FC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E009DA0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55D281C6" w14:textId="475D126A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90785" w14:paraId="720E9C66" w14:textId="77777777" w:rsidTr="00B90785">
        <w:tc>
          <w:tcPr>
            <w:tcW w:w="1190" w:type="dxa"/>
          </w:tcPr>
          <w:p w14:paraId="50EB595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3F7235D" w14:textId="77777777" w:rsidR="00B90785" w:rsidRDefault="00B90785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Skew 20/ Skew 60</w:t>
            </w:r>
          </w:p>
          <w:p w14:paraId="0CF1C102" w14:textId="3A86655C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13804D0C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1861530" w14:textId="6FCFD737" w:rsid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Skewness of returns over 20 and 60 days</w:t>
            </w:r>
          </w:p>
        </w:tc>
        <w:tc>
          <w:tcPr>
            <w:tcW w:w="3787" w:type="dxa"/>
          </w:tcPr>
          <w:p w14:paraId="3C57B22B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425777C7" w14:textId="77777777" w:rsidR="00B90785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7FE79366" w14:textId="62825084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DD5B37" w14:paraId="2B84ADCE" w14:textId="77777777" w:rsidTr="00B90785">
        <w:tc>
          <w:tcPr>
            <w:tcW w:w="1190" w:type="dxa"/>
          </w:tcPr>
          <w:p w14:paraId="26E30D7F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484B5B2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Kurt 20/ Kurt 60</w:t>
            </w:r>
          </w:p>
          <w:p w14:paraId="779E448E" w14:textId="6F8EBE3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73" w:type="dxa"/>
          </w:tcPr>
          <w:p w14:paraId="4B545898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0DB8E4DD" w14:textId="52240804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Kurtosis of returns over 20 and 60 days</w:t>
            </w:r>
          </w:p>
        </w:tc>
        <w:tc>
          <w:tcPr>
            <w:tcW w:w="3787" w:type="dxa"/>
          </w:tcPr>
          <w:p w14:paraId="39C715B7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F2C5159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0930ADB5" w14:textId="0B5AE9C6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DD5B37" w14:paraId="10380155" w14:textId="77777777" w:rsidTr="00B90785">
        <w:tc>
          <w:tcPr>
            <w:tcW w:w="1190" w:type="dxa"/>
          </w:tcPr>
          <w:p w14:paraId="39329A84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5ED8D244" w14:textId="023B54D8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Vol z</w:t>
            </w:r>
          </w:p>
        </w:tc>
        <w:tc>
          <w:tcPr>
            <w:tcW w:w="4373" w:type="dxa"/>
          </w:tcPr>
          <w:p w14:paraId="77954436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3F076208" w14:textId="655E8EB3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Z-score of trading volume relative to its 20-day mean</w:t>
            </w:r>
          </w:p>
        </w:tc>
        <w:tc>
          <w:tcPr>
            <w:tcW w:w="3787" w:type="dxa"/>
          </w:tcPr>
          <w:p w14:paraId="74795745" w14:textId="77777777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  <w:p w14:paraId="1483B2DD" w14:textId="77777777" w:rsidR="00DD5B37" w:rsidRDefault="00DD5B37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Engineered Features</w:t>
            </w:r>
          </w:p>
          <w:p w14:paraId="194892E4" w14:textId="2598DD95" w:rsidR="00887784" w:rsidRDefault="00887784" w:rsidP="00DD5B3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62441BF" w14:textId="77777777" w:rsidR="00EE631A" w:rsidRDefault="00EE631A" w:rsidP="00DD5B37">
      <w:pPr>
        <w:spacing w:line="276" w:lineRule="auto"/>
        <w:jc w:val="center"/>
        <w:rPr>
          <w:rFonts w:ascii="Times New Roman" w:hAnsi="Times New Roman" w:cs="Times New Roman"/>
        </w:rPr>
      </w:pPr>
    </w:p>
    <w:p w14:paraId="5AB715EA" w14:textId="77777777" w:rsidR="00887784" w:rsidRPr="00EE631A" w:rsidRDefault="00887784" w:rsidP="00DD5B37">
      <w:pPr>
        <w:spacing w:line="276" w:lineRule="auto"/>
        <w:jc w:val="center"/>
        <w:rPr>
          <w:rFonts w:ascii="Times New Roman" w:hAnsi="Times New Roman" w:cs="Times New Roman"/>
        </w:rPr>
      </w:pPr>
    </w:p>
    <w:sectPr w:rsidR="00887784" w:rsidRPr="00EE6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8186A"/>
    <w:multiLevelType w:val="hybridMultilevel"/>
    <w:tmpl w:val="14DA5E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39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BF2"/>
    <w:rsid w:val="001A3722"/>
    <w:rsid w:val="005F4765"/>
    <w:rsid w:val="006C3BF2"/>
    <w:rsid w:val="00887784"/>
    <w:rsid w:val="008C7407"/>
    <w:rsid w:val="00B3565F"/>
    <w:rsid w:val="00B56CC9"/>
    <w:rsid w:val="00B90785"/>
    <w:rsid w:val="00CD0A26"/>
    <w:rsid w:val="00D6315F"/>
    <w:rsid w:val="00DD5B37"/>
    <w:rsid w:val="00E93CAC"/>
    <w:rsid w:val="00EE631A"/>
    <w:rsid w:val="00F0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D1884"/>
  <w15:chartTrackingRefBased/>
  <w15:docId w15:val="{86B44B8E-EACF-0A4A-8BEB-05E113099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3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3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3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3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B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B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B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B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B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B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B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B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B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B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BF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C3BF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C3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katex-mathml">
    <w:name w:val="katex-mathml"/>
    <w:basedOn w:val="DefaultParagraphFont"/>
    <w:rsid w:val="006C3BF2"/>
  </w:style>
  <w:style w:type="character" w:customStyle="1" w:styleId="mord">
    <w:name w:val="mord"/>
    <w:basedOn w:val="DefaultParagraphFont"/>
    <w:rsid w:val="006C3BF2"/>
  </w:style>
  <w:style w:type="character" w:customStyle="1" w:styleId="vlist-s">
    <w:name w:val="vlist-s"/>
    <w:basedOn w:val="DefaultParagraphFont"/>
    <w:rsid w:val="006C3BF2"/>
  </w:style>
  <w:style w:type="character" w:customStyle="1" w:styleId="mrel">
    <w:name w:val="mrel"/>
    <w:basedOn w:val="DefaultParagraphFont"/>
    <w:rsid w:val="006C3BF2"/>
  </w:style>
  <w:style w:type="character" w:customStyle="1" w:styleId="mbin">
    <w:name w:val="mbin"/>
    <w:basedOn w:val="DefaultParagraphFont"/>
    <w:rsid w:val="006C3BF2"/>
  </w:style>
  <w:style w:type="table" w:styleId="TableGrid">
    <w:name w:val="Table Grid"/>
    <w:basedOn w:val="TableNormal"/>
    <w:uiPriority w:val="39"/>
    <w:rsid w:val="00B907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0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8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Prousanidou, Paraskevi Maria</dc:creator>
  <cp:keywords/>
  <dc:description/>
  <cp:lastModifiedBy>Prousanidou, Paraskevi Maria</cp:lastModifiedBy>
  <cp:revision>4</cp:revision>
  <dcterms:created xsi:type="dcterms:W3CDTF">2025-12-07T16:10:00Z</dcterms:created>
  <dcterms:modified xsi:type="dcterms:W3CDTF">2025-12-10T00:02:00Z</dcterms:modified>
</cp:coreProperties>
</file>