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these insights in short point-wise sentences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Distribution by Region: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Region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u w:val="single"/>
          <w:rtl w:val="0"/>
        </w:rPr>
        <w:t xml:space="preserve">Count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South America       59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Europe                   50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North America       46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Asia                       45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Signups per Month: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Signup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 Frequency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2022-01    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2022-02     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2022-03     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2022-04    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2022-05     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2022-06    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2022-07    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2022-08    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2022-09    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2022-10    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2022-11    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2022-12     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2023-01    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2023-02     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2023-03     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2023-04     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2023-05    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2023-06    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2023-07    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2023-08    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2023-09    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2023-10     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2023-11    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2023-12     5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2024-01     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2024-02     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2024-03     4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2024-04    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2024-05     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2024-06    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2024-07     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2024-08     4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2024-09    11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2024-10     5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2024-11    11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2024-12    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Category Distribution: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Count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Books                    26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Electronics            26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Clothing                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Home Decor         23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              Price per Category: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u w:val="single"/>
          <w:rtl w:val="0"/>
        </w:rPr>
        <w:t xml:space="preserve">Price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Books                       292.212308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Clothing                   263.720000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Electronics               275.353462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Home Decor            235.020000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5 Most Expensive Products:</w:t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ProductID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u w:val="single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u w:val="single"/>
          <w:rtl w:val="0"/>
        </w:rPr>
        <w:t xml:space="preserve"> Category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u w:val="single"/>
          <w:rtl w:val="0"/>
        </w:rPr>
        <w:t xml:space="preserve">Price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74      P075       TechPro Textbook               Books                 497.76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31      P032       BookWorld Cookbook         Books                 488.63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44      P045       SoundWave T-Shirt            Clothing              481.78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16      P017       ActiveWear Textbook          Books                469.77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36      P037     SoundWave Smartwatch      Electronics         459.86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Number of Unique Product Names:</w:t>
      </w:r>
      <w:r w:rsidDel="00000000" w:rsidR="00000000" w:rsidRPr="00000000">
        <w:rPr>
          <w:rtl w:val="0"/>
        </w:rPr>
        <w:t xml:space="preserve"> 66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Total Number of Products</w:t>
      </w:r>
      <w:r w:rsidDel="00000000" w:rsidR="00000000" w:rsidRPr="00000000">
        <w:rPr>
          <w:rtl w:val="0"/>
        </w:rPr>
        <w:t xml:space="preserve">: 100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Category Distribution:</w:t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Category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u w:val="single"/>
          <w:rtl w:val="0"/>
        </w:rPr>
        <w:t xml:space="preserve">count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Books               26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Electronics       26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Clothing            25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Home Decor     23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Price per Category: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u w:val="single"/>
          <w:rtl w:val="0"/>
        </w:rPr>
        <w:t xml:space="preserve">Price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Books              292.212308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Clothing           263.720000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Electronics      275.353462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Home Decor    235.020000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