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D1. Largest positive standardized residuals by analytical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4"/>
        <w:gridCol w:w="504"/>
        <w:gridCol w:w="1872"/>
        <w:gridCol w:w="936"/>
        <w:gridCol w:w="936"/>
        <w:gridCol w:w="1728"/>
        <w:gridCol w:w="720"/>
        <w:gridCol w:w="1008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Node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At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Breakoffs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Observed 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predicted hazard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O/E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Standardized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residual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Pre-route / common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Q1_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DogNumber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336,966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8,008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2.38% / 1.12%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6.34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Pre-route /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ConsentToSurvey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341,797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0.73% / 0.71%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0.18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Q13.2_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HolidayAccommo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254,719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7,995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3.14% / 0.58%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15.60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Q17.1_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ServicesCutCoL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259,706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8,550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3.29% / 0.81%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12.85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Q22_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ImproveLife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166,894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2.21% / 0.47%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9.41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Q26_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241,209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0.94% / 0.18%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7.99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Q6_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283,282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1.00% / 0.35%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5.36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E2FutureDogOwner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15,313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1,513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9.88% / 1.70%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7.15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E8_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GovRole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11,429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5.88% / 1.39%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3.73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E3_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FutureDogSource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9,823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15.08% / 5.72%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3.64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E3.1_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NotRescue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23.99% / 5.59%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3.17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E11_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10,401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2.62% / 1.18%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1.25</w:t>
            </w:r>
          </w:p>
        </w:tc>
      </w:tr>
      <w:tr>
        <w:trPr>
          <w:cantSplit/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Notes: Nodes were ranked separately within each analytical panel by their positive dispersion-adjusted standardized residuals. Up to five nodes are reported per panel; fewer are displayed when fewer than five positive residuals were available. Observed and predicted hazards are reported in that order. O/E denotes the observed-to-expected event ratio. Residuals are descriptive model diagnostics and should not be interpreted as causal effects.</w:t>
            </w:r>
          </w:p>
        </w:tc>
      </w:tr>
    </w:tbl>
    <w:sectPr>
      <w:pgMar w:header="708" w:bottom="864" w:top="864" w:right="864" w:left="86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2026-08-30T19:05:13Z</dcterms:modified>
  <cp:category/>
</cp:coreProperties>
</file>