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9A5AD">
      <w:pPr>
        <w:pStyle w:val="2"/>
        <w:keepNext/>
        <w:widowControl/>
        <w:spacing w:after="0" w:afterAutospacing="0"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Ref237326177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lang w:val="en-US"/>
        </w:rPr>
        <w:fldChar w:fldCharType="end"/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. Operationalisation and analytical role of questionnaire-level variables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none" w:color="auto" w:sz="6" w:space="0"/>
          <w:bottom w:val="single" w:color="auto" w:sz="12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67"/>
        <w:gridCol w:w="2298"/>
        <w:gridCol w:w="2895"/>
        <w:gridCol w:w="2634"/>
      </w:tblGrid>
      <w:tr w14:paraId="13220EAA">
        <w:trPr>
          <w:tblHeader/>
        </w:trPr>
        <w:tc>
          <w:tcPr>
            <w:tcW w:w="83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1AAFA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Construct</w:t>
            </w:r>
          </w:p>
        </w:tc>
        <w:tc>
          <w:tcPr>
            <w:tcW w:w="1223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5836C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Variable</w:t>
            </w:r>
          </w:p>
        </w:tc>
        <w:tc>
          <w:tcPr>
            <w:tcW w:w="154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695A3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Operationalisation</w:t>
            </w:r>
          </w:p>
        </w:tc>
        <w:tc>
          <w:tcPr>
            <w:tcW w:w="140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02434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Rationale</w:t>
            </w:r>
          </w:p>
        </w:tc>
      </w:tr>
      <w:tr w14:paraId="6FEE0178">
        <w:tc>
          <w:tcPr>
            <w:tcW w:w="83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1AE08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Conditional breakoff</w:t>
            </w:r>
          </w:p>
        </w:tc>
        <w:tc>
          <w:tcPr>
            <w:tcW w:w="1223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3DF97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non_events</w:t>
            </w:r>
          </w:p>
        </w:tc>
        <w:tc>
          <w:tcPr>
            <w:tcW w:w="154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4307D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Breakoff events and continuations within each grouped risk-set cell</w:t>
            </w:r>
          </w:p>
        </w:tc>
        <w:tc>
          <w:tcPr>
            <w:tcW w:w="1402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51D2E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Represents the conditional probability of withdrawal at an encountered node</w:t>
            </w:r>
          </w:p>
        </w:tc>
      </w:tr>
      <w:tr w14:paraId="51FBFEBF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99D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Questionnaire progression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48D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time_5_c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162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Centred operational position, measured in five-node units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99A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Controls for changing breakoff risk over questionnaire progression</w:t>
            </w:r>
          </w:p>
        </w:tc>
      </w:tr>
      <w:tr w14:paraId="10E3652E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F9B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Non-linear progression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02D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time_5_c_sq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C6B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Squared centred operational time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711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Allows the baseline hazard to vary non-linearly</w:t>
            </w:r>
          </w:p>
        </w:tc>
      </w:tr>
      <w:tr w14:paraId="55EEA793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755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Questionnaire structure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2389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route_simplified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40A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Owner-main, repeated-dog loop, and non-owner exit; </w:t>
            </w:r>
            <w:r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  <w:t>owner-main as reference</w:t>
            </w:r>
            <w:bookmarkStart w:id="1" w:name="_GoBack"/>
            <w:bookmarkEnd w:id="1"/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CF6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Accounts for structurally different questionnaire trajectories</w:t>
            </w:r>
          </w:p>
        </w:tc>
      </w:tr>
      <w:tr w14:paraId="5E85D0A2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761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Text-entry burden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6AA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has_text_entry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032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Node requires or permits a typed response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3A0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Captures response production burden beyond selecting an option</w:t>
            </w:r>
          </w:p>
        </w:tc>
      </w:tr>
      <w:tr w14:paraId="053D7F83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EF1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Financial sensitivity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07A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financial_sensitivity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4FE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Node concerns cost, expenditure, affordability, or financial pressure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45E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Captures potentially sensitive financial disclosure</w:t>
            </w:r>
          </w:p>
        </w:tc>
      </w:tr>
      <w:tr w14:paraId="66091ED8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5B7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Privacy sensitivity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76F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privacy_level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FCE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Low, Medium, or High; Low as reference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059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Captures increasing personal identifiability or disclosure sensitivity</w:t>
            </w:r>
          </w:p>
        </w:tc>
      </w:tr>
      <w:tr w14:paraId="582768B1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543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Choice-list burden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875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is_long_choice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AE7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More than six simultaneously visible alternatives; observed contrast ≤6 versus ≥8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B91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Captures visual scanning and response-selection burden</w:t>
            </w:r>
          </w:p>
        </w:tc>
      </w:tr>
      <w:tr w14:paraId="1ADB9DDD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37E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 length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620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prompt_wc_10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2E6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 and visible instruction word count divided by ten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A3D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Preserves continuous variation and estimates the average association per ten words</w:t>
            </w:r>
          </w:p>
        </w:tc>
      </w:tr>
      <w:tr w14:paraId="6FB123B5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5E4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Prompt-length band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EA7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prompt_wc_band_tertile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930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Empirical tertiles: “Low” 0–12; “Medium” 13–20; “High” &gt;20; sensitivity analysis only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F22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Tests whether the continuous specification conceals a threshold-type relationship</w:t>
            </w:r>
          </w:p>
        </w:tc>
      </w:tr>
      <w:tr w14:paraId="4D237B93"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E14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visible words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16B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total_visible_wc_10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F3B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 and visible option-label words divided by ten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DD8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Tests total page-level verbal exposure</w:t>
            </w:r>
          </w:p>
        </w:tc>
      </w:tr>
      <w:tr w14:paraId="38324DC3">
        <w:tc>
          <w:tcPr>
            <w:tcW w:w="83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5FFCB5B3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Option-label length</w:t>
            </w:r>
          </w:p>
        </w:tc>
        <w:tc>
          <w:tcPr>
            <w:tcW w:w="1223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7903A0D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szCs w:val="22"/>
                <w:bdr w:val="none" w:color="auto" w:sz="0" w:space="0"/>
                <w:lang w:val="en-US"/>
              </w:rPr>
            </w:pPr>
            <w:r>
              <w:rPr>
                <w:rStyle w:val="7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option_wc_10</w:t>
            </w:r>
          </w:p>
        </w:tc>
        <w:tc>
          <w:tcPr>
            <w:tcW w:w="154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8711288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Visible option-label words divided by ten</w:t>
            </w:r>
          </w:p>
        </w:tc>
        <w:tc>
          <w:tcPr>
            <w:tcW w:w="140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2DDA0D92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Separates option-reading burden from prompt-reading burden</w:t>
            </w:r>
          </w:p>
        </w:tc>
      </w:tr>
    </w:tbl>
    <w:p w14:paraId="57AB0F72"/>
    <w:sectPr>
      <w:pgSz w:w="12240" w:h="15840"/>
      <w:pgMar w:top="1440" w:right="1440" w:bottom="1440" w:left="144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@SimHei">
    <w:altName w:val="华文宋体"/>
    <w:panose1 w:val="02010600030101010101"/>
    <w:charset w:val="86"/>
    <w:family w:val="auto"/>
    <w:pitch w:val="fixed"/>
    <w:sig w:usb0="800002BF" w:usb1="38CF7CFA" w:usb2="00000016" w:usb3="00000000" w:csb0="00040001" w:csb1="00000000"/>
  </w:font>
  <w:font w:name="DengXian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DengXian">
    <w:altName w:val="华文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黑体">
    <w:altName w:val="汉仪中黑KW"/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DengXian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DDA61A"/>
    <w:rsid w:val="F6DDA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DengXian" w:hAnsi="DengXian" w:eastAsia="DengXia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0" w:right="0"/>
      <w:jc w:val="left"/>
    </w:pPr>
    <w:rPr>
      <w:rFonts w:hint="default" w:ascii="DengXian Light" w:hAnsi="DengXian Light" w:eastAsia="黑体" w:cs="Times New Roman"/>
      <w:kern w:val="2"/>
      <w:sz w:val="20"/>
      <w:szCs w:val="20"/>
      <w:lang w:val="en-US" w:eastAsia="zh-CN" w:bidi="ar"/>
    </w:rPr>
  </w:style>
  <w:style w:type="paragraph" w:styleId="3">
    <w:name w:val="annotation text"/>
    <w:basedOn w:val="1"/>
    <w:link w:val="8"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40" w:lineRule="auto"/>
      <w:ind w:left="0" w:right="0"/>
      <w:jc w:val="left"/>
    </w:pPr>
    <w:rPr>
      <w:rFonts w:hint="eastAsia" w:ascii="DengXian" w:hAnsi="DengXian" w:eastAsia="DengXian" w:cs="Arial"/>
      <w:kern w:val="2"/>
      <w:sz w:val="20"/>
      <w:szCs w:val="20"/>
      <w:lang w:val="en-US" w:eastAsia="zh-CN" w:bidi="ar"/>
    </w:rPr>
  </w:style>
  <w:style w:type="character" w:styleId="6">
    <w:name w:val="annotation reference"/>
    <w:basedOn w:val="5"/>
    <w:uiPriority w:val="0"/>
    <w:rPr>
      <w:sz w:val="16"/>
      <w:szCs w:val="16"/>
    </w:rPr>
  </w:style>
  <w:style w:type="character" w:customStyle="1" w:styleId="7">
    <w:name w:val="15"/>
    <w:basedOn w:val="5"/>
    <w:uiPriority w:val="0"/>
    <w:rPr>
      <w:rFonts w:ascii="Courier New" w:hAnsi="Courier New" w:cs="Courier New"/>
      <w:sz w:val="20"/>
      <w:szCs w:val="20"/>
    </w:rPr>
  </w:style>
  <w:style w:type="character" w:customStyle="1" w:styleId="8">
    <w:name w:val="Comment Text Char"/>
    <w:basedOn w:val="5"/>
    <w:link w:val="3"/>
    <w:uiPriority w:val="0"/>
    <w:rPr>
      <w:sz w:val="20"/>
      <w:szCs w:val="20"/>
      <w:lang w:val="en-US"/>
    </w:rPr>
  </w:style>
  <w:style w:type="table" w:customStyle="1" w:styleId="9">
    <w:name w:val="Table Normal"/>
    <w:basedOn w:val="4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DengXian" w:hAnsi="DengXian" w:eastAsia="DengXian" w:cs="DengXian"/>
      <w:kern w:val="2"/>
      <w:sz w:val="22"/>
      <w:szCs w:val="24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2026-08-28T01:41:00Z</dcterms:created>
  <dc:creator>芒果不忙๑</dc:creator>
  <cp:lastModifiedBy>芒果不忙๑</cp:lastModifiedBy>
  <dcterms:modified xsi:type="dcterms:W3CDTF">2026-08-28T01:45:06Z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FBE6A93CF73877F353D9906A75B34CEC_41</vt:lpwstr>
  </property>
</Properties>
</file>