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81FF6">
      <w:pPr>
        <w:pStyle w:val="2"/>
        <w:keepNext/>
        <w:widowControl/>
        <w:spacing w:after="240" w:afterAutospacing="0"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Ref238698924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Table </w:t>
      </w:r>
      <w:r>
        <w:rPr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SEQ Table \* ARABIC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</w:t>
      </w:r>
      <w:r>
        <w:rPr>
          <w:lang w:val="en-US"/>
        </w:rPr>
        <w:fldChar w:fldCharType="end"/>
      </w:r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. Route traffic and conditional attrition within the analytical sample</w:t>
      </w:r>
    </w:p>
    <w:tbl>
      <w:tblPr>
        <w:tblStyle w:val="6"/>
        <w:tblW w:w="5000" w:type="pct"/>
        <w:jc w:val="center"/>
        <w:tblBorders>
          <w:top w:val="single" w:color="auto" w:sz="12" w:space="0"/>
          <w:left w:val="none" w:color="auto" w:sz="6" w:space="0"/>
          <w:bottom w:val="single" w:color="auto" w:sz="12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3196"/>
        <w:gridCol w:w="1550"/>
        <w:gridCol w:w="1550"/>
        <w:gridCol w:w="1550"/>
        <w:gridCol w:w="1548"/>
      </w:tblGrid>
      <w:tr w14:paraId="6B26EC8A">
        <w:trPr>
          <w:tblHeader/>
          <w:jc w:val="center"/>
        </w:trPr>
        <w:tc>
          <w:tcPr>
            <w:tcW w:w="1701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/>
            <w:vAlign w:val="center"/>
          </w:tcPr>
          <w:p w14:paraId="1B280399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left"/>
              <w:rPr>
                <w:rFonts w:hint="default" w:ascii="Times New Roman" w:hAnsi="Times New Roman" w:cs="Arial"/>
                <w:bCs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Questionnaire trajectory</w:t>
            </w:r>
          </w:p>
        </w:tc>
        <w:tc>
          <w:tcPr>
            <w:tcW w:w="825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/>
            <w:vAlign w:val="center"/>
          </w:tcPr>
          <w:p w14:paraId="02235FE1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bCs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Route entrants</w:t>
            </w:r>
          </w:p>
        </w:tc>
        <w:tc>
          <w:tcPr>
            <w:tcW w:w="825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/>
            <w:vAlign w:val="center"/>
          </w:tcPr>
          <w:p w14:paraId="67D92B55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bCs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Completed</w:t>
            </w:r>
          </w:p>
        </w:tc>
        <w:tc>
          <w:tcPr>
            <w:tcW w:w="825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/>
            <w:vAlign w:val="center"/>
          </w:tcPr>
          <w:p w14:paraId="71CDEB34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bCs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Breakoffs</w:t>
            </w:r>
          </w:p>
        </w:tc>
        <w:tc>
          <w:tcPr>
            <w:tcW w:w="824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/>
            <w:vAlign w:val="center"/>
          </w:tcPr>
          <w:p w14:paraId="28E35889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bCs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Attrition rate</w:t>
            </w:r>
          </w:p>
        </w:tc>
      </w:tr>
      <w:tr w14:paraId="60212F61">
        <w:trPr>
          <w:trHeight w:val="515" w:hRule="atLeast"/>
          <w:jc w:val="center"/>
        </w:trPr>
        <w:tc>
          <w:tcPr>
            <w:tcW w:w="1701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vAlign w:val="center"/>
          </w:tcPr>
          <w:p w14:paraId="3574DF40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left"/>
              <w:rPr>
                <w:rFonts w:hint="default" w:ascii="Times New Roman" w:hAnsi="Times New Roman" w:cs="Arial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2"/>
                <w:sz w:val="22"/>
                <w:szCs w:val="24"/>
                <w:bdr w:val="none" w:color="auto" w:sz="0" w:space="0"/>
                <w:lang w:val="en-US" w:eastAsia="zh-CN" w:bidi="ar"/>
              </w:rPr>
              <w:t>Owner trajector</w:t>
            </w:r>
            <w:bookmarkStart w:id="1" w:name="_GoBack"/>
            <w:bookmarkEnd w:id="1"/>
            <w:r>
              <w:rPr>
                <w:rFonts w:hint="default" w:ascii="Times New Roman" w:hAnsi="Times New Roman" w:eastAsia="DengXian" w:cs="Arial"/>
                <w:kern w:val="2"/>
                <w:sz w:val="22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825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vAlign w:val="center"/>
          </w:tcPr>
          <w:p w14:paraId="3C42E11F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szCs w:val="22"/>
                <w:bdr w:val="none" w:color="auto" w:sz="0" w:space="0"/>
                <w:lang w:val="en-US"/>
              </w:rPr>
            </w:pPr>
            <w:r>
              <w:rPr>
                <w:rStyle w:val="5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321,229</w:t>
            </w:r>
          </w:p>
        </w:tc>
        <w:tc>
          <w:tcPr>
            <w:tcW w:w="825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vAlign w:val="center"/>
          </w:tcPr>
          <w:p w14:paraId="15A096CC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234,786</w:t>
            </w:r>
          </w:p>
        </w:tc>
        <w:tc>
          <w:tcPr>
            <w:tcW w:w="825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vAlign w:val="center"/>
          </w:tcPr>
          <w:p w14:paraId="31FB7BA8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86,443</w:t>
            </w:r>
          </w:p>
        </w:tc>
        <w:tc>
          <w:tcPr>
            <w:tcW w:w="824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vAlign w:val="center"/>
          </w:tcPr>
          <w:p w14:paraId="21565CBF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26.91%</w:t>
            </w:r>
          </w:p>
        </w:tc>
      </w:tr>
      <w:tr w14:paraId="4F44356D">
        <w:trPr>
          <w:trHeight w:val="515" w:hRule="atLeast"/>
          <w:jc w:val="center"/>
        </w:trPr>
        <w:tc>
          <w:tcPr>
            <w:tcW w:w="1701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5DB58EC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left"/>
              <w:rPr>
                <w:rFonts w:hint="default" w:ascii="Times New Roman" w:hAnsi="Times New Roman" w:cs="Arial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2"/>
                <w:sz w:val="22"/>
                <w:szCs w:val="24"/>
                <w:bdr w:val="none" w:color="auto" w:sz="0" w:space="0"/>
                <w:lang w:val="en-US" w:eastAsia="zh-CN" w:bidi="ar"/>
              </w:rPr>
              <w:t>Non-owner exit trajectory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1069703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szCs w:val="22"/>
                <w:bdr w:val="none" w:color="auto" w:sz="0" w:space="0"/>
                <w:lang w:val="en-US"/>
              </w:rPr>
            </w:pPr>
            <w:r>
              <w:rPr>
                <w:rStyle w:val="5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15,737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9ED8EB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9,691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6CF8E7F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6,046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BB08A11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38.42%</w:t>
            </w:r>
          </w:p>
        </w:tc>
      </w:tr>
      <w:tr w14:paraId="79D593DF">
        <w:trPr>
          <w:trHeight w:val="515" w:hRule="atLeast"/>
          <w:jc w:val="center"/>
        </w:trPr>
        <w:tc>
          <w:tcPr>
            <w:tcW w:w="1701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DFF1A58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left"/>
              <w:rPr>
                <w:rFonts w:hint="default" w:ascii="Times New Roman" w:hAnsi="Times New Roman" w:cs="Arial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2"/>
                <w:sz w:val="22"/>
                <w:szCs w:val="24"/>
                <w:bdr w:val="none" w:color="auto" w:sz="0" w:space="0"/>
                <w:lang w:val="en-US" w:eastAsia="zh-CN" w:bidi="ar"/>
              </w:rPr>
              <w:t>Pre-route or undetermined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16E4A4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Times New Roman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Style w:val="5"/>
                <w:rFonts w:hint="default" w:ascii="Times New Roman" w:hAnsi="Times New Roman" w:eastAsia="DengXian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  <w:r>
              <w:rPr>
                <w:rStyle w:val="5"/>
                <w:rFonts w:hint="default" w:ascii="Times New Roman" w:hAnsi="Times New Roman" w:eastAsia="DengXian" w:cs="Times New Roman"/>
                <w:kern w:val="0"/>
                <w:sz w:val="20"/>
                <w:szCs w:val="22"/>
                <w:bdr w:val="none" w:color="auto" w:sz="0" w:space="0"/>
                <w:lang w:val="en-US" w:eastAsia="zh-CN" w:bidi="ar"/>
              </w:rPr>
              <w:t>,831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9054F4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2,286</w:t>
            </w:r>
          </w:p>
        </w:tc>
        <w:tc>
          <w:tcPr>
            <w:tcW w:w="825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AD401A5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2,545</w:t>
            </w:r>
          </w:p>
        </w:tc>
        <w:tc>
          <w:tcPr>
            <w:tcW w:w="824" w:type="pct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985DA07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Times New Roman"/>
                <w:color w:val="000000"/>
                <w:kern w:val="2"/>
                <w:sz w:val="20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20E8D7D5">
        <w:trPr>
          <w:trHeight w:val="515" w:hRule="atLeast"/>
          <w:jc w:val="center"/>
        </w:trPr>
        <w:tc>
          <w:tcPr>
            <w:tcW w:w="170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7772DA49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left"/>
              <w:rPr>
                <w:rFonts w:hint="default" w:ascii="Times New Roman" w:hAnsi="Times New Roman" w:cs="Arial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2"/>
                <w:sz w:val="22"/>
                <w:szCs w:val="24"/>
                <w:bdr w:val="none" w:color="auto" w:sz="0" w:space="0"/>
                <w:lang w:val="en-US" w:eastAsia="zh-CN" w:bidi="ar"/>
              </w:rPr>
              <w:t>Total</w:t>
            </w:r>
          </w:p>
        </w:tc>
        <w:tc>
          <w:tcPr>
            <w:tcW w:w="825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2B34BE6A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341,797</w:t>
            </w:r>
          </w:p>
        </w:tc>
        <w:tc>
          <w:tcPr>
            <w:tcW w:w="825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2970AC08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246,763</w:t>
            </w:r>
          </w:p>
        </w:tc>
        <w:tc>
          <w:tcPr>
            <w:tcW w:w="825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782FF143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kern w:val="0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95,034</w:t>
            </w:r>
          </w:p>
        </w:tc>
        <w:tc>
          <w:tcPr>
            <w:tcW w:w="824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vAlign w:val="center"/>
          </w:tcPr>
          <w:p w14:paraId="6F07713D">
            <w:pPr>
              <w:keepNext w:val="0"/>
              <w:keepLines w:val="0"/>
              <w:widowControl/>
              <w:suppressLineNumbers w:val="0"/>
              <w:spacing w:before="0" w:beforeAutospacing="0" w:after="240" w:afterAutospacing="0" w:line="360" w:lineRule="auto"/>
              <w:ind w:left="0" w:right="0"/>
              <w:jc w:val="center"/>
              <w:rPr>
                <w:rFonts w:hint="default" w:ascii="Times New Roman" w:hAnsi="Times New Roman" w:cs="Arial"/>
                <w:szCs w:val="22"/>
                <w:bdr w:val="none" w:color="auto" w:sz="0" w:space="0"/>
                <w:lang w:val="en-US"/>
              </w:rPr>
            </w:pPr>
            <w:r>
              <w:rPr>
                <w:rFonts w:hint="default" w:ascii="Times New Roman" w:hAnsi="Times New Roman" w:eastAsia="DengXian" w:cs="Arial"/>
                <w:kern w:val="2"/>
                <w:sz w:val="22"/>
                <w:szCs w:val="22"/>
                <w:bdr w:val="none" w:color="auto" w:sz="0" w:space="0"/>
                <w:lang w:val="en-US" w:eastAsia="zh-CN" w:bidi="ar"/>
              </w:rPr>
              <w:t>27.80%</w:t>
            </w:r>
          </w:p>
        </w:tc>
      </w:tr>
    </w:tbl>
    <w:p w14:paraId="32C61F77"/>
    <w:sectPr>
      <w:pgSz w:w="12240" w:h="15840"/>
      <w:pgMar w:top="1440" w:right="1440" w:bottom="1440" w:left="144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@SimHei">
    <w:altName w:val="华文宋体"/>
    <w:panose1 w:val="02010600030101010101"/>
    <w:charset w:val="86"/>
    <w:family w:val="auto"/>
    <w:pitch w:val="fixed"/>
    <w:sig w:usb0="800002BF" w:usb1="38CF7CFA" w:usb2="00000016" w:usb3="00000000" w:csb0="00040001" w:csb1="00000000"/>
  </w:font>
  <w:font w:name="@DengXian">
    <w:altName w:val="华文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汉仪中等线KW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altName w:val="Kingsoft Math"/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黑体">
    <w:altName w:val="汉仪中黑KW"/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DengXian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CC4B1"/>
    <w:rsid w:val="7BBCC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DengXian" w:hAnsi="DengXian" w:eastAsia="DengXian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pPr>
      <w:keepNext w:val="0"/>
      <w:keepLines w:val="0"/>
      <w:widowControl w:val="0"/>
      <w:suppressLineNumbers w:val="0"/>
      <w:spacing w:before="0" w:beforeAutospacing="0" w:after="160" w:afterAutospacing="0" w:line="276" w:lineRule="auto"/>
      <w:ind w:left="0" w:right="0"/>
      <w:jc w:val="left"/>
    </w:pPr>
    <w:rPr>
      <w:rFonts w:hint="default" w:ascii="DengXian Light" w:hAnsi="DengXian Light" w:eastAsia="黑体" w:cs="Times New Roman"/>
      <w:kern w:val="2"/>
      <w:sz w:val="20"/>
      <w:szCs w:val="20"/>
      <w:lang w:val="en-US" w:eastAsia="zh-CN" w:bidi="ar"/>
    </w:rPr>
  </w:style>
  <w:style w:type="character" w:customStyle="1" w:styleId="5">
    <w:name w:val="15"/>
    <w:basedOn w:val="4"/>
    <w:uiPriority w:val="0"/>
    <w:rPr>
      <w:rFonts w:ascii="Courier New" w:hAnsi="Courier New" w:cs="Courier New"/>
      <w:sz w:val="20"/>
      <w:szCs w:val="20"/>
    </w:rPr>
  </w:style>
  <w:style w:type="table" w:customStyle="1" w:styleId="6">
    <w:name w:val="Table Normal"/>
    <w:basedOn w:val="3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DengXian" w:hAnsi="DengXian" w:eastAsia="DengXian" w:cs="DengXian"/>
      <w:kern w:val="2"/>
      <w:sz w:val="22"/>
      <w:szCs w:val="24"/>
      <w:lang w:val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2026-08-28T01:45:00Z</dcterms:created>
  <dc:creator>芒果不忙๑</dc:creator>
  <cp:lastModifiedBy>芒果不忙๑</cp:lastModifiedBy>
  <dcterms:modified xsi:type="dcterms:W3CDTF">2026-08-28T01:45:59Z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A749551223E490DC3BDA906AD8B7FD90_41</vt:lpwstr>
  </property>
</Properties>
</file>