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Top five post-route breakoff hotspots by breakoff volume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8"/>
        <w:gridCol w:w="3384"/>
        <w:gridCol w:w="1080"/>
        <w:gridCol w:w="979"/>
        <w:gridCol w:w="893"/>
        <w:gridCol w:w="1037"/>
        <w:gridCol w:w="1123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Node / 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 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Breakoffs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Hazard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Route share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Cumulative share (%)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 A: Dog-owner route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Q1.2_DogName — Dog's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313,624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Q17.1_ServicesCutCoL — Services cut due to cost of living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Q13.2_HolidayAccommo — Preferred holiday accommodation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254,719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Q29_Postcode — First part of postcode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Q22_ImproveLife — One thing that would improve life with the 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 B: Non-owner route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E2FutureDogOwner — Hope to own a dog in the future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E3_FutureDogSource — Likely future sources for obtaining a 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E13_Postcode — First part of postcode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E8_GovRole — Government role in dog welfare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79.62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E3.1_NotRescue — Reasons for not considering a rescue dog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87.61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 Nodes were ranked by breakoff count rather than empirical hazard. At-risk counts represent respondents reaching each node. Route shares were calculated among locatable post-route breakoff events.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2026-08-30T19:05:09Z</dcterms:modified>
  <cp:category/>
</cp:coreProperties>
</file>