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Route-specific quasibinomial discrete-time hazard models of questionnaire breakoff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63"/>
        <w:gridCol w:w="2992"/>
        <w:gridCol w:w="335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Dog-owner route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Non-owner route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Operational time (centred 5-node units)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 [0.868, 0.981]**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 [0.012, 2.289]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Operational time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 [0.947, 1.002]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 [0.523, 1.541]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Repeated-dog loop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1.672 [0.842, 3.320]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Text entry required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2.149 [1.501, 3.076]***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 [0.119, 0.961]*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Financially sensitive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2.513 [1.585, 3.985]***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 [0.159, 0.852]*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 level: 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 [0.218, 0.671]***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 level: High (ref: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16.709 [11.293, 24.723]***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 level: High (ref: Low/Medium)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186.893 [33.821, 1032.761]***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Prompt length (per 10 additional words)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 [0.928, 1.192]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4.646 [2.303, 9.372]***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 choice 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1.771 [1.338, 2.345]***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3.986 [1.760, 9.027]**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Respondent-node exposures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9,854,926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157,374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Breakoff events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78,839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5,642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Cells report adjusted odds ratios with t-based 95% confidence intervals.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 dashes indicate that the term was not estimated in the corresponding route-specific model.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dog-owner model used owner-main as the route reference and Low as the privacy reference category.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non-owner privacy coefficient compares High with the combined Low/Medium category.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 non-owner high-privacy estimate is primarily supported by the postcode node and should be interpreted cautiously.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.05, ** p &lt; .01, *** p &lt; .001.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2026-08-30T19:05:01Z</dcterms:modified>
  <cp:category/>
</cp:coreProperties>
</file>