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3D472CE0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29D273DE" w:rsidR="00D077E9" w:rsidRPr="00CA034A" w:rsidRDefault="00CA034A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1.1 DIAGRAMA DE RED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" filled="f" stroked="f" strokeweight=".5pt">
                      <v:textbox>
                        <w:txbxContent>
                          <w:p w14:paraId="259B7CD2" w14:textId="29D273DE" w:rsidR="00D077E9" w:rsidRPr="00CA034A" w:rsidRDefault="00CA034A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1.1 DIAGRAMA DE RED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6EC21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B07DD07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D03BEE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6364DC0B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02CA7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75225E09" w:rsidR="00D077E9" w:rsidRDefault="00CA034A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1.1 DIAGRAMA DE RED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14:paraId="70F702C1" w14:textId="77777777" w:rsidTr="00DF027C">
        <w:trPr>
          <w:trHeight w:val="3546"/>
        </w:trPr>
        <w:tc>
          <w:tcPr>
            <w:tcW w:w="9999" w:type="dxa"/>
          </w:tcPr>
          <w:sdt>
            <w:sdtPr>
              <w:rPr>
                <w:noProof/>
              </w:rPr>
              <w:id w:val="1660650702"/>
              <w:placeholder>
                <w:docPart w:val="B4A70EBBBF6D404C8B60B6FABDD0D462"/>
              </w:placeholder>
              <w15:appearance w15:val="hidden"/>
            </w:sdtPr>
            <w:sdtContent>
              <w:p w14:paraId="69B30D6B" w14:textId="296D368D" w:rsidR="00D077E9" w:rsidRPr="00D03BEE" w:rsidRDefault="00D03BEE" w:rsidP="00D03BEE">
                <w:pPr>
                  <w:jc w:val="both"/>
                  <w:rPr>
                    <w:rFonts w:ascii="Calibri" w:hAnsi="Calibri" w:cs="Calibri"/>
                  </w:rPr>
                </w:pPr>
                <w:r w:rsidRPr="00F1741F">
                  <w:rPr>
                    <w:rFonts w:ascii="Calibri" w:hAnsi="Calibri" w:cs="Calibri"/>
                  </w:rPr>
                  <w:t>Seguridad de la Información y Cumplimiento (Enfoque PCI-DSS + SIEM)</w:t>
                </w:r>
              </w:p>
            </w:sdtContent>
          </w:sdt>
          <w:p w14:paraId="1516B051" w14:textId="77777777" w:rsidR="00DF027C" w:rsidRDefault="00DF027C" w:rsidP="00D03BEE">
            <w:pPr>
              <w:jc w:val="both"/>
              <w:rPr>
                <w:noProof/>
              </w:rPr>
            </w:pPr>
          </w:p>
          <w:p w14:paraId="5711E20C" w14:textId="14FCBD9D" w:rsidR="00D03BEE" w:rsidRDefault="00D03BEE" w:rsidP="00D03BEE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INTRODUCCIÓN</w:t>
            </w:r>
          </w:p>
          <w:p w14:paraId="2276E33A" w14:textId="0582D2EE" w:rsidR="00DF027C" w:rsidRDefault="00D03BEE" w:rsidP="00D03BEE">
            <w:pPr>
              <w:pStyle w:val="Contenido"/>
              <w:spacing w:line="360" w:lineRule="auto"/>
              <w:rPr>
                <w:noProof/>
              </w:rPr>
            </w:pPr>
            <w:r>
              <w:rPr>
                <w:noProof/>
              </w:rPr>
              <w:t>Este documento describe la arquitectura de red y la topología lógica para el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entorno del e-commerce "Electronics-eCommerce". El diseño prioriza la protección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de los datos del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titular de la tarjeta (CHD) y la segregación de funciones, siguiendo las mejores prácticas de la industria y el estándar PCI-DSS.</w:t>
            </w:r>
          </w:p>
          <w:p w14:paraId="3F4EBF80" w14:textId="77777777" w:rsidR="00D03BEE" w:rsidRDefault="00D03BEE" w:rsidP="00D03BEE">
            <w:pPr>
              <w:pStyle w:val="Contenido"/>
              <w:spacing w:line="360" w:lineRule="auto"/>
              <w:rPr>
                <w:noProof/>
              </w:rPr>
            </w:pPr>
          </w:p>
          <w:p w14:paraId="0DC9D10B" w14:textId="1C154723" w:rsidR="00D03BEE" w:rsidRPr="00DF027C" w:rsidRDefault="00D03BEE" w:rsidP="00D03BEE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ALCANCE</w:t>
            </w:r>
          </w:p>
          <w:p w14:paraId="53409DEA" w14:textId="4E57FA53" w:rsidR="00DF027C" w:rsidRDefault="00D03BEE" w:rsidP="00D03BEE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Aplica a todos los activos de red, servidores front-end (Next.js), back-end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(Node.js) y almacenamiento (MySQL) que componen la plataforma productiva.</w:t>
            </w:r>
          </w:p>
        </w:tc>
      </w:tr>
    </w:tbl>
    <w:p w14:paraId="15A236B3" w14:textId="77777777" w:rsidR="0087605E" w:rsidRDefault="0087605E" w:rsidP="00AB02A7">
      <w:pPr>
        <w:spacing w:after="200"/>
        <w:rPr>
          <w:noProof/>
        </w:rPr>
      </w:pPr>
    </w:p>
    <w:p w14:paraId="42FFF193" w14:textId="23B34C00" w:rsidR="00D03BEE" w:rsidRDefault="00D03BEE" w:rsidP="00D03BEE">
      <w:pPr>
        <w:spacing w:after="200" w:line="360" w:lineRule="auto"/>
        <w:rPr>
          <w:noProof/>
        </w:rPr>
      </w:pPr>
      <w:r>
        <w:rPr>
          <w:noProof/>
        </w:rPr>
        <w:t>DESCRIPCIÓN DE COMPONENTES Y FLUJO DE DATOS</w:t>
      </w:r>
    </w:p>
    <w:p w14:paraId="1B73AFC8" w14:textId="5B125D32" w:rsidR="00D03BEE" w:rsidRDefault="00D03BEE" w:rsidP="00D03BEE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D03BEE">
        <w:rPr>
          <w:b/>
          <w:bCs/>
          <w:noProof/>
        </w:rPr>
        <w:t>Capa 1 (Perímetro):</w:t>
      </w:r>
      <w:r>
        <w:rPr>
          <w:noProof/>
        </w:rPr>
        <w:t xml:space="preserve"> Punto de entrada único. El tráfico es inspeccionado por el WAF para mitigar inyecciones SQL y Cross-Site Scripting (XSS).</w:t>
      </w:r>
    </w:p>
    <w:p w14:paraId="363F2018" w14:textId="6087F6C2" w:rsidR="00D03BEE" w:rsidRDefault="00D03BEE" w:rsidP="00D03BEE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D03BEE">
        <w:rPr>
          <w:b/>
          <w:bCs/>
          <w:noProof/>
        </w:rPr>
        <w:t>Capa 2 (DMZ):</w:t>
      </w:r>
      <w:r>
        <w:rPr>
          <w:noProof/>
        </w:rPr>
        <w:t xml:space="preserve"> Contiene la lógica de presentación y negocio. Nginx actúa como</w:t>
      </w:r>
      <w:r>
        <w:rPr>
          <w:noProof/>
        </w:rPr>
        <w:t xml:space="preserve"> </w:t>
      </w:r>
      <w:r>
        <w:rPr>
          <w:noProof/>
        </w:rPr>
        <w:t>escudo, impidiendo que los servidores Next.js y Node.js sean expuestos directamente a Internet.</w:t>
      </w:r>
    </w:p>
    <w:p w14:paraId="6CF44432" w14:textId="78794CE5" w:rsidR="00D03BEE" w:rsidRDefault="00D03BEE" w:rsidP="00D03BEE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D03BEE">
        <w:rPr>
          <w:b/>
          <w:bCs/>
          <w:noProof/>
        </w:rPr>
        <w:t>Capa 3 (Datos):</w:t>
      </w:r>
      <w:r>
        <w:rPr>
          <w:noProof/>
        </w:rPr>
        <w:t xml:space="preserve"> Zona de máxima seguridad. La base de datos MySQL solo acepta</w:t>
      </w:r>
      <w:r>
        <w:rPr>
          <w:noProof/>
        </w:rPr>
        <w:t xml:space="preserve"> </w:t>
      </w:r>
      <w:r>
        <w:rPr>
          <w:noProof/>
        </w:rPr>
        <w:t>peticiones provenientes de la IP interna de la API Node.js.</w:t>
      </w:r>
    </w:p>
    <w:p w14:paraId="3EEA84C7" w14:textId="77777777" w:rsidR="00D03BEE" w:rsidRDefault="00D03BEE" w:rsidP="00D03BEE">
      <w:pPr>
        <w:pStyle w:val="Contenido"/>
        <w:spacing w:line="360" w:lineRule="auto"/>
        <w:jc w:val="both"/>
      </w:pPr>
    </w:p>
    <w:p w14:paraId="54B00A06" w14:textId="0B441124" w:rsidR="00D03BEE" w:rsidRDefault="00D03BEE" w:rsidP="00D03BEE">
      <w:pPr>
        <w:rPr>
          <w:noProof/>
        </w:rPr>
      </w:pPr>
      <w:r>
        <w:rPr>
          <w:noProof/>
        </w:rPr>
        <w:t>CONTROLES DE SEGURIDAD ASOCIADOS</w:t>
      </w:r>
    </w:p>
    <w:p w14:paraId="0318D43F" w14:textId="77777777" w:rsidR="00D03BEE" w:rsidRDefault="00D03BEE" w:rsidP="00D03BEE">
      <w:pPr>
        <w:rPr>
          <w:noProof/>
        </w:rPr>
      </w:pPr>
    </w:p>
    <w:p w14:paraId="0D331B58" w14:textId="57831155" w:rsidR="00D03BEE" w:rsidRDefault="00D03BEE" w:rsidP="00D03BEE">
      <w:pPr>
        <w:pStyle w:val="Contenido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Cifrado en tránsito: TLS 1.3 obligatorio.</w:t>
      </w:r>
    </w:p>
    <w:p w14:paraId="7CACA9C0" w14:textId="0A61C71A" w:rsidR="00D03BEE" w:rsidRDefault="00D03BEE" w:rsidP="00D03BEE">
      <w:pPr>
        <w:pStyle w:val="Contenido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Segmentación de Red: VLANs independientes para DMZ y Datos.</w:t>
      </w:r>
    </w:p>
    <w:p w14:paraId="67EFCE02" w14:textId="443F4D13" w:rsidR="00D03BEE" w:rsidRDefault="00D03BEE" w:rsidP="00D03BEE">
      <w:pPr>
        <w:pStyle w:val="Contenido"/>
        <w:numPr>
          <w:ilvl w:val="0"/>
          <w:numId w:val="3"/>
        </w:numPr>
        <w:spacing w:line="360" w:lineRule="auto"/>
        <w:rPr>
          <w:noProof/>
        </w:rPr>
      </w:pPr>
      <w:r>
        <w:rPr>
          <w:noProof/>
        </w:rPr>
        <w:t>Ocultamiento: Nginx elimina cabeceras "X-Powered-By" para prevenir</w:t>
      </w:r>
      <w:r>
        <w:rPr>
          <w:noProof/>
        </w:rPr>
        <w:t xml:space="preserve"> </w:t>
      </w:r>
      <w:r>
        <w:rPr>
          <w:noProof/>
        </w:rPr>
        <w:t>Fingerprinting.</w:t>
      </w:r>
    </w:p>
    <w:p w14:paraId="281EE4E1" w14:textId="490DE5A7" w:rsidR="00D03BEE" w:rsidRDefault="00D03BEE" w:rsidP="00D03BEE">
      <w:pPr>
        <w:spacing w:after="200"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t>DIAGRAMA ARQUITECTONICO</w:t>
      </w:r>
    </w:p>
    <w:p w14:paraId="124D17B0" w14:textId="3C6C994B" w:rsidR="00D03BEE" w:rsidRDefault="00D03BEE" w:rsidP="00D03BEE">
      <w:pPr>
        <w:pStyle w:val="Contenido"/>
        <w:rPr>
          <w:noProof/>
        </w:rPr>
      </w:pPr>
      <w:r w:rsidRPr="00D03BEE">
        <w:rPr>
          <w:noProof/>
        </w:rPr>
        <w:t>Se implementa una arquitectura de tres capas (Three-Tier Architecture) paramaximizar</w:t>
      </w:r>
      <w:r>
        <w:rPr>
          <w:noProof/>
        </w:rPr>
        <w:t xml:space="preserve"> </w:t>
      </w:r>
      <w:r w:rsidRPr="00D03BEE">
        <w:rPr>
          <w:noProof/>
        </w:rPr>
        <w:t>el aislamiento de los datos críticos.</w:t>
      </w:r>
    </w:p>
    <w:p w14:paraId="62B1E9E1" w14:textId="77777777" w:rsidR="009D75FF" w:rsidRDefault="009D75FF" w:rsidP="009D75FF">
      <w:pPr>
        <w:pStyle w:val="Contenido"/>
        <w:rPr>
          <w:noProof/>
          <w:lang w:val="es-MX"/>
        </w:rPr>
      </w:pPr>
    </w:p>
    <w:p w14:paraId="3EC34B9D" w14:textId="2440BD7B" w:rsidR="009D75FF" w:rsidRPr="009D75FF" w:rsidRDefault="009D75FF" w:rsidP="009D75FF">
      <w:pPr>
        <w:pStyle w:val="Contenido"/>
        <w:rPr>
          <w:noProof/>
          <w:lang w:val="es-MX"/>
        </w:rPr>
      </w:pPr>
      <w:r w:rsidRPr="009D75FF">
        <w:rPr>
          <w:noProof/>
          <w:lang w:val="es-MX"/>
        </w:rPr>
        <w:drawing>
          <wp:inline distT="0" distB="0" distL="0" distR="0" wp14:anchorId="6E1F3864" wp14:editId="4F77067D">
            <wp:extent cx="6371590" cy="7277100"/>
            <wp:effectExtent l="0" t="0" r="0" b="0"/>
            <wp:docPr id="2603376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083E1" w14:textId="77777777" w:rsidR="00D03BEE" w:rsidRPr="00D03BEE" w:rsidRDefault="00D03BEE" w:rsidP="00D03BEE">
      <w:pPr>
        <w:pStyle w:val="Contenido"/>
        <w:rPr>
          <w:noProof/>
        </w:rPr>
      </w:pPr>
    </w:p>
    <w:sectPr w:rsidR="00D03BEE" w:rsidRPr="00D03BEE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BBE7" w14:textId="77777777" w:rsidR="00680D70" w:rsidRDefault="00680D70">
      <w:r>
        <w:separator/>
      </w:r>
    </w:p>
    <w:p w14:paraId="2F2A77EB" w14:textId="77777777" w:rsidR="00680D70" w:rsidRDefault="00680D70"/>
  </w:endnote>
  <w:endnote w:type="continuationSeparator" w:id="0">
    <w:p w14:paraId="45B72E28" w14:textId="77777777" w:rsidR="00680D70" w:rsidRDefault="00680D70">
      <w:r>
        <w:continuationSeparator/>
      </w:r>
    </w:p>
    <w:p w14:paraId="1F728BD3" w14:textId="77777777" w:rsidR="00680D70" w:rsidRDefault="00680D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79008" w14:textId="77777777" w:rsidR="00680D70" w:rsidRDefault="00680D70">
      <w:r>
        <w:separator/>
      </w:r>
    </w:p>
    <w:p w14:paraId="22DD557B" w14:textId="77777777" w:rsidR="00680D70" w:rsidRDefault="00680D70"/>
  </w:footnote>
  <w:footnote w:type="continuationSeparator" w:id="0">
    <w:p w14:paraId="47EE4272" w14:textId="77777777" w:rsidR="00680D70" w:rsidRDefault="00680D70">
      <w:r>
        <w:continuationSeparator/>
      </w:r>
    </w:p>
    <w:p w14:paraId="1A77DFAA" w14:textId="77777777" w:rsidR="00680D70" w:rsidRDefault="00680D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433"/>
    <w:multiLevelType w:val="hybridMultilevel"/>
    <w:tmpl w:val="5F165EB0"/>
    <w:lvl w:ilvl="0" w:tplc="4A2864B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9671C"/>
    <w:multiLevelType w:val="hybridMultilevel"/>
    <w:tmpl w:val="E92A7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B1425"/>
    <w:multiLevelType w:val="hybridMultilevel"/>
    <w:tmpl w:val="F6BE6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653325">
    <w:abstractNumId w:val="1"/>
  </w:num>
  <w:num w:numId="2" w16cid:durableId="48456985">
    <w:abstractNumId w:val="2"/>
  </w:num>
  <w:num w:numId="3" w16cid:durableId="198705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E0096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F1BB0"/>
    <w:rsid w:val="00656C4D"/>
    <w:rsid w:val="00680D70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9D75FF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3BEE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B40968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B40968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  <w:docPart>
      <w:docPartPr>
        <w:name w:val="B4A70EBBBF6D404C8B60B6FABDD0D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33E09-4121-41DB-88F8-DF96A0C35C8B}"/>
      </w:docPartPr>
      <w:docPartBody>
        <w:p w:rsidR="00B40968" w:rsidRDefault="00000000">
          <w:pPr>
            <w:pStyle w:val="B4A70EBBBF6D404C8B60B6FABDD0D462"/>
          </w:pPr>
          <w:r w:rsidRPr="00DF027C">
            <w:rPr>
              <w:noProof/>
              <w:lang w:bidi="es-ES"/>
            </w:rPr>
            <w:t>Texto del subtítulo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E0096"/>
    <w:rsid w:val="009A47D8"/>
    <w:rsid w:val="00AF20E6"/>
    <w:rsid w:val="00B40968"/>
    <w:rsid w:val="00C8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4</TotalTime>
  <Pages>3</Pages>
  <Words>230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3</cp:revision>
  <cp:lastPrinted>2006-08-01T17:47:00Z</cp:lastPrinted>
  <dcterms:created xsi:type="dcterms:W3CDTF">2026-05-29T09:42:00Z</dcterms:created>
  <dcterms:modified xsi:type="dcterms:W3CDTF">2026-06-04T09:26:00Z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