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POLÍTICA DE ANÁLISIS DE CÓDIGO (ESTÁTICO Y DINÁMICO)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SEC-POL-601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OBJETIVO</w:t>
      </w:r>
    </w:p>
    <w:p>
      <w:r>
        <w:t>--------------------------------------------------------------------------------</w:t>
      </w:r>
    </w:p>
    <w:p>
      <w:r>
        <w:t>Establecer los lineamientos para la inspección obligatoria del código fuente y</w:t>
      </w:r>
    </w:p>
    <w:p>
      <w:r>
        <w:t>la aplicación en ejecución, con el fin de identificar y mitigar vulnerabilidades</w:t>
      </w:r>
    </w:p>
    <w:p>
      <w:r>
        <w:t>de seguridad antes de que el software sea desplegado en el entorno de producción.</w:t>
      </w:r>
    </w:p>
    <w:p>
      <w:pPr>
        <w:pStyle w:val="Ttulo1"/>
      </w:pPr>
      <w:r>
        <w:t>2. ALCANCE</w:t>
      </w:r>
    </w:p>
    <w:p>
      <w:r>
        <w:t>--------------------------------------------------------------------------------</w:t>
      </w:r>
    </w:p>
    <w:p>
      <w:r>
        <w:t>Esta política aplica a todos los desarrolladores, arquitectos y personal de QA</w:t>
      </w:r>
    </w:p>
    <w:p>
      <w:r>
        <w:t>involucrados en el ciclo de vida del proyecto Electronics-eCommerce.</w:t>
      </w:r>
    </w:p>
    <w:p>
      <w:pPr>
        <w:pStyle w:val="Ttulo1"/>
      </w:pPr>
      <w:r>
        <w:t>3. ANÁLISIS ESTÁTICO DE SEGURIDAD (SAST)</w:t>
      </w:r>
    </w:p>
    <w:p>
      <w:r>
        <w:t>--------------------------------------------------------------------------------</w:t>
      </w:r>
    </w:p>
    <w:p>
      <w:r>
        <w:t>- Frecuencia: Cada vez que se realice un "Pull Request" (PR) hacia las ramas</w:t>
      </w:r>
    </w:p>
    <w:p>
      <w:r>
        <w:t>principales (main/develop).</w:t>
      </w:r>
    </w:p>
    <w:p>
      <w:r>
        <w:t>- Herramientas Obligatorias: SonarQube, ESLint (con plugin de seguridad) y Snyk.</w:t>
      </w:r>
    </w:p>
    <w:p>
      <w:r>
        <w:t>- Requisitos de Aprobación: No se permiten despliegues con vulnerabilidades de</w:t>
      </w:r>
    </w:p>
    <w:p>
      <w:r>
        <w:t>severidad "Alta" o "Crítica" detectadas por las herramientas de SAST.</w:t>
      </w:r>
    </w:p>
    <w:p>
      <w:pPr>
        <w:pStyle w:val="Ttulo1"/>
      </w:pPr>
      <w:r>
        <w:t>4. ANÁLISIS DINÁMICO DE SEGURIDAD (DAST)</w:t>
      </w:r>
    </w:p>
    <w:p>
      <w:r>
        <w:t>--------------------------------------------------------------------------------</w:t>
      </w:r>
    </w:p>
    <w:p>
      <w:r>
        <w:t>- Frecuencia: Trimestral o tras cambios significativos en la lógica de negocio.</w:t>
      </w:r>
    </w:p>
    <w:p>
      <w:r>
        <w:t>- Herramientas Obligatorias: OWASP ZAP o Burp Suite Professional.</w:t>
      </w:r>
    </w:p>
    <w:p>
      <w:r>
        <w:t>- Enfoque: Pruebas de caja negra sobre los endpoints de la API y la interfaz</w:t>
      </w:r>
    </w:p>
    <w:p>
      <w:r>
        <w:t>de usuario para detectar fallos de configuración en tiempo de ejecución.</w:t>
      </w:r>
    </w:p>
    <w:p>
      <w:pPr>
        <w:pStyle w:val="Ttulo1"/>
      </w:pPr>
      <w:r>
        <w:t>5. REVISIÓN MANUAL DE CÓDIGO (PEER REVIEW)</w:t>
      </w:r>
    </w:p>
    <w:p>
      <w:r>
        <w:t>--------------------------------------------------------------------------------</w:t>
      </w:r>
    </w:p>
    <w:p>
      <w:r>
        <w:t>- Todo cambio de código debe ser revisado por al menos un par (Senior Developer</w:t>
      </w:r>
    </w:p>
    <w:p>
      <w:r>
        <w:t>o Lead) con enfoque en:</w:t>
      </w:r>
    </w:p>
    <w:p>
      <w:r>
        <w:t>- Validación de entradas y salidas.</w:t>
      </w:r>
    </w:p>
    <w:p>
      <w:r>
        <w:t>- Gestión correcta de sesiones y autenticación.</w:t>
      </w:r>
    </w:p>
    <w:p>
      <w:r>
        <w:t>- Prevención de inyecciones SQL y XSS.</w:t>
      </w:r>
    </w:p>
    <w:p>
      <w:pPr>
        <w:pStyle w:val="Ttulo1"/>
      </w:pPr>
      <w:r>
        <w:t>6. CUMPLIMIENTO Y EXCEPCIONES</w:t>
      </w:r>
    </w:p>
    <w:p>
      <w:r>
        <w:t>--------------------------------------------------------------------------------</w:t>
      </w:r>
    </w:p>
    <w:p>
      <w:r>
        <w:t>El incumplimiento de esta política detendrá automáticamente el pipeline de CI/CD.</w:t>
      </w:r>
    </w:p>
    <w:p>
      <w:r>
        <w:t>Cualquier excepción debe ser documentada y aprobada formalmente por el CISO.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