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A6EB" w14:textId="77777777" w:rsidR="005D4938" w:rsidRPr="00C719B2" w:rsidRDefault="00000000">
      <w:pPr>
        <w:keepLines/>
        <w:spacing w:after="80" w:line="240" w:lineRule="auto"/>
        <w:jc w:val="center"/>
        <w:rPr>
          <w:lang w:val="pt-BR"/>
        </w:rPr>
      </w:pPr>
      <w:r w:rsidRPr="00C719B2">
        <w:rPr>
          <w:b/>
          <w:sz w:val="32"/>
          <w:lang w:val="pt-BR"/>
        </w:rPr>
        <w:t>Trabalho Prático 1 - Recuperação de Informação</w:t>
      </w:r>
    </w:p>
    <w:p w14:paraId="38703926" w14:textId="1B0D3CA5" w:rsidR="005D4938" w:rsidRPr="00C719B2" w:rsidRDefault="00000000">
      <w:pPr>
        <w:keepLines/>
        <w:spacing w:after="80" w:line="240" w:lineRule="auto"/>
        <w:jc w:val="center"/>
        <w:rPr>
          <w:lang w:val="pt-BR"/>
        </w:rPr>
      </w:pPr>
      <w:r w:rsidRPr="00C719B2">
        <w:rPr>
          <w:b/>
          <w:lang w:val="pt-BR"/>
        </w:rPr>
        <w:t>Henrique Yukio Sekido</w:t>
      </w:r>
      <w:r w:rsidR="00C719B2">
        <w:rPr>
          <w:b/>
          <w:lang w:val="pt-BR"/>
        </w:rPr>
        <w:t xml:space="preserve"> - NUSP: 14614564</w:t>
      </w:r>
      <w:r w:rsidRPr="00C719B2">
        <w:rPr>
          <w:b/>
          <w:lang w:val="pt-BR"/>
        </w:rPr>
        <w:t>; Didrick Chancel Lignina Ndombi</w:t>
      </w:r>
      <w:r w:rsidR="00C719B2">
        <w:rPr>
          <w:b/>
          <w:lang w:val="pt-BR"/>
        </w:rPr>
        <w:t xml:space="preserve"> – NUSP: </w:t>
      </w:r>
      <w:r w:rsidR="00C719B2" w:rsidRPr="00C719B2">
        <w:rPr>
          <w:b/>
          <w:lang w:val="pt-BR"/>
        </w:rPr>
        <w:t>14822368</w:t>
      </w:r>
    </w:p>
    <w:p w14:paraId="444D2DFD" w14:textId="77777777" w:rsidR="005D4938" w:rsidRPr="00C719B2" w:rsidRDefault="00000000">
      <w:pPr>
        <w:keepLines/>
        <w:spacing w:after="80" w:line="240" w:lineRule="auto"/>
        <w:jc w:val="center"/>
        <w:rPr>
          <w:lang w:val="pt-BR"/>
        </w:rPr>
      </w:pPr>
      <w:r w:rsidRPr="00C719B2">
        <w:rPr>
          <w:i/>
          <w:sz w:val="20"/>
          <w:lang w:val="pt-BR"/>
        </w:rPr>
        <w:t>Instituto de Ciências Matemáticas e de Computação - Universidade de São Paulo</w:t>
      </w:r>
    </w:p>
    <w:p w14:paraId="5FEA0BD0" w14:textId="5F8D7F83" w:rsidR="005D4938" w:rsidRPr="00C719B2" w:rsidRDefault="00C719B2">
      <w:pPr>
        <w:keepLines/>
        <w:spacing w:after="80" w:line="240" w:lineRule="auto"/>
        <w:jc w:val="center"/>
        <w:rPr>
          <w:lang w:val="pt-BR"/>
        </w:rPr>
      </w:pPr>
      <w:r w:rsidRPr="00C719B2">
        <w:rPr>
          <w:sz w:val="20"/>
          <w:lang w:val="pt-BR"/>
        </w:rPr>
        <w:t>riqueyseki04@usp.br</w:t>
      </w:r>
      <w:r>
        <w:rPr>
          <w:sz w:val="20"/>
          <w:lang w:val="pt-BR"/>
        </w:rPr>
        <w:t xml:space="preserve">; </w:t>
      </w:r>
      <w:r w:rsidRPr="00C719B2">
        <w:rPr>
          <w:sz w:val="20"/>
          <w:lang w:val="pt-BR"/>
        </w:rPr>
        <w:t>egninachancel@usp.br</w:t>
      </w:r>
    </w:p>
    <w:p w14:paraId="30D420A7" w14:textId="77777777" w:rsidR="005D4938" w:rsidRPr="00C719B2" w:rsidRDefault="00000000">
      <w:pPr>
        <w:keepNext/>
        <w:keepLines/>
        <w:spacing w:before="120" w:after="80" w:line="240" w:lineRule="auto"/>
        <w:rPr>
          <w:lang w:val="pt-BR"/>
        </w:rPr>
      </w:pPr>
      <w:r w:rsidRPr="00C719B2">
        <w:rPr>
          <w:b/>
          <w:bCs/>
          <w:sz w:val="26"/>
          <w:szCs w:val="26"/>
          <w:lang w:val="pt-BR"/>
        </w:rPr>
        <w:t>1. Introdução</w:t>
      </w:r>
    </w:p>
    <w:p w14:paraId="54F56455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Este trabalho compara o Modelo Vetorial e o BM25 na recuperação de documentos científicos da coleção Cranfield. Investigam-se os efeitos do pré-processamento, dos parâmetros do BM25 e da reformulação de consultas, combinando avaliação quantitativa e análise de casos para compreender as diferenças entre modelos lexicais.</w:t>
      </w:r>
    </w:p>
    <w:p w14:paraId="6516FD86" w14:textId="77777777" w:rsidR="005D4938" w:rsidRPr="00C719B2" w:rsidRDefault="00000000">
      <w:pPr>
        <w:keepNext/>
        <w:keepLines/>
        <w:spacing w:before="120" w:after="80" w:line="240" w:lineRule="auto"/>
        <w:rPr>
          <w:lang w:val="pt-BR"/>
        </w:rPr>
      </w:pPr>
      <w:r w:rsidRPr="00C719B2">
        <w:rPr>
          <w:b/>
          <w:bCs/>
          <w:sz w:val="26"/>
          <w:szCs w:val="26"/>
          <w:lang w:val="pt-BR"/>
        </w:rPr>
        <w:t>2. Técnicas Utilizadas</w:t>
      </w:r>
    </w:p>
    <w:p w14:paraId="3E08E60E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Documentos e consultas são convertidos para minúsculas e tokenizados por expressão regular. Comparam-se quatro configurações: baseline (sem remoção de stopwords ou stemming), remoção de stopwords inglesas, Porter Stemmer e combinação das duas técnicas. Cada documento reúne título e texto.</w:t>
      </w:r>
      <w:r w:rsidRPr="00C719B2">
        <w:rPr>
          <w:lang w:val="pt-BR"/>
        </w:rPr>
        <w:br/>
        <w:t>O Vetorial representa documentos e consultas por TF-IDF, com TF = 1 + ln(tf) e IDF = ln((N + 1)/(df + 1)) + 1; o score é o produto escalar dividido pelas normas dos vetores. O BM25 calcula explicitamente IDF × tf(k1 + 1)/(tf + k1(1 - b + b·dl/avgdl)) por termo distinto da consulta, com IDF = ln(1 + (N - df + 0,5)/(df + 0,5)). Aqui, N é o número de documentos, df a frequência documental, dl o tamanho do documento e avgdl sua média. k1 controla a saturação da frequência e b, a normalização por tamanho.</w:t>
      </w:r>
    </w:p>
    <w:p w14:paraId="766E81E5" w14:textId="77777777" w:rsidR="005D4938" w:rsidRPr="00C719B2" w:rsidRDefault="00000000">
      <w:pPr>
        <w:keepNext/>
        <w:keepLines/>
        <w:spacing w:before="120" w:after="80" w:line="240" w:lineRule="auto"/>
        <w:rPr>
          <w:lang w:val="pt-BR"/>
        </w:rPr>
      </w:pPr>
      <w:r w:rsidRPr="00C719B2">
        <w:rPr>
          <w:b/>
          <w:bCs/>
          <w:sz w:val="26"/>
          <w:szCs w:val="26"/>
          <w:lang w:val="pt-BR"/>
        </w:rPr>
        <w:t>3. Avaliação</w:t>
      </w:r>
    </w:p>
    <w:p w14:paraId="087A3418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O Cranfield, carregado via ir_datasets, contém 1.400 documentos, 225 consultas e 1.837 julgamentos. Todos os experimentos usam essa coleção. Os qrels servem à avaliação, sem alterar diretamente os rankings: graus ≥ 1 são relevantes; -1 e documentos não julgados são não relevantes.</w:t>
      </w:r>
      <w:r w:rsidRPr="00C719B2">
        <w:rPr>
          <w:lang w:val="pt-BR"/>
        </w:rPr>
        <w:br/>
        <w:t>Calculam-se P@10 (relevantes entre os dez primeiros, divididos por dez), R@10 (relevantes recuperados no Top-10 sobre o total relevante) e AP, usando o ranking completo. MAP é a média das APs das 225 consultas. Os resultados são armazenados por consulta e agregados. Os dois modelos usam as quatro configurações; a grade BM25 combina k1 ∈ {0,5; 1,2; 2,0} e b ∈ {0; 0,75; 1} no pré-processamento de maior MAP do BM25 padrão.</w:t>
      </w:r>
    </w:p>
    <w:p w14:paraId="532D209C" w14:textId="77777777" w:rsidR="005D4938" w:rsidRPr="00C719B2" w:rsidRDefault="00000000">
      <w:pPr>
        <w:keepNext/>
        <w:keepLines/>
        <w:spacing w:before="120" w:after="80" w:line="240" w:lineRule="auto"/>
        <w:rPr>
          <w:lang w:val="pt-BR"/>
        </w:rPr>
      </w:pPr>
      <w:r w:rsidRPr="00C719B2">
        <w:rPr>
          <w:b/>
          <w:bCs/>
          <w:sz w:val="26"/>
          <w:szCs w:val="26"/>
          <w:lang w:val="pt-BR"/>
        </w:rPr>
        <w:t>4. Resultados e Análise</w:t>
      </w:r>
    </w:p>
    <w:p w14:paraId="0548DABD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Na Tabela 1, o BM25 mantém k1 = 1,2 e b = 0,75. Remover stopwords eleva a MAP de 0,282 para 0,292 no Vetorial e de 0,273 para 0,293 no BM25: a redução de palavras pouco discriminativas também modifica normas e tamanhos dos documentos. O stemming isolado atinge MAP de 0,303 nos dois modelos, compatível com maior correspondência entre variantes morfológicas. Combinadas, as técnicas alcançam 0,311 e 0,320, sugerindo benefícios complementares. Esses ganhos agregados não garantem melhora por consulta: a remoção pode eliminar informação e o stemming pode reunir sentidos distintos.</w:t>
      </w:r>
    </w:p>
    <w:p w14:paraId="56FC44DF" w14:textId="77777777" w:rsidR="005D4938" w:rsidRPr="00C719B2" w:rsidRDefault="00000000">
      <w:pPr>
        <w:keepNext/>
        <w:keepLines/>
        <w:spacing w:after="40" w:line="240" w:lineRule="auto"/>
        <w:jc w:val="center"/>
        <w:rPr>
          <w:lang w:val="pt-BR"/>
        </w:rPr>
      </w:pPr>
      <w:r w:rsidRPr="00C719B2">
        <w:rPr>
          <w:i/>
          <w:sz w:val="20"/>
          <w:lang w:val="pt-BR"/>
        </w:rPr>
        <w:lastRenderedPageBreak/>
        <w:t>Tabela 1 - Métricas agregadas por modelo e pré-processamento</w:t>
      </w:r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1928"/>
        <w:gridCol w:w="1929"/>
        <w:gridCol w:w="1927"/>
        <w:gridCol w:w="1927"/>
        <w:gridCol w:w="1927"/>
      </w:tblGrid>
      <w:tr w:rsidR="005D4938" w14:paraId="62078DEB" w14:textId="77777777">
        <w:trPr>
          <w:cantSplit/>
          <w:tblHeader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26EB126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232DC8C5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Pré-</w:t>
            </w:r>
            <w:proofErr w:type="spellStart"/>
            <w:r>
              <w:rPr>
                <w:b/>
                <w:color w:val="FFFFFF"/>
                <w:sz w:val="18"/>
              </w:rPr>
              <w:t>processamento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2E7BEEC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P@10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63833D0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R@10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3CC80F8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MAP</w:t>
            </w:r>
          </w:p>
        </w:tc>
      </w:tr>
      <w:tr w:rsidR="005D4938" w14:paraId="7711EA0B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DC6A34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 xml:space="preserve">Modelo </w:t>
            </w:r>
            <w:proofErr w:type="spellStart"/>
            <w:r>
              <w:rPr>
                <w:sz w:val="18"/>
              </w:rPr>
              <w:t>Vetorial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E3341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Baseline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7514E9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0,223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40A53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0,371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0FD959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0,282</w:t>
            </w:r>
          </w:p>
        </w:tc>
      </w:tr>
      <w:tr w:rsidR="005D4938" w14:paraId="254D91A2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054CA97A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 xml:space="preserve">Modelo </w:t>
            </w:r>
            <w:proofErr w:type="spellStart"/>
            <w:r>
              <w:rPr>
                <w:sz w:val="18"/>
              </w:rPr>
              <w:t>Vetorial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690E5C0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Stemming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66EC4C0E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0,240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122EB00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0,410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2424729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0,303</w:t>
            </w:r>
          </w:p>
        </w:tc>
      </w:tr>
      <w:tr w:rsidR="005D4938" w14:paraId="19B4621E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D8A7DA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 xml:space="preserve">Modelo </w:t>
            </w:r>
            <w:proofErr w:type="spellStart"/>
            <w:r>
              <w:rPr>
                <w:sz w:val="18"/>
              </w:rPr>
              <w:t>Vetorial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AC3249" w14:textId="77777777" w:rsidR="005D4938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sz w:val="18"/>
              </w:rPr>
              <w:t>Stopwords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11D71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0,231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7451A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0,382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6D99D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0,292</w:t>
            </w:r>
          </w:p>
        </w:tc>
      </w:tr>
      <w:tr w:rsidR="005D4938" w14:paraId="16C4CB7F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3824E08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 xml:space="preserve">Modelo </w:t>
            </w:r>
            <w:proofErr w:type="spellStart"/>
            <w:r>
              <w:rPr>
                <w:sz w:val="18"/>
              </w:rPr>
              <w:t>Vetorial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79C68DC1" w14:textId="77777777" w:rsidR="005D4938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sz w:val="18"/>
              </w:rPr>
              <w:t>Stopwords</w:t>
            </w:r>
            <w:proofErr w:type="spellEnd"/>
            <w:r>
              <w:rPr>
                <w:sz w:val="18"/>
              </w:rPr>
              <w:t xml:space="preserve"> + stemming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513928D6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0,243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18E0802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0,415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77A1D71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0,311</w:t>
            </w:r>
          </w:p>
        </w:tc>
      </w:tr>
      <w:tr w:rsidR="005D4938" w14:paraId="73E33E12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BF87A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BM25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C3D434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Baseline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B0B41F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0,227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FACBF4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0,383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6EF615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0,273</w:t>
            </w:r>
          </w:p>
        </w:tc>
      </w:tr>
      <w:tr w:rsidR="005D4938" w14:paraId="7F4D0FA2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6FD12C73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BM25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46A337F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Stemming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7EA769ED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0,231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7797AFD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0,390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1140D58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0,303</w:t>
            </w:r>
          </w:p>
        </w:tc>
      </w:tr>
      <w:tr w:rsidR="005D4938" w14:paraId="30121700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5DA765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BM25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EBBD1D" w14:textId="77777777" w:rsidR="005D4938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sz w:val="18"/>
              </w:rPr>
              <w:t>Stopwords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C2B8D5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0,236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399F2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0,396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9BFBA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0,293</w:t>
            </w:r>
          </w:p>
        </w:tc>
      </w:tr>
      <w:tr w:rsidR="005D4938" w14:paraId="44D53B63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410932F7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8"/>
              </w:rPr>
              <w:t>BM25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18F51103" w14:textId="77777777" w:rsidR="005D4938" w:rsidRDefault="00000000">
            <w:pPr>
              <w:spacing w:after="20" w:line="240" w:lineRule="auto"/>
              <w:jc w:val="center"/>
            </w:pPr>
            <w:proofErr w:type="spellStart"/>
            <w:r>
              <w:rPr>
                <w:sz w:val="18"/>
              </w:rPr>
              <w:t>Stopwords</w:t>
            </w:r>
            <w:proofErr w:type="spellEnd"/>
            <w:r>
              <w:rPr>
                <w:sz w:val="18"/>
              </w:rPr>
              <w:t xml:space="preserve"> + stemming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0C9A6D6B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8"/>
              </w:rPr>
              <w:t>0,238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1B6466BC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8"/>
              </w:rPr>
              <w:t>0,398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75C5EAFF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8"/>
              </w:rPr>
              <w:t>0,320</w:t>
            </w:r>
          </w:p>
        </w:tc>
      </w:tr>
    </w:tbl>
    <w:p w14:paraId="43541D75" w14:textId="77777777" w:rsidR="005D4938" w:rsidRDefault="00000000">
      <w:pPr>
        <w:keepNext/>
        <w:keepLines/>
        <w:spacing w:before="120" w:after="80" w:line="240" w:lineRule="auto"/>
      </w:pPr>
      <w:r>
        <w:rPr>
          <w:b/>
        </w:rPr>
        <w:t xml:space="preserve">4.1 </w:t>
      </w:r>
      <w:proofErr w:type="spellStart"/>
      <w:r>
        <w:rPr>
          <w:b/>
        </w:rPr>
        <w:t>Análise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consulta</w:t>
      </w:r>
    </w:p>
    <w:p w14:paraId="0CFAD8D7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Usa-se remoção de stopwords e stemming nos dois modelos, com k1 = 2,0 e b = 0,75 no BM25. A Tabela 2 lista os IDs nas posições 1 a 5, seguidos de R (relevante) ou N (não relevante). Frequências e tamanhos referem-se ao título e texto processados; avgdl = 100,35. Formas como flexibl e nozzl são termos após stemming. Os títulos mantêm a grafia original do corpus.</w:t>
      </w:r>
    </w:p>
    <w:p w14:paraId="0E5D6096" w14:textId="77777777" w:rsidR="005D4938" w:rsidRPr="00C719B2" w:rsidRDefault="00000000">
      <w:pPr>
        <w:keepNext/>
        <w:keepLines/>
        <w:spacing w:after="40" w:line="240" w:lineRule="auto"/>
        <w:jc w:val="center"/>
        <w:rPr>
          <w:lang w:val="pt-BR"/>
        </w:rPr>
      </w:pPr>
      <w:r w:rsidRPr="00C719B2">
        <w:rPr>
          <w:i/>
          <w:sz w:val="20"/>
          <w:lang w:val="pt-BR"/>
        </w:rPr>
        <w:t>Tabela 2 - Comparação de consultas e relevância do Top 5</w:t>
      </w:r>
    </w:p>
    <w:tbl>
      <w:tblPr>
        <w:tblStyle w:val="TableNormal0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077"/>
        <w:gridCol w:w="680"/>
        <w:gridCol w:w="680"/>
        <w:gridCol w:w="2721"/>
        <w:gridCol w:w="2721"/>
        <w:gridCol w:w="1757"/>
      </w:tblGrid>
      <w:tr w:rsidR="005D4938" w14:paraId="46614EC7" w14:textId="77777777">
        <w:trPr>
          <w:cantSplit/>
          <w:tblHeader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2F4F21FA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7"/>
              </w:rPr>
              <w:t>Consulta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09D7323D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7"/>
              </w:rPr>
              <w:t>AP Vet.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1FAF0D6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7"/>
              </w:rPr>
              <w:t>AP BM25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19A1E796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7"/>
              </w:rPr>
              <w:t>Top 5 Vet.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733E1DB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7"/>
              </w:rPr>
              <w:t>Top 5 BM25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3105CB9F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7"/>
              </w:rPr>
              <w:t>Caso</w:t>
            </w:r>
          </w:p>
        </w:tc>
      </w:tr>
      <w:tr w:rsidR="005D4938" w14:paraId="63592E88" w14:textId="77777777">
        <w:trPr>
          <w:cantSplit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18151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205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EDE34E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0,500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35F9E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0,833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C1199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1287 (N); 1321 (R); 55 (N)</w:t>
            </w:r>
            <w:r>
              <w:rPr>
                <w:sz w:val="17"/>
              </w:rPr>
              <w:br/>
              <w:t>1322 (R); 337 (N)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FE92E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1321 (R); 1287 (N); 1322 (R)</w:t>
            </w:r>
            <w:r>
              <w:rPr>
                <w:sz w:val="17"/>
              </w:rPr>
              <w:br/>
              <w:t>78 (N); 55 (N)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55E5AE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BM25 superior</w:t>
            </w:r>
          </w:p>
        </w:tc>
      </w:tr>
      <w:tr w:rsidR="005D4938" w14:paraId="25D4B173" w14:textId="77777777">
        <w:trPr>
          <w:cantSplit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6F5B0E04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154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13359DE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0,500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0AF7508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0,833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4CD8376F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832 (N); 1088 (R); 1054 (N)</w:t>
            </w:r>
            <w:r>
              <w:rPr>
                <w:sz w:val="17"/>
              </w:rPr>
              <w:br/>
              <w:t>1087 (R); 1262 (N)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1DD37D9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1088 (R); 1054 (N); 1087 (R)</w:t>
            </w:r>
            <w:r>
              <w:rPr>
                <w:sz w:val="17"/>
              </w:rPr>
              <w:br/>
              <w:t>832 (N); 1086 (N)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55868CCE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BM25 superior</w:t>
            </w:r>
          </w:p>
        </w:tc>
      </w:tr>
      <w:tr w:rsidR="005D4938" w14:paraId="37E5FC71" w14:textId="77777777">
        <w:trPr>
          <w:cantSplit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A850D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168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32D7B9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0,267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8A98E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0,054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19388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750 (N); 965 (N); 118 (N)</w:t>
            </w:r>
            <w:r>
              <w:rPr>
                <w:sz w:val="17"/>
              </w:rPr>
              <w:br/>
              <w:t>341 (N); 217 (R)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996B2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750 (N); 118 (N); 341 (N)</w:t>
            </w:r>
            <w:r>
              <w:rPr>
                <w:sz w:val="17"/>
              </w:rPr>
              <w:br/>
              <w:t>157 (N); 965 (N)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2AFA8A7" w14:textId="77777777" w:rsidR="005D4938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sz w:val="17"/>
              </w:rPr>
              <w:t>Vetorial</w:t>
            </w:r>
            <w:proofErr w:type="spellEnd"/>
            <w:r>
              <w:rPr>
                <w:sz w:val="17"/>
              </w:rPr>
              <w:t xml:space="preserve"> superior</w:t>
            </w:r>
          </w:p>
        </w:tc>
      </w:tr>
      <w:tr w:rsidR="005D4938" w14:paraId="0DB87B09" w14:textId="77777777">
        <w:trPr>
          <w:cantSplit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0D12498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144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119A9429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0,717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7232A88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0,520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1C77653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1045 (R); 955 (N); 763 (R)</w:t>
            </w:r>
            <w:r>
              <w:rPr>
                <w:sz w:val="17"/>
              </w:rPr>
              <w:br/>
              <w:t>840 (R); 839 (R)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2B7378C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955 (N); 763 (R); 839 (R)</w:t>
            </w:r>
            <w:r>
              <w:rPr>
                <w:sz w:val="17"/>
              </w:rPr>
              <w:br/>
              <w:t>1363 (N); 1126 (N)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07EC424F" w14:textId="77777777" w:rsidR="005D4938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sz w:val="17"/>
              </w:rPr>
              <w:t>Vetorial</w:t>
            </w:r>
            <w:proofErr w:type="spellEnd"/>
            <w:r>
              <w:rPr>
                <w:sz w:val="17"/>
              </w:rPr>
              <w:t xml:space="preserve"> superior</w:t>
            </w:r>
          </w:p>
        </w:tc>
      </w:tr>
      <w:tr w:rsidR="005D4938" w14:paraId="778556D8" w14:textId="77777777">
        <w:trPr>
          <w:cantSplit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54D3C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4E168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0,001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C3BFD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0,001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CA28F4A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125 (N); 413 (N); 254 (N)</w:t>
            </w:r>
            <w:r>
              <w:rPr>
                <w:sz w:val="17"/>
              </w:rPr>
              <w:br/>
              <w:t>348 (N); 207 (N)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5FE5F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125 (N); 560 (N); 413 (N)</w:t>
            </w:r>
            <w:r>
              <w:rPr>
                <w:sz w:val="17"/>
              </w:rPr>
              <w:br/>
              <w:t>348 (N); 50 (N)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063E0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 xml:space="preserve">Ambos </w:t>
            </w:r>
            <w:proofErr w:type="spellStart"/>
            <w:r>
              <w:rPr>
                <w:sz w:val="17"/>
              </w:rPr>
              <w:t>baixos</w:t>
            </w:r>
            <w:proofErr w:type="spellEnd"/>
          </w:p>
        </w:tc>
      </w:tr>
      <w:tr w:rsidR="005D4938" w14:paraId="0C67DA16" w14:textId="77777777">
        <w:trPr>
          <w:cantSplit/>
        </w:trPr>
        <w:tc>
          <w:tcPr>
            <w:tcW w:w="10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51619C4C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28B5E4F4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0,001</w:t>
            </w:r>
          </w:p>
        </w:tc>
        <w:tc>
          <w:tcPr>
            <w:tcW w:w="6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651D3A35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0,001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2D4EEDBA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751 (N); 68 (N); 1153 (N)</w:t>
            </w:r>
            <w:r>
              <w:rPr>
                <w:sz w:val="17"/>
              </w:rPr>
              <w:br/>
              <w:t>228 (N); 1245 (N)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4802D6AE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751 (N); 1153 (N); 1209 (N)</w:t>
            </w:r>
            <w:r>
              <w:rPr>
                <w:sz w:val="17"/>
              </w:rPr>
              <w:br/>
              <w:t>1245 (N); 228 (N)</w:t>
            </w:r>
          </w:p>
        </w:tc>
        <w:tc>
          <w:tcPr>
            <w:tcW w:w="17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2FF2B072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 xml:space="preserve">Ambos </w:t>
            </w:r>
            <w:proofErr w:type="spellStart"/>
            <w:r>
              <w:rPr>
                <w:sz w:val="17"/>
              </w:rPr>
              <w:t>baixos</w:t>
            </w:r>
            <w:proofErr w:type="spellEnd"/>
          </w:p>
        </w:tc>
      </w:tr>
    </w:tbl>
    <w:p w14:paraId="07263B36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Nas consultas 205 e 154, o BM25 coloca relevantes nas posições 1 e 3, contra 2 e 4 no Vetorial. Na 205, sobre estabilidade em superfície flexível, 1321 tem 162 termos, cobre seis termos da consulta e repete flexibl oito vezes; 1287 tem 61 termos e cobre quatro. A norma vetorial maior de 1321 (59,00 contra 34,41) atenua seu ganho no cosseno. A combinação de frequência e normalização do BM25 o leva ao primeiro lugar. Na 154, sobre equações elípticas, 1088 cobre os nove termos distintos da consulta; 832 cobre apenas iter, equat e converg, mas concentra-os em 27 termos. Essa concentração favorece o cosseno; a cobertura mais ampla ajuda a explicar a preferência do BM25 por 1088.</w:t>
      </w:r>
    </w:p>
    <w:p w14:paraId="60BA4974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lastRenderedPageBreak/>
        <w:t>Na consulta 168, flow e nozzl aparecem duas vezes e recebem TF sublinear no Vetorial; o BM25 considera cada termo uma vez. O relevante 217 contém cinco ocorrências de flow e seis de nozzl, mas cobre apenas três termos distintos: fica em quinto no Vetorial e em 11º no BM25. Na 144, o relevante 1045 tem 19 termos, com três ocorrências de cylind e pressur, ambos repetidos na consulta. Sua concentração e normalização pelo cosseno ajudam a explicar a primeira posição no Vetorial, contra a sexta no BM25. Neste, 955 lidera com cinco ocorrências de membran e pressur. São hipóteses sustentadas pelos dados, sem isolamento experimental de cada fator.</w:t>
      </w:r>
    </w:p>
    <w:p w14:paraId="65A0C1E0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Nas consultas 22 e 31, P@10 é zero nos dois modelos. Na 22, o primeiro resultado, 125, repete skin e friction nove vezes cada; o único relevante, 68, não compartilha termos processados e recebe score zero. Na 31, 751 cobre sete termos da consulta, incluindo end, plate e bluff; o relevante 776 compartilha apenas two. A escassa correspondência lexical explica a baixa pontuação dos relevantes. Títulos aparentemente próximos ao tema não substituem os qrels.</w:t>
      </w:r>
    </w:p>
    <w:p w14:paraId="633AAD4D" w14:textId="77777777" w:rsidR="005D4938" w:rsidRPr="00C719B2" w:rsidRDefault="00000000">
      <w:pPr>
        <w:keepNext/>
        <w:keepLines/>
        <w:spacing w:before="120" w:after="80" w:line="240" w:lineRule="auto"/>
        <w:rPr>
          <w:lang w:val="pt-BR"/>
        </w:rPr>
      </w:pPr>
      <w:r w:rsidRPr="00C719B2">
        <w:rPr>
          <w:b/>
          <w:lang w:val="pt-BR"/>
        </w:rPr>
        <w:t>4.2 Parâmetros do BM25</w:t>
      </w:r>
    </w:p>
    <w:p w14:paraId="5D1757A2" w14:textId="77777777" w:rsidR="005D4938" w:rsidRPr="00C719B2" w:rsidRDefault="00000000">
      <w:pPr>
        <w:keepNext/>
        <w:keepLines/>
        <w:spacing w:after="40" w:line="240" w:lineRule="auto"/>
        <w:rPr>
          <w:lang w:val="pt-BR"/>
        </w:rPr>
      </w:pPr>
      <w:r w:rsidRPr="00C719B2">
        <w:rPr>
          <w:lang w:val="pt-BR"/>
        </w:rPr>
        <w:t>Tabela 3 - Grade de parâmetros do BM25</w:t>
      </w:r>
    </w:p>
    <w:tbl>
      <w:tblPr>
        <w:tblStyle w:val="TableNormal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5D4938" w14:paraId="00E99214" w14:textId="77777777">
        <w:trPr>
          <w:cantSplit/>
          <w:tblHeader/>
          <w:jc w:val="center"/>
        </w:trPr>
        <w:tc>
          <w:tcPr>
            <w:tcW w:w="2412" w:type="dxa"/>
            <w:shd w:val="clear" w:color="auto" w:fill="D9EAF7"/>
          </w:tcPr>
          <w:p w14:paraId="6389DAEF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</w:rPr>
              <w:t>k1</w:t>
            </w:r>
          </w:p>
        </w:tc>
        <w:tc>
          <w:tcPr>
            <w:tcW w:w="2412" w:type="dxa"/>
            <w:shd w:val="clear" w:color="auto" w:fill="D9EAF7"/>
          </w:tcPr>
          <w:p w14:paraId="3AA0F10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w="2412" w:type="dxa"/>
            <w:shd w:val="clear" w:color="auto" w:fill="D9EAF7"/>
          </w:tcPr>
          <w:p w14:paraId="4B4C144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</w:rPr>
              <w:t>P@10</w:t>
            </w:r>
          </w:p>
        </w:tc>
        <w:tc>
          <w:tcPr>
            <w:tcW w:w="2412" w:type="dxa"/>
            <w:shd w:val="clear" w:color="auto" w:fill="D9EAF7"/>
          </w:tcPr>
          <w:p w14:paraId="40B1D29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</w:rPr>
              <w:t>MAP</w:t>
            </w:r>
          </w:p>
        </w:tc>
      </w:tr>
      <w:tr w:rsidR="005D4938" w14:paraId="566D1280" w14:textId="77777777">
        <w:trPr>
          <w:cantSplit/>
          <w:jc w:val="center"/>
        </w:trPr>
        <w:tc>
          <w:tcPr>
            <w:tcW w:w="2412" w:type="dxa"/>
          </w:tcPr>
          <w:p w14:paraId="1B95AFD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0,5</w:t>
            </w:r>
          </w:p>
        </w:tc>
        <w:tc>
          <w:tcPr>
            <w:tcW w:w="2412" w:type="dxa"/>
          </w:tcPr>
          <w:p w14:paraId="58882CF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0,00</w:t>
            </w:r>
          </w:p>
        </w:tc>
        <w:tc>
          <w:tcPr>
            <w:tcW w:w="2412" w:type="dxa"/>
          </w:tcPr>
          <w:p w14:paraId="7B30EA5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0,206</w:t>
            </w:r>
          </w:p>
        </w:tc>
        <w:tc>
          <w:tcPr>
            <w:tcW w:w="2412" w:type="dxa"/>
          </w:tcPr>
          <w:p w14:paraId="1E9BB4A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0,279</w:t>
            </w:r>
          </w:p>
        </w:tc>
      </w:tr>
      <w:tr w:rsidR="005D4938" w14:paraId="6EB97B73" w14:textId="77777777">
        <w:trPr>
          <w:cantSplit/>
          <w:jc w:val="center"/>
        </w:trPr>
        <w:tc>
          <w:tcPr>
            <w:tcW w:w="2412" w:type="dxa"/>
          </w:tcPr>
          <w:p w14:paraId="316B911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0,5</w:t>
            </w:r>
          </w:p>
        </w:tc>
        <w:tc>
          <w:tcPr>
            <w:tcW w:w="2412" w:type="dxa"/>
          </w:tcPr>
          <w:p w14:paraId="06A9077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0,75</w:t>
            </w:r>
          </w:p>
        </w:tc>
        <w:tc>
          <w:tcPr>
            <w:tcW w:w="2412" w:type="dxa"/>
          </w:tcPr>
          <w:p w14:paraId="1D90A60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0,224</w:t>
            </w:r>
          </w:p>
        </w:tc>
        <w:tc>
          <w:tcPr>
            <w:tcW w:w="2412" w:type="dxa"/>
          </w:tcPr>
          <w:p w14:paraId="513EBBDA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0,297</w:t>
            </w:r>
          </w:p>
        </w:tc>
      </w:tr>
      <w:tr w:rsidR="005D4938" w14:paraId="3A392D47" w14:textId="77777777">
        <w:trPr>
          <w:cantSplit/>
          <w:jc w:val="center"/>
        </w:trPr>
        <w:tc>
          <w:tcPr>
            <w:tcW w:w="2412" w:type="dxa"/>
          </w:tcPr>
          <w:p w14:paraId="5CC1E223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0,5</w:t>
            </w:r>
          </w:p>
        </w:tc>
        <w:tc>
          <w:tcPr>
            <w:tcW w:w="2412" w:type="dxa"/>
          </w:tcPr>
          <w:p w14:paraId="150D403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1,00</w:t>
            </w:r>
          </w:p>
        </w:tc>
        <w:tc>
          <w:tcPr>
            <w:tcW w:w="2412" w:type="dxa"/>
          </w:tcPr>
          <w:p w14:paraId="38646BB9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0,224</w:t>
            </w:r>
          </w:p>
        </w:tc>
        <w:tc>
          <w:tcPr>
            <w:tcW w:w="2412" w:type="dxa"/>
          </w:tcPr>
          <w:p w14:paraId="7F855C7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0,298</w:t>
            </w:r>
          </w:p>
        </w:tc>
      </w:tr>
      <w:tr w:rsidR="005D4938" w14:paraId="72AD4D8A" w14:textId="77777777">
        <w:trPr>
          <w:cantSplit/>
          <w:jc w:val="center"/>
        </w:trPr>
        <w:tc>
          <w:tcPr>
            <w:tcW w:w="2412" w:type="dxa"/>
          </w:tcPr>
          <w:p w14:paraId="3E8AD3EF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1,2</w:t>
            </w:r>
          </w:p>
        </w:tc>
        <w:tc>
          <w:tcPr>
            <w:tcW w:w="2412" w:type="dxa"/>
          </w:tcPr>
          <w:p w14:paraId="6EF15B2D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0,00</w:t>
            </w:r>
          </w:p>
        </w:tc>
        <w:tc>
          <w:tcPr>
            <w:tcW w:w="2412" w:type="dxa"/>
          </w:tcPr>
          <w:p w14:paraId="3C43C80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0,216</w:t>
            </w:r>
          </w:p>
        </w:tc>
        <w:tc>
          <w:tcPr>
            <w:tcW w:w="2412" w:type="dxa"/>
          </w:tcPr>
          <w:p w14:paraId="0F5CB58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0,291</w:t>
            </w:r>
          </w:p>
        </w:tc>
      </w:tr>
      <w:tr w:rsidR="005D4938" w14:paraId="4D8E0AE9" w14:textId="77777777">
        <w:trPr>
          <w:cantSplit/>
          <w:jc w:val="center"/>
        </w:trPr>
        <w:tc>
          <w:tcPr>
            <w:tcW w:w="2412" w:type="dxa"/>
          </w:tcPr>
          <w:p w14:paraId="7D84A23D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1,2</w:t>
            </w:r>
          </w:p>
        </w:tc>
        <w:tc>
          <w:tcPr>
            <w:tcW w:w="2412" w:type="dxa"/>
          </w:tcPr>
          <w:p w14:paraId="6450E8C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0,75</w:t>
            </w:r>
          </w:p>
        </w:tc>
        <w:tc>
          <w:tcPr>
            <w:tcW w:w="2412" w:type="dxa"/>
          </w:tcPr>
          <w:p w14:paraId="0EFF2CC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0,238</w:t>
            </w:r>
          </w:p>
        </w:tc>
        <w:tc>
          <w:tcPr>
            <w:tcW w:w="2412" w:type="dxa"/>
          </w:tcPr>
          <w:p w14:paraId="6E65AC4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0,320</w:t>
            </w:r>
          </w:p>
        </w:tc>
      </w:tr>
      <w:tr w:rsidR="005D4938" w14:paraId="761C336D" w14:textId="77777777">
        <w:trPr>
          <w:cantSplit/>
          <w:jc w:val="center"/>
        </w:trPr>
        <w:tc>
          <w:tcPr>
            <w:tcW w:w="2412" w:type="dxa"/>
          </w:tcPr>
          <w:p w14:paraId="5D4569A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1,2</w:t>
            </w:r>
          </w:p>
        </w:tc>
        <w:tc>
          <w:tcPr>
            <w:tcW w:w="2412" w:type="dxa"/>
          </w:tcPr>
          <w:p w14:paraId="4AF22F49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1,00</w:t>
            </w:r>
          </w:p>
        </w:tc>
        <w:tc>
          <w:tcPr>
            <w:tcW w:w="2412" w:type="dxa"/>
          </w:tcPr>
          <w:p w14:paraId="480CEFA4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0,236</w:t>
            </w:r>
          </w:p>
        </w:tc>
        <w:tc>
          <w:tcPr>
            <w:tcW w:w="2412" w:type="dxa"/>
          </w:tcPr>
          <w:p w14:paraId="3352448A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0,314</w:t>
            </w:r>
          </w:p>
        </w:tc>
      </w:tr>
      <w:tr w:rsidR="005D4938" w14:paraId="303E8B31" w14:textId="77777777">
        <w:trPr>
          <w:cantSplit/>
          <w:jc w:val="center"/>
        </w:trPr>
        <w:tc>
          <w:tcPr>
            <w:tcW w:w="2412" w:type="dxa"/>
          </w:tcPr>
          <w:p w14:paraId="32EDDFE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2,0</w:t>
            </w:r>
          </w:p>
        </w:tc>
        <w:tc>
          <w:tcPr>
            <w:tcW w:w="2412" w:type="dxa"/>
          </w:tcPr>
          <w:p w14:paraId="6AB250D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0,00</w:t>
            </w:r>
          </w:p>
        </w:tc>
        <w:tc>
          <w:tcPr>
            <w:tcW w:w="2412" w:type="dxa"/>
          </w:tcPr>
          <w:p w14:paraId="55D43859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0,225</w:t>
            </w:r>
          </w:p>
        </w:tc>
        <w:tc>
          <w:tcPr>
            <w:tcW w:w="2412" w:type="dxa"/>
          </w:tcPr>
          <w:p w14:paraId="49828BE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0,298</w:t>
            </w:r>
          </w:p>
        </w:tc>
      </w:tr>
      <w:tr w:rsidR="005D4938" w14:paraId="411F9C44" w14:textId="77777777">
        <w:trPr>
          <w:cantSplit/>
          <w:jc w:val="center"/>
        </w:trPr>
        <w:tc>
          <w:tcPr>
            <w:tcW w:w="2412" w:type="dxa"/>
          </w:tcPr>
          <w:p w14:paraId="6A6EA1F4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2,0</w:t>
            </w:r>
          </w:p>
        </w:tc>
        <w:tc>
          <w:tcPr>
            <w:tcW w:w="2412" w:type="dxa"/>
          </w:tcPr>
          <w:p w14:paraId="3147EE99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0,75</w:t>
            </w:r>
          </w:p>
        </w:tc>
        <w:tc>
          <w:tcPr>
            <w:tcW w:w="2412" w:type="dxa"/>
          </w:tcPr>
          <w:p w14:paraId="2F993F1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0,244</w:t>
            </w:r>
          </w:p>
        </w:tc>
        <w:tc>
          <w:tcPr>
            <w:tcW w:w="2412" w:type="dxa"/>
          </w:tcPr>
          <w:p w14:paraId="2515671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t>0,323</w:t>
            </w:r>
          </w:p>
        </w:tc>
      </w:tr>
      <w:tr w:rsidR="005D4938" w14:paraId="6F15D176" w14:textId="77777777">
        <w:trPr>
          <w:cantSplit/>
          <w:jc w:val="center"/>
        </w:trPr>
        <w:tc>
          <w:tcPr>
            <w:tcW w:w="2412" w:type="dxa"/>
          </w:tcPr>
          <w:p w14:paraId="74BAB32B" w14:textId="77777777" w:rsidR="005D4938" w:rsidRDefault="00000000">
            <w:pPr>
              <w:spacing w:after="20" w:line="240" w:lineRule="auto"/>
              <w:jc w:val="center"/>
            </w:pPr>
            <w:r>
              <w:t>2,0</w:t>
            </w:r>
          </w:p>
        </w:tc>
        <w:tc>
          <w:tcPr>
            <w:tcW w:w="2412" w:type="dxa"/>
          </w:tcPr>
          <w:p w14:paraId="397869FD" w14:textId="77777777" w:rsidR="005D4938" w:rsidRDefault="00000000">
            <w:pPr>
              <w:spacing w:after="20" w:line="240" w:lineRule="auto"/>
              <w:jc w:val="center"/>
            </w:pPr>
            <w:r>
              <w:t>1,00</w:t>
            </w:r>
          </w:p>
        </w:tc>
        <w:tc>
          <w:tcPr>
            <w:tcW w:w="2412" w:type="dxa"/>
          </w:tcPr>
          <w:p w14:paraId="5B86E201" w14:textId="77777777" w:rsidR="005D4938" w:rsidRDefault="00000000">
            <w:pPr>
              <w:spacing w:after="20" w:line="240" w:lineRule="auto"/>
              <w:jc w:val="center"/>
            </w:pPr>
            <w:r>
              <w:t>0,241</w:t>
            </w:r>
          </w:p>
        </w:tc>
        <w:tc>
          <w:tcPr>
            <w:tcW w:w="2412" w:type="dxa"/>
          </w:tcPr>
          <w:p w14:paraId="60992B0F" w14:textId="77777777" w:rsidR="005D4938" w:rsidRDefault="00000000">
            <w:pPr>
              <w:spacing w:after="20" w:line="240" w:lineRule="auto"/>
              <w:jc w:val="center"/>
            </w:pPr>
            <w:r>
              <w:t>0,318</w:t>
            </w:r>
          </w:p>
        </w:tc>
      </w:tr>
    </w:tbl>
    <w:p w14:paraId="3311951A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Com b = 0,75, elevar k1 de 0,5 para 1,2 e 2,0 aumenta a MAP de 0,297 para 0,320 e 0,323, e P@10 de 0,224 para 0,238 e 0,244. Um k1 maior retarda a saturação, permitindo maior ganho com repetições: para dl = avgdl e tf = 5, o fator de frequência vale 1,36, 1,77 e 2,14, respectivamente. Isso é compatível com um benefício de valorizar repetições neste corpus, com ganho marginal menor entre 1,2 e 2,0. A tendência também ocorre com b = 0 e b = 1. A melhor combinação testada é k1 = 2,0 e b = 0,75; não se conclui que k1 ainda maior seria melhor.</w:t>
      </w:r>
    </w:p>
    <w:p w14:paraId="4491DC63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Mantendo k1 = 2,0 e remoção de stopwords com stemming, b = 0 elimina a normalização por tamanho e b = 1 a aplica integralmente. A Tabela 4 mostra o efeito sobre as métricas e a consulta 72, relativa a interações viscosas em escoamentos com baixo Reynolds e alto Mach.</w:t>
      </w:r>
    </w:p>
    <w:p w14:paraId="2AC0A8EB" w14:textId="77777777" w:rsidR="005D4938" w:rsidRPr="00C719B2" w:rsidRDefault="00000000">
      <w:pPr>
        <w:keepNext/>
        <w:keepLines/>
        <w:spacing w:after="40" w:line="240" w:lineRule="auto"/>
        <w:jc w:val="center"/>
        <w:rPr>
          <w:lang w:val="pt-BR"/>
        </w:rPr>
      </w:pPr>
      <w:r w:rsidRPr="00C719B2">
        <w:rPr>
          <w:lang w:val="pt-BR"/>
        </w:rPr>
        <w:t>Tabela 4 - Métricas do BM25 ao variar b com k1 = 2,0</w:t>
      </w:r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1927"/>
        <w:gridCol w:w="1928"/>
        <w:gridCol w:w="1928"/>
        <w:gridCol w:w="1927"/>
        <w:gridCol w:w="1928"/>
      </w:tblGrid>
      <w:tr w:rsidR="005D4938" w14:paraId="1474BA23" w14:textId="77777777">
        <w:trPr>
          <w:cantSplit/>
          <w:tblHeader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3C1D08E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b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40EA5A7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P@10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799E0A1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R@10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3EF69D74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MAP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1603377F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8"/>
              </w:rPr>
              <w:t>Top 5 da consulta 72</w:t>
            </w:r>
          </w:p>
        </w:tc>
      </w:tr>
      <w:tr w:rsidR="005D4938" w14:paraId="13F8B4D7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1590A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0,00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5A480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0,225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892E3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0,387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BE1A3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0,298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0098F4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 xml:space="preserve">N </w:t>
            </w:r>
            <w:proofErr w:type="spellStart"/>
            <w:r>
              <w:rPr>
                <w:sz w:val="18"/>
              </w:rPr>
              <w:t>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</w:t>
            </w:r>
            <w:proofErr w:type="spellEnd"/>
            <w:r>
              <w:rPr>
                <w:sz w:val="18"/>
              </w:rPr>
              <w:t xml:space="preserve"> R</w:t>
            </w:r>
          </w:p>
        </w:tc>
      </w:tr>
      <w:tr w:rsidR="005D4938" w14:paraId="5BE1BC19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473E5AA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0,75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3E2945A9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0,244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506241AE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0,405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647E8F85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>0,323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6654BCF4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8"/>
              </w:rPr>
              <w:t xml:space="preserve">R N </w:t>
            </w:r>
            <w:proofErr w:type="spellStart"/>
            <w:r>
              <w:rPr>
                <w:sz w:val="18"/>
              </w:rPr>
              <w:t>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</w:t>
            </w:r>
            <w:proofErr w:type="spellEnd"/>
            <w:r>
              <w:rPr>
                <w:sz w:val="18"/>
              </w:rPr>
              <w:t xml:space="preserve"> R</w:t>
            </w:r>
          </w:p>
        </w:tc>
      </w:tr>
      <w:tr w:rsidR="005D4938" w14:paraId="58637FE2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DF9F4A7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8"/>
              </w:rPr>
              <w:t>1,00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2BA83F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8"/>
              </w:rPr>
              <w:t>0,241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E26336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8"/>
              </w:rPr>
              <w:t>0,405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A04DEDD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8"/>
              </w:rPr>
              <w:t>0,318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E6B2BB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8"/>
              </w:rPr>
              <w:t xml:space="preserve">R N </w:t>
            </w:r>
            <w:proofErr w:type="spellStart"/>
            <w:r>
              <w:rPr>
                <w:sz w:val="18"/>
              </w:rPr>
              <w:t>N</w:t>
            </w:r>
            <w:proofErr w:type="spellEnd"/>
            <w:r>
              <w:rPr>
                <w:sz w:val="18"/>
              </w:rPr>
              <w:t xml:space="preserve"> R N</w:t>
            </w:r>
          </w:p>
        </w:tc>
      </w:tr>
    </w:tbl>
    <w:p w14:paraId="7C2DD3AB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lastRenderedPageBreak/>
        <w:t>Na consulta 72, o primeiro relevante aparece em quinto com b = 0; com b = 0,75, 630 passa ao primeiro lugar; com b = 1, 663 também sobe à quarta posição. A AP cresce de 0,071 para 0,153 e 0,167. Embora b = 1 seja melhor nessa consulta, b = 0,75 maximiza a MAP da coleção. A normalização muda o ranking, mas sua escolha depende do conjunto, não de um caso isolado.</w:t>
      </w:r>
    </w:p>
    <w:p w14:paraId="051E4DC5" w14:textId="77777777" w:rsidR="005D4938" w:rsidRPr="00C719B2" w:rsidRDefault="00000000">
      <w:pPr>
        <w:keepNext/>
        <w:keepLines/>
        <w:spacing w:before="120" w:after="80" w:line="240" w:lineRule="auto"/>
        <w:rPr>
          <w:lang w:val="pt-BR"/>
        </w:rPr>
      </w:pPr>
      <w:r w:rsidRPr="00C719B2">
        <w:rPr>
          <w:b/>
          <w:lang w:val="pt-BR"/>
        </w:rPr>
        <w:t>4.3 Reformulação manual de consultas</w:t>
      </w:r>
    </w:p>
    <w:p w14:paraId="769A41C6" w14:textId="77777777" w:rsidR="005D4938" w:rsidRPr="00C719B2" w:rsidRDefault="00000000">
      <w:pPr>
        <w:keepNext/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As consultas 22, 31, 44, 216 e 13 foram simplificadas para priorizar termos técnicos. As versões usam remoção de stopwords e stemming nos dois modelos e BM25 padrão (k1 = 1,2; b = 0,75), distinto da Tabela 2. Os parâmetros permanecem fixos entre original e reformulada, isolando o efeito da alteração textual.</w:t>
      </w:r>
    </w:p>
    <w:p w14:paraId="16DA4683" w14:textId="77777777" w:rsidR="005D4938" w:rsidRPr="00C719B2" w:rsidRDefault="00000000">
      <w:pPr>
        <w:keepNext/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V/B indica Vetorial/BM25. A interseção conta IDs comuns aos Top-10 original e reformulado de cada modelo, independentemente da posição; a última coluna mostra o primeiro ID antes e depois.</w:t>
      </w:r>
    </w:p>
    <w:p w14:paraId="4ECFD38D" w14:textId="77777777" w:rsidR="005D4938" w:rsidRPr="00C719B2" w:rsidRDefault="00000000">
      <w:pPr>
        <w:keepNext/>
        <w:keepLines/>
        <w:spacing w:after="40" w:line="240" w:lineRule="auto"/>
        <w:jc w:val="center"/>
        <w:rPr>
          <w:lang w:val="pt-BR"/>
        </w:rPr>
      </w:pPr>
      <w:r w:rsidRPr="00C719B2">
        <w:rPr>
          <w:lang w:val="pt-BR"/>
        </w:rPr>
        <w:t>Tabela 5 - Consultas reformuladas e mudanças no Top 10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077"/>
        <w:gridCol w:w="4025"/>
        <w:gridCol w:w="1587"/>
        <w:gridCol w:w="1389"/>
        <w:gridCol w:w="1559"/>
      </w:tblGrid>
      <w:tr w:rsidR="005D4938" w14:paraId="564506E3" w14:textId="77777777">
        <w:trPr>
          <w:cantSplit/>
          <w:tblHeader/>
          <w:jc w:val="center"/>
        </w:trPr>
        <w:tc>
          <w:tcPr>
            <w:tcW w:w="1077" w:type="dxa"/>
            <w:shd w:val="clear" w:color="auto" w:fill="1F4E79"/>
          </w:tcPr>
          <w:p w14:paraId="15F39866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Consulta</w:t>
            </w:r>
          </w:p>
        </w:tc>
        <w:tc>
          <w:tcPr>
            <w:tcW w:w="4025" w:type="dxa"/>
            <w:shd w:val="clear" w:color="auto" w:fill="1F4E79"/>
          </w:tcPr>
          <w:p w14:paraId="3D2A422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Original → </w:t>
            </w:r>
            <w:proofErr w:type="spellStart"/>
            <w:r>
              <w:rPr>
                <w:b/>
                <w:color w:val="FFFFFF"/>
                <w:sz w:val="19"/>
              </w:rPr>
              <w:t>reformulada</w:t>
            </w:r>
            <w:proofErr w:type="spellEnd"/>
          </w:p>
        </w:tc>
        <w:tc>
          <w:tcPr>
            <w:tcW w:w="1587" w:type="dxa"/>
            <w:shd w:val="clear" w:color="auto" w:fill="1F4E79"/>
          </w:tcPr>
          <w:p w14:paraId="19393F8B" w14:textId="77777777" w:rsidR="005D4938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Relevantes</w:t>
            </w:r>
            <w:proofErr w:type="spellEnd"/>
            <w:r>
              <w:rPr>
                <w:b/>
                <w:color w:val="FFFFFF"/>
                <w:sz w:val="19"/>
              </w:rPr>
              <w:br/>
              <w:t>V / B</w:t>
            </w:r>
          </w:p>
        </w:tc>
        <w:tc>
          <w:tcPr>
            <w:tcW w:w="1389" w:type="dxa"/>
            <w:shd w:val="clear" w:color="auto" w:fill="1F4E79"/>
          </w:tcPr>
          <w:p w14:paraId="44477BC1" w14:textId="77777777" w:rsidR="005D4938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Interseção</w:t>
            </w:r>
            <w:proofErr w:type="spellEnd"/>
            <w:r>
              <w:rPr>
                <w:b/>
                <w:color w:val="FFFFFF"/>
                <w:sz w:val="19"/>
              </w:rPr>
              <w:br/>
              <w:t>V / B</w:t>
            </w:r>
          </w:p>
        </w:tc>
        <w:tc>
          <w:tcPr>
            <w:tcW w:w="1559" w:type="dxa"/>
            <w:shd w:val="clear" w:color="auto" w:fill="1F4E79"/>
          </w:tcPr>
          <w:p w14:paraId="0563872A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Top 1</w:t>
            </w:r>
            <w:r>
              <w:rPr>
                <w:b/>
                <w:color w:val="FFFFFF"/>
                <w:sz w:val="19"/>
              </w:rPr>
              <w:br/>
              <w:t xml:space="preserve">antes → </w:t>
            </w:r>
            <w:proofErr w:type="spellStart"/>
            <w:r>
              <w:rPr>
                <w:b/>
                <w:color w:val="FFFFFF"/>
                <w:sz w:val="19"/>
              </w:rPr>
              <w:t>depois</w:t>
            </w:r>
            <w:proofErr w:type="spellEnd"/>
          </w:p>
        </w:tc>
      </w:tr>
      <w:tr w:rsidR="005D4938" w14:paraId="4A1135BC" w14:textId="77777777">
        <w:trPr>
          <w:cantSplit/>
          <w:jc w:val="center"/>
        </w:trPr>
        <w:tc>
          <w:tcPr>
            <w:tcW w:w="1077" w:type="dxa"/>
          </w:tcPr>
          <w:p w14:paraId="312607E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4025" w:type="dxa"/>
          </w:tcPr>
          <w:p w14:paraId="1B0945A4" w14:textId="77777777" w:rsidR="005D4938" w:rsidRDefault="00000000">
            <w:pPr>
              <w:keepNext/>
              <w:spacing w:after="20" w:line="240" w:lineRule="auto"/>
            </w:pPr>
            <w:r>
              <w:rPr>
                <w:sz w:val="19"/>
              </w:rPr>
              <w:t xml:space="preserve">Original: did anyone else discover that the turbulent skin friction is not over sensitive to the nature of the variation of the viscosity with </w:t>
            </w:r>
            <w:proofErr w:type="gramStart"/>
            <w:r>
              <w:rPr>
                <w:sz w:val="19"/>
              </w:rPr>
              <w:t>temperature .</w:t>
            </w:r>
            <w:proofErr w:type="gram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Reformulada</w:t>
            </w:r>
            <w:proofErr w:type="spellEnd"/>
            <w:r>
              <w:rPr>
                <w:sz w:val="19"/>
              </w:rPr>
              <w:t>: turbulent skin friction viscosity temperature relationship</w:t>
            </w:r>
          </w:p>
        </w:tc>
        <w:tc>
          <w:tcPr>
            <w:tcW w:w="1587" w:type="dxa"/>
          </w:tcPr>
          <w:p w14:paraId="4DC1649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0 → 0 / 0 → 0</w:t>
            </w:r>
          </w:p>
        </w:tc>
        <w:tc>
          <w:tcPr>
            <w:tcW w:w="1389" w:type="dxa"/>
          </w:tcPr>
          <w:p w14:paraId="0F3BED2A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7 / 7</w:t>
            </w:r>
          </w:p>
        </w:tc>
        <w:tc>
          <w:tcPr>
            <w:tcW w:w="1559" w:type="dxa"/>
          </w:tcPr>
          <w:p w14:paraId="0906199C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V: 125 → 378</w:t>
            </w:r>
            <w:r>
              <w:rPr>
                <w:sz w:val="19"/>
              </w:rPr>
              <w:br/>
              <w:t>B: 125 → 378</w:t>
            </w:r>
          </w:p>
        </w:tc>
      </w:tr>
      <w:tr w:rsidR="005D4938" w14:paraId="474B06E8" w14:textId="77777777">
        <w:trPr>
          <w:cantSplit/>
          <w:jc w:val="center"/>
        </w:trPr>
        <w:tc>
          <w:tcPr>
            <w:tcW w:w="1077" w:type="dxa"/>
          </w:tcPr>
          <w:p w14:paraId="114752C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4025" w:type="dxa"/>
          </w:tcPr>
          <w:p w14:paraId="783E6757" w14:textId="77777777" w:rsidR="005D4938" w:rsidRDefault="00000000">
            <w:pPr>
              <w:keepNext/>
              <w:spacing w:after="20" w:line="240" w:lineRule="auto"/>
            </w:pPr>
            <w:r>
              <w:rPr>
                <w:sz w:val="19"/>
              </w:rPr>
              <w:t xml:space="preserve">Original: what size of end plate can be safely used to simulate two-dimensional flow conditions over a bluff cylindrical body of finite aspect </w:t>
            </w:r>
            <w:proofErr w:type="gramStart"/>
            <w:r>
              <w:rPr>
                <w:sz w:val="19"/>
              </w:rPr>
              <w:t>ratio .</w:t>
            </w:r>
            <w:proofErr w:type="gram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Reformulada</w:t>
            </w:r>
            <w:proofErr w:type="spellEnd"/>
            <w:r>
              <w:rPr>
                <w:sz w:val="19"/>
              </w:rPr>
              <w:t>: end plate size two-dimensional flow bluff cylindrical body</w:t>
            </w:r>
          </w:p>
        </w:tc>
        <w:tc>
          <w:tcPr>
            <w:tcW w:w="1587" w:type="dxa"/>
          </w:tcPr>
          <w:p w14:paraId="0D0F5B69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0 → 0 / 0 → 0</w:t>
            </w:r>
          </w:p>
        </w:tc>
        <w:tc>
          <w:tcPr>
            <w:tcW w:w="1389" w:type="dxa"/>
          </w:tcPr>
          <w:p w14:paraId="213286B7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3 / 4</w:t>
            </w:r>
          </w:p>
        </w:tc>
        <w:tc>
          <w:tcPr>
            <w:tcW w:w="1559" w:type="dxa"/>
          </w:tcPr>
          <w:p w14:paraId="2A66DD7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V: 751 → 751</w:t>
            </w:r>
            <w:r>
              <w:rPr>
                <w:sz w:val="19"/>
              </w:rPr>
              <w:br/>
              <w:t>B: 751 → 751</w:t>
            </w:r>
          </w:p>
        </w:tc>
      </w:tr>
      <w:tr w:rsidR="005D4938" w14:paraId="771A8095" w14:textId="77777777">
        <w:trPr>
          <w:cantSplit/>
          <w:jc w:val="center"/>
        </w:trPr>
        <w:tc>
          <w:tcPr>
            <w:tcW w:w="1077" w:type="dxa"/>
          </w:tcPr>
          <w:p w14:paraId="2454C29B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44</w:t>
            </w:r>
          </w:p>
        </w:tc>
        <w:tc>
          <w:tcPr>
            <w:tcW w:w="4025" w:type="dxa"/>
          </w:tcPr>
          <w:p w14:paraId="62BA835B" w14:textId="77777777" w:rsidR="005D4938" w:rsidRDefault="00000000">
            <w:pPr>
              <w:keepNext/>
              <w:spacing w:after="20" w:line="240" w:lineRule="auto"/>
            </w:pPr>
            <w:r>
              <w:rPr>
                <w:sz w:val="19"/>
              </w:rPr>
              <w:t xml:space="preserve">Original: what are the details of the rigorous kinetic theory of </w:t>
            </w:r>
            <w:proofErr w:type="gramStart"/>
            <w:r>
              <w:rPr>
                <w:sz w:val="19"/>
              </w:rPr>
              <w:t>gases .</w:t>
            </w:r>
            <w:proofErr w:type="gramEnd"/>
            <w:r>
              <w:rPr>
                <w:sz w:val="19"/>
              </w:rPr>
              <w:t xml:space="preserve"> (chapman-</w:t>
            </w:r>
            <w:proofErr w:type="spellStart"/>
            <w:r>
              <w:rPr>
                <w:sz w:val="19"/>
              </w:rPr>
              <w:t>enskog</w:t>
            </w:r>
            <w:proofErr w:type="spellEnd"/>
            <w:r>
              <w:rPr>
                <w:sz w:val="19"/>
              </w:rPr>
              <w:t xml:space="preserve"> theory</w:t>
            </w:r>
            <w:proofErr w:type="gramStart"/>
            <w:r>
              <w:rPr>
                <w:sz w:val="19"/>
              </w:rPr>
              <w:t>) .</w:t>
            </w:r>
            <w:proofErr w:type="gram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Reformulada</w:t>
            </w:r>
            <w:proofErr w:type="spellEnd"/>
            <w:r>
              <w:rPr>
                <w:sz w:val="19"/>
              </w:rPr>
              <w:t xml:space="preserve">: Chapman </w:t>
            </w:r>
            <w:proofErr w:type="spellStart"/>
            <w:r>
              <w:rPr>
                <w:sz w:val="19"/>
              </w:rPr>
              <w:t>Enskog</w:t>
            </w:r>
            <w:proofErr w:type="spellEnd"/>
            <w:r>
              <w:rPr>
                <w:sz w:val="19"/>
              </w:rPr>
              <w:t xml:space="preserve"> theory kinetic gases</w:t>
            </w:r>
          </w:p>
        </w:tc>
        <w:tc>
          <w:tcPr>
            <w:tcW w:w="1587" w:type="dxa"/>
          </w:tcPr>
          <w:p w14:paraId="284E2C1A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0 → 0 / 0 → 0</w:t>
            </w:r>
          </w:p>
        </w:tc>
        <w:tc>
          <w:tcPr>
            <w:tcW w:w="1389" w:type="dxa"/>
          </w:tcPr>
          <w:p w14:paraId="59FEA674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6 / 7</w:t>
            </w:r>
          </w:p>
        </w:tc>
        <w:tc>
          <w:tcPr>
            <w:tcW w:w="1559" w:type="dxa"/>
          </w:tcPr>
          <w:p w14:paraId="19449526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V: 1190 → 1190</w:t>
            </w:r>
            <w:r>
              <w:rPr>
                <w:sz w:val="19"/>
              </w:rPr>
              <w:br/>
              <w:t>B: 1190 → 1190</w:t>
            </w:r>
          </w:p>
        </w:tc>
      </w:tr>
      <w:tr w:rsidR="005D4938" w14:paraId="01082827" w14:textId="77777777">
        <w:trPr>
          <w:cantSplit/>
          <w:jc w:val="center"/>
        </w:trPr>
        <w:tc>
          <w:tcPr>
            <w:tcW w:w="1077" w:type="dxa"/>
          </w:tcPr>
          <w:p w14:paraId="4EC3D3A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216</w:t>
            </w:r>
          </w:p>
        </w:tc>
        <w:tc>
          <w:tcPr>
            <w:tcW w:w="4025" w:type="dxa"/>
          </w:tcPr>
          <w:p w14:paraId="499BB3DD" w14:textId="77777777" w:rsidR="005D4938" w:rsidRDefault="00000000">
            <w:pPr>
              <w:keepNext/>
              <w:spacing w:after="20" w:line="240" w:lineRule="auto"/>
            </w:pPr>
            <w:r>
              <w:rPr>
                <w:sz w:val="19"/>
              </w:rPr>
              <w:t xml:space="preserve">Original: what investigations have been made of the wave system created by a static pressure distribution over a liquid </w:t>
            </w:r>
            <w:proofErr w:type="gramStart"/>
            <w:r>
              <w:rPr>
                <w:sz w:val="19"/>
              </w:rPr>
              <w:t>surface .</w:t>
            </w:r>
            <w:proofErr w:type="gram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Reformulada</w:t>
            </w:r>
            <w:proofErr w:type="spellEnd"/>
            <w:r>
              <w:rPr>
                <w:sz w:val="19"/>
              </w:rPr>
              <w:t>: wave system static pressure distribution liquid surface</w:t>
            </w:r>
          </w:p>
        </w:tc>
        <w:tc>
          <w:tcPr>
            <w:tcW w:w="1587" w:type="dxa"/>
          </w:tcPr>
          <w:p w14:paraId="75500B56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0 → 0 / 0 → 0</w:t>
            </w:r>
          </w:p>
        </w:tc>
        <w:tc>
          <w:tcPr>
            <w:tcW w:w="1389" w:type="dxa"/>
          </w:tcPr>
          <w:p w14:paraId="1ACFCB3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5 / 5</w:t>
            </w:r>
          </w:p>
        </w:tc>
        <w:tc>
          <w:tcPr>
            <w:tcW w:w="1559" w:type="dxa"/>
          </w:tcPr>
          <w:p w14:paraId="30B3E94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9"/>
              </w:rPr>
              <w:t>V: 175 → 407</w:t>
            </w:r>
            <w:r>
              <w:rPr>
                <w:sz w:val="19"/>
              </w:rPr>
              <w:br/>
              <w:t>B: 693 → 39</w:t>
            </w:r>
          </w:p>
        </w:tc>
      </w:tr>
      <w:tr w:rsidR="005D4938" w14:paraId="757111DC" w14:textId="77777777">
        <w:trPr>
          <w:cantSplit/>
          <w:jc w:val="center"/>
        </w:trPr>
        <w:tc>
          <w:tcPr>
            <w:tcW w:w="1077" w:type="dxa"/>
          </w:tcPr>
          <w:p w14:paraId="30F902DC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4025" w:type="dxa"/>
          </w:tcPr>
          <w:p w14:paraId="5BEF8F95" w14:textId="77777777" w:rsidR="005D4938" w:rsidRDefault="00000000">
            <w:pPr>
              <w:spacing w:after="20" w:line="240" w:lineRule="auto"/>
            </w:pPr>
            <w:r>
              <w:rPr>
                <w:sz w:val="19"/>
              </w:rPr>
              <w:t xml:space="preserve">Original: what is the basic mechanism of the transonic aileron </w:t>
            </w:r>
            <w:proofErr w:type="gramStart"/>
            <w:r>
              <w:rPr>
                <w:sz w:val="19"/>
              </w:rPr>
              <w:t>buzz .</w:t>
            </w:r>
            <w:proofErr w:type="gramEnd"/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Reformulada</w:t>
            </w:r>
            <w:proofErr w:type="spellEnd"/>
            <w:r>
              <w:rPr>
                <w:sz w:val="19"/>
              </w:rPr>
              <w:t>: transonic aileron buzz mechanism</w:t>
            </w:r>
          </w:p>
        </w:tc>
        <w:tc>
          <w:tcPr>
            <w:tcW w:w="1587" w:type="dxa"/>
          </w:tcPr>
          <w:p w14:paraId="10642E6C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9"/>
              </w:rPr>
              <w:t>0 → 0 / 0 → 0</w:t>
            </w:r>
          </w:p>
        </w:tc>
        <w:tc>
          <w:tcPr>
            <w:tcW w:w="1389" w:type="dxa"/>
          </w:tcPr>
          <w:p w14:paraId="6E559496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9"/>
              </w:rPr>
              <w:t>9 / 6</w:t>
            </w:r>
          </w:p>
        </w:tc>
        <w:tc>
          <w:tcPr>
            <w:tcW w:w="1559" w:type="dxa"/>
          </w:tcPr>
          <w:p w14:paraId="643236E6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9"/>
              </w:rPr>
              <w:t>V: 496 → 496</w:t>
            </w:r>
            <w:r>
              <w:rPr>
                <w:sz w:val="19"/>
              </w:rPr>
              <w:br/>
              <w:t>B: 496 → 496</w:t>
            </w:r>
          </w:p>
        </w:tc>
      </w:tr>
    </w:tbl>
    <w:p w14:paraId="0DC70BE0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Nenhuma reformulação aumenta o número de relevantes no Top-10. Nas consultas 22 e 216, o primeiro resultado muda sem ganho de relevância; nas 31, 44 e 13, ele permanece. Na 13, o documento 496 menciona transonic aileron buzz no título e continua em primeiro, embora não seja relevante segundo os qrels. Seus Top-10 preservam nove documentos no Vetorial e seis no BM25.</w:t>
      </w:r>
    </w:p>
    <w:p w14:paraId="281F5A08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lastRenderedPageBreak/>
        <w:t>A simplificação altera os pesos e a correspondência lexical, mas preserva grande parte do vocabulário técnico. Isso ajuda a explicar a estabilidade de alguns líderes e a ausência de ganho: encurtar a consulta não introduz necessariamente as relações semânticas ou o vocabulário dos documentos julgados relevantes.</w:t>
      </w:r>
    </w:p>
    <w:p w14:paraId="55CDAD96" w14:textId="77777777" w:rsidR="005D4938" w:rsidRPr="00C719B2" w:rsidRDefault="00000000">
      <w:pPr>
        <w:keepNext/>
        <w:keepLines/>
        <w:spacing w:before="120" w:after="80" w:line="240" w:lineRule="auto"/>
        <w:rPr>
          <w:lang w:val="pt-BR"/>
        </w:rPr>
      </w:pPr>
      <w:r w:rsidRPr="00C719B2">
        <w:rPr>
          <w:b/>
          <w:lang w:val="pt-BR"/>
        </w:rPr>
        <w:t>4.4 Análise de erros</w:t>
      </w:r>
    </w:p>
    <w:p w14:paraId="4E8934AC" w14:textId="77777777" w:rsidR="005D4938" w:rsidRPr="00C719B2" w:rsidRDefault="00000000">
      <w:pPr>
        <w:keepNext/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Com o melhor BM25 (stopwords + stemming, k1 = 2,0; b = 0,75), selecionaram-se dois não relevantes em primeiro lugar e um relevante fora do Top-10.</w:t>
      </w:r>
    </w:p>
    <w:p w14:paraId="00B69AE2" w14:textId="77777777" w:rsidR="005D4938" w:rsidRPr="00C719B2" w:rsidRDefault="00000000">
      <w:pPr>
        <w:keepNext/>
        <w:keepLines/>
        <w:spacing w:after="40" w:line="240" w:lineRule="auto"/>
        <w:jc w:val="center"/>
        <w:rPr>
          <w:lang w:val="pt-BR"/>
        </w:rPr>
      </w:pPr>
      <w:r w:rsidRPr="00C719B2">
        <w:rPr>
          <w:lang w:val="pt-BR"/>
        </w:rPr>
        <w:t>Tabela 6 - Casos selecionados para análise de erros</w:t>
      </w:r>
    </w:p>
    <w:tbl>
      <w:tblPr>
        <w:tblStyle w:val="TableNormal0"/>
        <w:tblW w:w="0" w:type="auto"/>
        <w:tblInd w:w="0" w:type="dxa"/>
        <w:tblLook w:val="04A0" w:firstRow="1" w:lastRow="0" w:firstColumn="1" w:lastColumn="0" w:noHBand="0" w:noVBand="1"/>
      </w:tblPr>
      <w:tblGrid>
        <w:gridCol w:w="1928"/>
        <w:gridCol w:w="1927"/>
        <w:gridCol w:w="1928"/>
        <w:gridCol w:w="1927"/>
        <w:gridCol w:w="1928"/>
      </w:tblGrid>
      <w:tr w:rsidR="005D4938" w14:paraId="1F969225" w14:textId="77777777">
        <w:trPr>
          <w:cantSplit/>
          <w:tblHeader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78606EE5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7"/>
              </w:rPr>
              <w:t>Caso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268B3A22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b/>
                <w:color w:val="FFFFFF"/>
                <w:sz w:val="17"/>
              </w:rPr>
              <w:t>Consulta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464201CB" w14:textId="77777777" w:rsidR="005D4938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Documento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6D4BA19C" w14:textId="77777777" w:rsidR="005D4938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Posição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F4E78"/>
            <w:vAlign w:val="center"/>
          </w:tcPr>
          <w:p w14:paraId="0983C7D9" w14:textId="77777777" w:rsidR="005D4938" w:rsidRDefault="00000000">
            <w:pPr>
              <w:keepNext/>
              <w:spacing w:after="2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Título</w:t>
            </w:r>
            <w:proofErr w:type="spellEnd"/>
            <w:r>
              <w:rPr>
                <w:b/>
                <w:color w:val="FFFFFF"/>
                <w:sz w:val="17"/>
              </w:rPr>
              <w:t xml:space="preserve"> do </w:t>
            </w:r>
            <w:proofErr w:type="spellStart"/>
            <w:r>
              <w:rPr>
                <w:b/>
                <w:color w:val="FFFFFF"/>
                <w:sz w:val="17"/>
              </w:rPr>
              <w:t>documento</w:t>
            </w:r>
            <w:proofErr w:type="spellEnd"/>
          </w:p>
        </w:tc>
      </w:tr>
      <w:tr w:rsidR="005D4938" w14:paraId="6D99F9BE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7165C3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 xml:space="preserve">Falso </w:t>
            </w:r>
            <w:proofErr w:type="spellStart"/>
            <w:r>
              <w:rPr>
                <w:sz w:val="17"/>
              </w:rPr>
              <w:t>positivo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59DF4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5D68C5F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760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D3BE2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31B281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Inelastic buckling of initially imperfect cylindrical shells subject to axial compression</w:t>
            </w:r>
          </w:p>
        </w:tc>
      </w:tr>
      <w:tr w:rsidR="005D4938" w14:paraId="72CF4D4E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470EEA0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 xml:space="preserve">Falso </w:t>
            </w:r>
            <w:proofErr w:type="spellStart"/>
            <w:r>
              <w:rPr>
                <w:sz w:val="17"/>
              </w:rPr>
              <w:t>positivo</w:t>
            </w:r>
            <w:proofErr w:type="spellEnd"/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22350010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6650206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761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2AF81145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vAlign w:val="center"/>
          </w:tcPr>
          <w:p w14:paraId="09BB5598" w14:textId="77777777" w:rsidR="005D4938" w:rsidRDefault="00000000">
            <w:pPr>
              <w:keepNext/>
              <w:spacing w:after="20" w:line="240" w:lineRule="auto"/>
              <w:jc w:val="center"/>
            </w:pPr>
            <w:r>
              <w:rPr>
                <w:sz w:val="17"/>
              </w:rPr>
              <w:t xml:space="preserve">Buckling of </w:t>
            </w:r>
            <w:proofErr w:type="gramStart"/>
            <w:r>
              <w:rPr>
                <w:sz w:val="17"/>
              </w:rPr>
              <w:t>sandwich</w:t>
            </w:r>
            <w:proofErr w:type="gramEnd"/>
            <w:r>
              <w:rPr>
                <w:sz w:val="17"/>
              </w:rPr>
              <w:t xml:space="preserve"> under normal pressure</w:t>
            </w:r>
          </w:p>
        </w:tc>
      </w:tr>
      <w:tr w:rsidR="005D4938" w14:paraId="15BF2DB7" w14:textId="77777777">
        <w:trPr>
          <w:cantSplit/>
        </w:trPr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D5A62B" w14:textId="77777777" w:rsidR="005D4938" w:rsidRDefault="00000000">
            <w:pPr>
              <w:spacing w:after="20" w:line="240" w:lineRule="auto"/>
              <w:jc w:val="center"/>
            </w:pPr>
            <w:proofErr w:type="spellStart"/>
            <w:r>
              <w:rPr>
                <w:sz w:val="17"/>
              </w:rPr>
              <w:t>Relevante</w:t>
            </w:r>
            <w:proofErr w:type="spellEnd"/>
            <w:r>
              <w:rPr>
                <w:sz w:val="17"/>
              </w:rPr>
              <w:t xml:space="preserve"> </w:t>
            </w:r>
            <w:proofErr w:type="gramStart"/>
            <w:r>
              <w:rPr>
                <w:sz w:val="17"/>
              </w:rPr>
              <w:t>fora do</w:t>
            </w:r>
            <w:proofErr w:type="gramEnd"/>
            <w:r>
              <w:rPr>
                <w:sz w:val="17"/>
              </w:rPr>
              <w:t xml:space="preserve"> Top 10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548AC6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5CAEE4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879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AE15F4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8D032A" w14:textId="77777777" w:rsidR="005D4938" w:rsidRDefault="00000000">
            <w:pPr>
              <w:spacing w:after="20" w:line="240" w:lineRule="auto"/>
              <w:jc w:val="center"/>
            </w:pPr>
            <w:r>
              <w:rPr>
                <w:sz w:val="17"/>
              </w:rPr>
              <w:t>Flutter model testing at transonic speeds</w:t>
            </w:r>
          </w:p>
        </w:tc>
      </w:tr>
    </w:tbl>
    <w:p w14:paraId="62497595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Na consulta 100, 760 compartilha termos sobre cascas cilíndricas imperfeitas e compressão axial, mas trata de flambagem inelástica; a consulta pede flambagem elástica. O modelo lexical não interpreta essa distinção como restrição.</w:t>
      </w:r>
    </w:p>
    <w:p w14:paraId="3730C67F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Na consulta 103, buckling e sandwich favorecem 761, mas a consulta exige uma esfera sanduíche e o título recuperado não especifica essa geometria. A correspondência de termos gerais não assegura a relevância para a restrição técnica.</w:t>
      </w:r>
    </w:p>
    <w:p w14:paraId="653BC928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Na consulta 1, o relevante 879 fica em 11º. Seu título aborda testes de flutter em velocidades transônicas, mas não contém similarity laws e heated aircraft. A diferença de vocabulário ajuda a explicar sua posição, apesar da relevância nos qrels.</w:t>
      </w:r>
    </w:p>
    <w:p w14:paraId="41A0E743" w14:textId="77777777" w:rsidR="005D4938" w:rsidRPr="00C719B2" w:rsidRDefault="00000000">
      <w:pPr>
        <w:keepNext/>
        <w:keepLines/>
        <w:spacing w:before="120" w:after="80" w:line="240" w:lineRule="auto"/>
        <w:rPr>
          <w:lang w:val="pt-BR"/>
        </w:rPr>
      </w:pPr>
      <w:r w:rsidRPr="00C719B2">
        <w:rPr>
          <w:b/>
          <w:bCs/>
          <w:sz w:val="26"/>
          <w:szCs w:val="26"/>
          <w:lang w:val="pt-BR"/>
        </w:rPr>
        <w:t>5. Considerações Finais</w:t>
      </w:r>
    </w:p>
    <w:p w14:paraId="54D4C61D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Remoção de stopwords e stemming produzem a melhor MAP nos dois modelos. O BM25 com k1 = 2,0 e b = 0,75 atinge a maior MAP (0,323), mas o Vetorial vence em algumas consultas. Os exemplos relacionam essas diferenças à cobertura lexical, frequência e normalização. As reformulações não melhoram a relevância no Top-10; os erros evidenciam limitações diante de restrições conceituais e diferenças de vocabulário.</w:t>
      </w:r>
    </w:p>
    <w:p w14:paraId="01C11909" w14:textId="77777777" w:rsidR="005D4938" w:rsidRPr="00C719B2" w:rsidRDefault="00000000">
      <w:pPr>
        <w:keepNext/>
        <w:keepLines/>
        <w:spacing w:before="120" w:after="80" w:line="240" w:lineRule="auto"/>
        <w:rPr>
          <w:lang w:val="pt-BR"/>
        </w:rPr>
      </w:pPr>
      <w:r w:rsidRPr="00C719B2">
        <w:rPr>
          <w:b/>
          <w:lang w:val="pt-BR"/>
        </w:rPr>
        <w:t>6. Uso de ferramentas de IA</w:t>
      </w:r>
    </w:p>
    <w:p w14:paraId="67EA2138" w14:textId="77777777" w:rsidR="005D4938" w:rsidRPr="00C719B2" w:rsidRDefault="00000000">
      <w:pPr>
        <w:keepLines/>
        <w:spacing w:after="80" w:line="240" w:lineRule="auto"/>
        <w:rPr>
          <w:lang w:val="pt-BR"/>
        </w:rPr>
      </w:pPr>
      <w:r w:rsidRPr="00C719B2">
        <w:rPr>
          <w:lang w:val="pt-BR"/>
        </w:rPr>
        <w:t>Ferramentas de IA apoiaram a revisão textual, a análise dos resultados, o ajuste do script de comparação e a conferência da especificação. Os resultados vêm dos experimentos do projeto; os integrantes são responsáveis por compreender código, fórmulas e conclusões.</w:t>
      </w:r>
    </w:p>
    <w:sectPr w:rsidR="005D4938" w:rsidRPr="00C719B2">
      <w:pgSz w:w="12240" w:h="15840"/>
      <w:pgMar w:top="1152" w:right="1296" w:bottom="1152" w:left="129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1E7B87-07F8-4F28-9779-E12AEF1517B2}"/>
    <w:embedBold r:id="rId2" w:fontKey="{27D6C85F-29F4-4EA8-BD21-6CAA31EDFD9B}"/>
    <w:embedItalic r:id="rId3" w:fontKey="{E81A3E11-813B-46D0-8073-BE75BFAC377A}"/>
    <w:embedBoldItalic r:id="rId4" w:fontKey="{583A3D48-6281-4E1F-86EE-F9EA746E98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01D118F-4A55-44CF-AE1F-93E556E1B2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938"/>
    <w:rsid w:val="005D4938"/>
    <w:rsid w:val="007938BC"/>
    <w:rsid w:val="00C7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A68F8"/>
  <w15:docId w15:val="{DEEA1142-61EE-49E4-BD55-C1F065A1D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719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1926</Words>
  <Characters>10404</Characters>
  <Application>Microsoft Office Word</Application>
  <DocSecurity>0</DocSecurity>
  <Lines>86</Lines>
  <Paragraphs>24</Paragraphs>
  <ScaleCrop>false</ScaleCrop>
  <Company/>
  <LinksUpToDate>false</LinksUpToDate>
  <CharactersWithSpaces>12306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Henrique Yukio Sekido</cp:lastModifiedBy>
  <cp:revision>2</cp:revision>
  <dcterms:created xsi:type="dcterms:W3CDTF">2026-09-24T21:57:00Z</dcterms:created>
  <dcterms:modified xsi:type="dcterms:W3CDTF">2026-09-24T21:59:00Z</dcterms:modified>
</cp:coreProperties>
</file>