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_GoBack"/>
      <w:r>
        <w:rPr>
          <w:rFonts w:hint="eastAsia"/>
        </w:rPr>
        <w:t>According to the contract, a company provides products to the selling company at the end of each quarter. The relevant information is shown in the following table.</w:t>
      </w:r>
      <w:r>
        <w:rPr>
          <w:rFonts w:hint="eastAsia"/>
          <w:lang w:val="en-US" w:eastAsia="zh-CN"/>
        </w:rPr>
        <w:t xml:space="preserve"> If there are too many products in the quarter and there is a surplus at the end of the quarter, the storage fee of RMB 2,000 will be paid for each ton of products overstocked in a quarter.  The current plant considers the best production plan, so that the plant can complete the contract (and no year-end balance) with the lowest production costs throughout the year. Using linear programming to solve this problem.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948"/>
        <w:gridCol w:w="31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Quarter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j</w:t>
            </w:r>
          </w:p>
        </w:tc>
        <w:tc>
          <w:tcPr>
            <w:tcW w:w="1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Production capacity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j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(tons)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cost of production (ten thousand yuan/ton)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 demanded b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j</w:t>
            </w:r>
            <w:r>
              <w:rPr>
                <w:rFonts w:hint="eastAsia"/>
                <w:vertAlign w:val="subscript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(tons)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9A7BC"/>
    <w:multiLevelType w:val="singleLevel"/>
    <w:tmpl w:val="FD29A7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6551"/>
    <w:rsid w:val="04877EE3"/>
    <w:rsid w:val="0C5A5225"/>
    <w:rsid w:val="2B6155A7"/>
    <w:rsid w:val="357E31B3"/>
    <w:rsid w:val="677B6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2020-10-23T11:25:00Z</dcterms:created>
  <dc:creator>大宇哥</dc:creator>
  <cp:lastModifiedBy>大宇哥</cp:lastModifiedBy>
  <dcterms:modified xsi:type="dcterms:W3CDTF">2020-10-23T11:50:20Z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