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E8187D">
      <w:pPr>
        <w:jc w:val="center"/>
        <w:rPr>
          <w:rFonts w:hint="eastAsia"/>
          <w:sz w:val="32"/>
          <w:szCs w:val="32"/>
        </w:rPr>
      </w:pPr>
      <w:r>
        <w:rPr>
          <w:rFonts w:hint="eastAsia"/>
          <w:b/>
          <w:bCs/>
          <w:sz w:val="32"/>
          <w:szCs w:val="32"/>
        </w:rPr>
        <w:t>高溢价并购中的企业价值评估问题研究——以捷强装备收购山东碳寻为例</w:t>
      </w:r>
    </w:p>
    <w:p w14:paraId="7E3F09AA">
      <w:pPr>
        <w:ind w:left="0" w:leftChars="0" w:firstLine="0" w:firstLineChars="0"/>
        <w:rPr>
          <w:rFonts w:hint="eastAsia"/>
        </w:rPr>
      </w:pPr>
      <w:r>
        <w:rPr>
          <w:rFonts w:hint="eastAsia"/>
          <w:b/>
          <w:bCs/>
        </w:rPr>
        <w:t>摘要：</w:t>
      </w:r>
      <w:r>
        <w:rPr>
          <w:rFonts w:hint="eastAsia"/>
        </w:rPr>
        <w:t>高溢价并购是资本市场的常见现象，其背后的企业价值评估问题直接关系到交易定价的公允性与上市公司治理的规范性。本文以2025年捷强装备以1656.72%的增值率收购山东碳寻51%股权为典型案例，系统</w:t>
      </w:r>
      <w:r>
        <w:rPr>
          <w:rFonts w:hint="eastAsia"/>
          <w:lang w:val="en-US" w:eastAsia="zh-CN"/>
        </w:rPr>
        <w:t>阐述了</w:t>
      </w:r>
      <w:r>
        <w:rPr>
          <w:rFonts w:hint="eastAsia"/>
        </w:rPr>
        <w:t>高溢价并购中企业价值评估的方法选择逻辑、收益法关键参数的确定依据及其合理性、业绩承诺机制的估值对冲功能，以及高估值带来的商誉减值风险等问题。研究发现</w:t>
      </w:r>
      <w:r>
        <w:rPr>
          <w:rFonts w:hint="eastAsia"/>
          <w:lang w:eastAsia="zh-CN"/>
        </w:rPr>
        <w:t>，</w:t>
      </w:r>
      <w:r>
        <w:rPr>
          <w:rFonts w:hint="eastAsia"/>
        </w:rPr>
        <w:t>高溢价并购中的收益法估值具有较强的主观性，其合理性高度依赖于对未来盈利预测的审慎性；业绩承诺是卖方对高估值的外部增信手段，但在极端情况下仍存在履约风险；高溢价并购形成的巨额商誉对收购方的资产负债表构成潜在冲击，未来减值风险不容忽视。本文为评估实务中收益法的参数选取提供了案例参照，也为监管部门关注高溢价并购的评估合理性与投资者识别并购估值风险提供了分析视角。</w:t>
      </w:r>
    </w:p>
    <w:p w14:paraId="514E4CE0">
      <w:pPr>
        <w:rPr>
          <w:rFonts w:hint="eastAsia"/>
        </w:rPr>
      </w:pPr>
    </w:p>
    <w:p w14:paraId="1A7A5954">
      <w:pPr>
        <w:ind w:left="0" w:leftChars="0" w:firstLine="0" w:firstLineChars="0"/>
        <w:jc w:val="left"/>
        <w:rPr>
          <w:rFonts w:hint="eastAsia"/>
        </w:rPr>
      </w:pPr>
      <w:r>
        <w:rPr>
          <w:rFonts w:hint="eastAsia"/>
          <w:b/>
          <w:bCs/>
        </w:rPr>
        <w:t>关键词：</w:t>
      </w:r>
      <w:r>
        <w:rPr>
          <w:rFonts w:hint="eastAsia"/>
        </w:rPr>
        <w:t>高溢价并购；企业价值评估；收益法；业绩承诺；商誉减值</w:t>
      </w:r>
    </w:p>
    <w:p w14:paraId="1D5ED871">
      <w:pPr>
        <w:rPr>
          <w:rFonts w:hint="eastAsia"/>
        </w:rPr>
      </w:pPr>
      <w:r>
        <w:rPr>
          <w:rFonts w:hint="eastAsia"/>
        </w:rPr>
        <w:br w:type="page"/>
      </w:r>
    </w:p>
    <w:p w14:paraId="400FA089">
      <w:pPr>
        <w:ind w:left="0" w:leftChars="0" w:firstLine="0" w:firstLineChars="0"/>
        <w:jc w:val="left"/>
        <w:rPr>
          <w:rFonts w:hint="eastAsia"/>
        </w:rPr>
      </w:pPr>
    </w:p>
    <w:p w14:paraId="4FE47174">
      <w:pPr>
        <w:pStyle w:val="2"/>
        <w:bidi w:val="0"/>
        <w:rPr>
          <w:rFonts w:hint="eastAsia"/>
        </w:rPr>
      </w:pPr>
      <w:bookmarkStart w:id="0" w:name="_Toc12838"/>
      <w:r>
        <w:rPr>
          <w:rFonts w:hint="eastAsia"/>
        </w:rPr>
        <w:t>Research on Enterprise Valuation Issues in High-Premium Mergers and Acquisitions: A Case Study of Jieqiang Equipment's Acquisition of Shandong Carbon Xun</w:t>
      </w:r>
      <w:bookmarkEnd w:id="0"/>
    </w:p>
    <w:p w14:paraId="0C1D40D5">
      <w:pPr>
        <w:rPr>
          <w:rFonts w:hint="eastAsia"/>
        </w:rPr>
      </w:pPr>
    </w:p>
    <w:p w14:paraId="31ED5413">
      <w:pPr>
        <w:ind w:left="0" w:leftChars="0" w:firstLine="0" w:firstLineChars="0"/>
        <w:rPr>
          <w:rFonts w:hint="eastAsia"/>
        </w:rPr>
      </w:pPr>
      <w:r>
        <w:rPr>
          <w:rFonts w:hint="eastAsia"/>
          <w:b/>
          <w:bCs/>
        </w:rPr>
        <w:t>Abstract:</w:t>
      </w:r>
      <w:r>
        <w:rPr>
          <w:rFonts w:hint="eastAsia"/>
        </w:rPr>
        <w:t xml:space="preserve"> High-premium M&amp;A is a common phenomenon in capital markets, and the underlying enterprise valuation issues directly affect the fairness of transaction pricing and the</w:t>
      </w:r>
      <w:r>
        <w:rPr>
          <w:rFonts w:hint="eastAsia"/>
          <w:lang w:val="en-US" w:eastAsia="zh-CN"/>
        </w:rPr>
        <w:t xml:space="preserve"> </w:t>
      </w:r>
      <w:r>
        <w:rPr>
          <w:rFonts w:hint="eastAsia"/>
        </w:rPr>
        <w:t>standardization of listed companies. This paper takes Jieqiang Equipment's acquisition of a 51% stake in Shandong Carbon Xun in 2025 at an appreciation rate of 1,656.72% as a typical case, and systematically examines the logic of valuation method selection in high-premium M&amp;A, the basis and reasonableness of key parameters in the income approach, the hedging function of the performance commitment mechanism, as well as the goodwill impairment risks arising from high valuations. The study finds that the income approach valuation in high-premium M&amp;A is highly subjective, and its reasonableness depends critically on the prudence of future earnings forecasts. Performance commitments serve as an external credit enhancement for high valuations, but still carry performance risk under extreme circumstances. The substantial goodwill generated by high-premium M&amp;A poses a potential threat to the acquirer's balance sheet, and the risk of future impairment cannot be ignored. This paper provides a case reference for the selection of income approach parameters in valuation practice, and offers an analytical perspective for regulators to assess the valuation reasonableness of high-premium M&amp;A and for investors to identify M&amp;A valuation risks.</w:t>
      </w:r>
    </w:p>
    <w:p w14:paraId="6B3929C5">
      <w:pPr>
        <w:rPr>
          <w:rFonts w:hint="eastAsia"/>
        </w:rPr>
      </w:pPr>
    </w:p>
    <w:p w14:paraId="2B3FB8C9">
      <w:pPr>
        <w:ind w:left="0" w:leftChars="0" w:firstLine="0" w:firstLineChars="0"/>
        <w:rPr>
          <w:rFonts w:hint="eastAsia"/>
        </w:rPr>
      </w:pPr>
      <w:r>
        <w:rPr>
          <w:rFonts w:hint="eastAsia"/>
          <w:b/>
          <w:bCs/>
        </w:rPr>
        <w:t>Keywords:</w:t>
      </w:r>
      <w:r>
        <w:rPr>
          <w:rFonts w:hint="eastAsia"/>
        </w:rPr>
        <w:t xml:space="preserve"> High-Premium Mergers and Acquisitions; Enterprise Valuation; Income Approach; Performance Commitment; Goodwill Impairment</w:t>
      </w:r>
    </w:p>
    <w:p w14:paraId="17242DB1">
      <w:pPr>
        <w:rPr>
          <w:rFonts w:hint="eastAsia"/>
        </w:rPr>
      </w:pPr>
    </w:p>
    <w:p w14:paraId="3A07322B">
      <w:pPr>
        <w:rPr>
          <w:rFonts w:hint="eastAsia"/>
        </w:rPr>
        <w:sectPr>
          <w:pgSz w:w="11906" w:h="16838"/>
          <w:pgMar w:top="1440" w:right="1800" w:bottom="1440" w:left="1800" w:header="851" w:footer="992" w:gutter="0"/>
          <w:cols w:space="425" w:num="1"/>
          <w:docGrid w:type="lines" w:linePitch="312" w:charSpace="0"/>
        </w:sectPr>
      </w:pPr>
      <w:r>
        <w:rPr>
          <w:rFonts w:hint="eastAsia"/>
        </w:rPr>
        <w:br w:type="page"/>
      </w:r>
    </w:p>
    <w:p w14:paraId="196020CA">
      <w:pPr>
        <w:rPr>
          <w:rFonts w:hint="eastAsia"/>
        </w:rPr>
      </w:pPr>
    </w:p>
    <w:sdt>
      <w:sdtPr>
        <w:rPr>
          <w:rFonts w:ascii="宋体" w:hAnsi="宋体" w:eastAsia="宋体" w:cstheme="minorBidi"/>
          <w:kern w:val="2"/>
          <w:sz w:val="21"/>
          <w:szCs w:val="24"/>
          <w:lang w:val="en-US" w:eastAsia="zh-CN" w:bidi="ar-SA"/>
        </w:rPr>
        <w:id w:val="147467224"/>
        <w15:color w:val="DBDBDB"/>
        <w:docPartObj>
          <w:docPartGallery w:val="Table of Contents"/>
          <w:docPartUnique/>
        </w:docPartObj>
      </w:sdtPr>
      <w:sdtContent>
        <w:p w14:paraId="5540B1F5">
          <w:pPr>
            <w:keepNext w:val="0"/>
            <w:keepLines w:val="0"/>
            <w:pageBreakBefore w:val="0"/>
            <w:kinsoku/>
            <w:wordWrap/>
            <w:overflowPunct/>
            <w:topLinePunct w:val="0"/>
            <w:autoSpaceDE/>
            <w:autoSpaceDN/>
            <w:bidi w:val="0"/>
            <w:adjustRightInd/>
            <w:snapToGrid/>
            <w:spacing w:before="0" w:beforeLines="0" w:after="0" w:afterLines="0" w:line="720" w:lineRule="auto"/>
            <w:ind w:left="0" w:leftChars="0" w:right="0" w:rightChars="0" w:firstLine="0" w:firstLineChars="0"/>
            <w:jc w:val="center"/>
            <w:textAlignment w:val="auto"/>
          </w:pPr>
          <w:r>
            <w:rPr>
              <w:rFonts w:ascii="宋体" w:hAnsi="宋体" w:eastAsia="宋体"/>
              <w:sz w:val="30"/>
              <w:szCs w:val="30"/>
            </w:rPr>
            <w:t>目录</w:t>
          </w:r>
          <w:r>
            <w:rPr>
              <w:sz w:val="30"/>
              <w:szCs w:val="30"/>
            </w:rPr>
            <w:fldChar w:fldCharType="begin"/>
          </w:r>
          <w:r>
            <w:rPr>
              <w:sz w:val="30"/>
              <w:szCs w:val="30"/>
            </w:rPr>
            <w:instrText xml:space="preserve">TOC \o "1-1" \h \u </w:instrText>
          </w:r>
          <w:r>
            <w:rPr>
              <w:sz w:val="30"/>
              <w:szCs w:val="30"/>
            </w:rPr>
            <w:fldChar w:fldCharType="separate"/>
          </w:r>
        </w:p>
        <w:p w14:paraId="6E2240C9">
          <w:pPr>
            <w:pStyle w:val="6"/>
            <w:keepNext w:val="0"/>
            <w:keepLines w:val="0"/>
            <w:pageBreakBefore w:val="0"/>
            <w:widowControl w:val="0"/>
            <w:tabs>
              <w:tab w:val="right" w:leader="dot" w:pos="8306"/>
            </w:tabs>
            <w:kinsoku/>
            <w:wordWrap/>
            <w:overflowPunct/>
            <w:topLinePunct w:val="0"/>
            <w:autoSpaceDE/>
            <w:autoSpaceDN/>
            <w:bidi w:val="0"/>
            <w:adjustRightInd/>
            <w:snapToGrid/>
            <w:spacing w:line="720" w:lineRule="auto"/>
            <w:textAlignment w:val="auto"/>
          </w:pPr>
          <w:r>
            <w:rPr>
              <w:szCs w:val="30"/>
            </w:rPr>
            <w:fldChar w:fldCharType="begin"/>
          </w:r>
          <w:r>
            <w:rPr>
              <w:szCs w:val="30"/>
            </w:rPr>
            <w:instrText xml:space="preserve"> HYPERLINK \l _Toc22766 </w:instrText>
          </w:r>
          <w:r>
            <w:rPr>
              <w:szCs w:val="30"/>
            </w:rPr>
            <w:fldChar w:fldCharType="separate"/>
          </w:r>
          <w:r>
            <w:rPr>
              <w:rFonts w:hint="eastAsia"/>
            </w:rPr>
            <w:t>一、引言</w:t>
          </w:r>
          <w:r>
            <w:tab/>
          </w:r>
          <w:r>
            <w:fldChar w:fldCharType="begin"/>
          </w:r>
          <w:r>
            <w:instrText xml:space="preserve"> PAGEREF _Toc22766 \h </w:instrText>
          </w:r>
          <w:r>
            <w:fldChar w:fldCharType="separate"/>
          </w:r>
          <w:r>
            <w:t>1</w:t>
          </w:r>
          <w:r>
            <w:fldChar w:fldCharType="end"/>
          </w:r>
          <w:r>
            <w:rPr>
              <w:szCs w:val="30"/>
            </w:rPr>
            <w:fldChar w:fldCharType="end"/>
          </w:r>
        </w:p>
        <w:p w14:paraId="1279CDF3">
          <w:pPr>
            <w:pStyle w:val="6"/>
            <w:keepNext w:val="0"/>
            <w:keepLines w:val="0"/>
            <w:pageBreakBefore w:val="0"/>
            <w:widowControl w:val="0"/>
            <w:tabs>
              <w:tab w:val="right" w:leader="dot" w:pos="8306"/>
            </w:tabs>
            <w:kinsoku/>
            <w:wordWrap/>
            <w:overflowPunct/>
            <w:topLinePunct w:val="0"/>
            <w:autoSpaceDE/>
            <w:autoSpaceDN/>
            <w:bidi w:val="0"/>
            <w:adjustRightInd/>
            <w:snapToGrid/>
            <w:spacing w:line="720" w:lineRule="auto"/>
            <w:textAlignment w:val="auto"/>
          </w:pPr>
          <w:r>
            <w:rPr>
              <w:szCs w:val="30"/>
            </w:rPr>
            <w:fldChar w:fldCharType="begin"/>
          </w:r>
          <w:r>
            <w:rPr>
              <w:szCs w:val="30"/>
            </w:rPr>
            <w:instrText xml:space="preserve"> HYPERLINK \l _Toc27885 </w:instrText>
          </w:r>
          <w:r>
            <w:rPr>
              <w:szCs w:val="30"/>
            </w:rPr>
            <w:fldChar w:fldCharType="separate"/>
          </w:r>
          <w:r>
            <w:rPr>
              <w:rFonts w:hint="eastAsia"/>
            </w:rPr>
            <w:t>二、案例概述：捷强装备收购山东碳寻</w:t>
          </w:r>
          <w:r>
            <w:tab/>
          </w:r>
          <w:r>
            <w:fldChar w:fldCharType="begin"/>
          </w:r>
          <w:r>
            <w:instrText xml:space="preserve"> PAGEREF _Toc27885 \h </w:instrText>
          </w:r>
          <w:r>
            <w:fldChar w:fldCharType="separate"/>
          </w:r>
          <w:r>
            <w:t>1</w:t>
          </w:r>
          <w:r>
            <w:fldChar w:fldCharType="end"/>
          </w:r>
          <w:r>
            <w:rPr>
              <w:szCs w:val="30"/>
            </w:rPr>
            <w:fldChar w:fldCharType="end"/>
          </w:r>
        </w:p>
        <w:p w14:paraId="547C984B">
          <w:pPr>
            <w:pStyle w:val="6"/>
            <w:keepNext w:val="0"/>
            <w:keepLines w:val="0"/>
            <w:pageBreakBefore w:val="0"/>
            <w:widowControl w:val="0"/>
            <w:tabs>
              <w:tab w:val="right" w:leader="dot" w:pos="8306"/>
            </w:tabs>
            <w:kinsoku/>
            <w:wordWrap/>
            <w:overflowPunct/>
            <w:topLinePunct w:val="0"/>
            <w:autoSpaceDE/>
            <w:autoSpaceDN/>
            <w:bidi w:val="0"/>
            <w:adjustRightInd/>
            <w:snapToGrid/>
            <w:spacing w:line="720" w:lineRule="auto"/>
            <w:textAlignment w:val="auto"/>
          </w:pPr>
          <w:r>
            <w:rPr>
              <w:szCs w:val="30"/>
            </w:rPr>
            <w:fldChar w:fldCharType="begin"/>
          </w:r>
          <w:r>
            <w:rPr>
              <w:szCs w:val="30"/>
            </w:rPr>
            <w:instrText xml:space="preserve"> HYPERLINK \l _Toc9946 </w:instrText>
          </w:r>
          <w:r>
            <w:rPr>
              <w:szCs w:val="30"/>
            </w:rPr>
            <w:fldChar w:fldCharType="separate"/>
          </w:r>
          <w:r>
            <w:rPr>
              <w:rFonts w:hint="eastAsia"/>
            </w:rPr>
            <w:t>三、高溢价并购中收益法估值的关键问题分析</w:t>
          </w:r>
          <w:r>
            <w:tab/>
          </w:r>
          <w:r>
            <w:fldChar w:fldCharType="begin"/>
          </w:r>
          <w:r>
            <w:instrText xml:space="preserve"> PAGEREF _Toc9946 \h </w:instrText>
          </w:r>
          <w:r>
            <w:fldChar w:fldCharType="separate"/>
          </w:r>
          <w:r>
            <w:t>2</w:t>
          </w:r>
          <w:r>
            <w:fldChar w:fldCharType="end"/>
          </w:r>
          <w:r>
            <w:rPr>
              <w:szCs w:val="30"/>
            </w:rPr>
            <w:fldChar w:fldCharType="end"/>
          </w:r>
        </w:p>
        <w:p w14:paraId="68C8B86A">
          <w:pPr>
            <w:pStyle w:val="6"/>
            <w:keepNext w:val="0"/>
            <w:keepLines w:val="0"/>
            <w:pageBreakBefore w:val="0"/>
            <w:widowControl w:val="0"/>
            <w:tabs>
              <w:tab w:val="right" w:leader="dot" w:pos="8306"/>
            </w:tabs>
            <w:kinsoku/>
            <w:wordWrap/>
            <w:overflowPunct/>
            <w:topLinePunct w:val="0"/>
            <w:autoSpaceDE/>
            <w:autoSpaceDN/>
            <w:bidi w:val="0"/>
            <w:adjustRightInd/>
            <w:snapToGrid/>
            <w:spacing w:line="720" w:lineRule="auto"/>
            <w:textAlignment w:val="auto"/>
          </w:pPr>
          <w:r>
            <w:rPr>
              <w:szCs w:val="30"/>
            </w:rPr>
            <w:fldChar w:fldCharType="begin"/>
          </w:r>
          <w:r>
            <w:rPr>
              <w:szCs w:val="30"/>
            </w:rPr>
            <w:instrText xml:space="preserve"> HYPERLINK \l _Toc10883 </w:instrText>
          </w:r>
          <w:r>
            <w:rPr>
              <w:szCs w:val="30"/>
            </w:rPr>
            <w:fldChar w:fldCharType="separate"/>
          </w:r>
          <w:r>
            <w:rPr>
              <w:rFonts w:hint="eastAsia"/>
              <w:lang w:val="en-US" w:eastAsia="zh-CN"/>
            </w:rPr>
            <w:t>四</w:t>
          </w:r>
          <w:r>
            <w:rPr>
              <w:rFonts w:hint="eastAsia"/>
            </w:rPr>
            <w:t>、高</w:t>
          </w:r>
          <w:bookmarkStart w:id="7" w:name="_GoBack"/>
          <w:r>
            <w:rPr>
              <w:rFonts w:hint="eastAsia"/>
            </w:rPr>
            <w:t>溢</w:t>
          </w:r>
          <w:bookmarkEnd w:id="7"/>
          <w:r>
            <w:rPr>
              <w:rFonts w:hint="eastAsia"/>
            </w:rPr>
            <w:t>价并购的商誉减值风险</w:t>
          </w:r>
          <w:r>
            <w:tab/>
          </w:r>
          <w:r>
            <w:fldChar w:fldCharType="begin"/>
          </w:r>
          <w:r>
            <w:instrText xml:space="preserve"> PAGEREF _Toc10883 \h </w:instrText>
          </w:r>
          <w:r>
            <w:fldChar w:fldCharType="separate"/>
          </w:r>
          <w:r>
            <w:t>3</w:t>
          </w:r>
          <w:r>
            <w:fldChar w:fldCharType="end"/>
          </w:r>
          <w:r>
            <w:rPr>
              <w:szCs w:val="30"/>
            </w:rPr>
            <w:fldChar w:fldCharType="end"/>
          </w:r>
        </w:p>
        <w:p w14:paraId="22084881">
          <w:pPr>
            <w:pStyle w:val="6"/>
            <w:keepNext w:val="0"/>
            <w:keepLines w:val="0"/>
            <w:pageBreakBefore w:val="0"/>
            <w:widowControl w:val="0"/>
            <w:tabs>
              <w:tab w:val="right" w:leader="dot" w:pos="8306"/>
            </w:tabs>
            <w:kinsoku/>
            <w:wordWrap/>
            <w:overflowPunct/>
            <w:topLinePunct w:val="0"/>
            <w:autoSpaceDE/>
            <w:autoSpaceDN/>
            <w:bidi w:val="0"/>
            <w:adjustRightInd/>
            <w:snapToGrid/>
            <w:spacing w:line="720" w:lineRule="auto"/>
            <w:textAlignment w:val="auto"/>
          </w:pPr>
          <w:r>
            <w:rPr>
              <w:szCs w:val="30"/>
            </w:rPr>
            <w:fldChar w:fldCharType="begin"/>
          </w:r>
          <w:r>
            <w:rPr>
              <w:szCs w:val="30"/>
            </w:rPr>
            <w:instrText xml:space="preserve"> HYPERLINK \l _Toc4522 </w:instrText>
          </w:r>
          <w:r>
            <w:rPr>
              <w:szCs w:val="30"/>
            </w:rPr>
            <w:fldChar w:fldCharType="separate"/>
          </w:r>
          <w:r>
            <w:rPr>
              <w:rFonts w:hint="eastAsia"/>
              <w:lang w:val="en-US" w:eastAsia="zh-CN"/>
            </w:rPr>
            <w:t>五</w:t>
          </w:r>
          <w:r>
            <w:rPr>
              <w:rFonts w:hint="eastAsia"/>
            </w:rPr>
            <w:t>、结论与启示</w:t>
          </w:r>
          <w:r>
            <w:tab/>
          </w:r>
          <w:r>
            <w:fldChar w:fldCharType="begin"/>
          </w:r>
          <w:r>
            <w:instrText xml:space="preserve"> PAGEREF _Toc4522 \h </w:instrText>
          </w:r>
          <w:r>
            <w:fldChar w:fldCharType="separate"/>
          </w:r>
          <w:r>
            <w:t>4</w:t>
          </w:r>
          <w:r>
            <w:fldChar w:fldCharType="end"/>
          </w:r>
          <w:r>
            <w:rPr>
              <w:szCs w:val="30"/>
            </w:rPr>
            <w:fldChar w:fldCharType="end"/>
          </w:r>
        </w:p>
        <w:p w14:paraId="4B795B2D">
          <w:pPr>
            <w:pStyle w:val="6"/>
            <w:keepNext w:val="0"/>
            <w:keepLines w:val="0"/>
            <w:pageBreakBefore w:val="0"/>
            <w:widowControl w:val="0"/>
            <w:tabs>
              <w:tab w:val="right" w:leader="dot" w:pos="8306"/>
            </w:tabs>
            <w:kinsoku/>
            <w:wordWrap/>
            <w:overflowPunct/>
            <w:topLinePunct w:val="0"/>
            <w:autoSpaceDE/>
            <w:autoSpaceDN/>
            <w:bidi w:val="0"/>
            <w:adjustRightInd/>
            <w:snapToGrid/>
            <w:spacing w:line="720" w:lineRule="auto"/>
            <w:textAlignment w:val="auto"/>
          </w:pPr>
          <w:r>
            <w:rPr>
              <w:szCs w:val="30"/>
            </w:rPr>
            <w:fldChar w:fldCharType="begin"/>
          </w:r>
          <w:r>
            <w:rPr>
              <w:szCs w:val="30"/>
            </w:rPr>
            <w:instrText xml:space="preserve"> HYPERLINK \l _Toc12923 </w:instrText>
          </w:r>
          <w:r>
            <w:rPr>
              <w:szCs w:val="30"/>
            </w:rPr>
            <w:fldChar w:fldCharType="separate"/>
          </w:r>
          <w:r>
            <w:rPr>
              <w:rFonts w:hint="eastAsia"/>
            </w:rPr>
            <w:t>参考文献</w:t>
          </w:r>
          <w:r>
            <w:tab/>
          </w:r>
          <w:r>
            <w:fldChar w:fldCharType="begin"/>
          </w:r>
          <w:r>
            <w:instrText xml:space="preserve"> PAGEREF _Toc12923 \h </w:instrText>
          </w:r>
          <w:r>
            <w:fldChar w:fldCharType="separate"/>
          </w:r>
          <w:r>
            <w:t>5</w:t>
          </w:r>
          <w:r>
            <w:fldChar w:fldCharType="end"/>
          </w:r>
          <w:r>
            <w:rPr>
              <w:szCs w:val="30"/>
            </w:rPr>
            <w:fldChar w:fldCharType="end"/>
          </w:r>
        </w:p>
        <w:p w14:paraId="51C646D2">
          <w:pPr>
            <w:keepNext w:val="0"/>
            <w:keepLines w:val="0"/>
            <w:pageBreakBefore w:val="0"/>
            <w:kinsoku/>
            <w:wordWrap/>
            <w:overflowPunct/>
            <w:topLinePunct w:val="0"/>
            <w:autoSpaceDE/>
            <w:autoSpaceDN/>
            <w:bidi w:val="0"/>
            <w:adjustRightInd/>
            <w:snapToGrid/>
            <w:spacing w:line="720" w:lineRule="auto"/>
            <w:textAlignment w:val="auto"/>
          </w:pPr>
          <w:r>
            <w:rPr>
              <w:szCs w:val="30"/>
            </w:rPr>
            <w:fldChar w:fldCharType="end"/>
          </w:r>
        </w:p>
      </w:sdtContent>
    </w:sdt>
    <w:p w14:paraId="610892C6"/>
    <w:p w14:paraId="5EA87B6A">
      <w:pPr>
        <w:ind w:left="0" w:leftChars="0" w:firstLine="0" w:firstLineChars="0"/>
        <w:jc w:val="left"/>
        <w:rPr>
          <w:rFonts w:hint="eastAsia"/>
        </w:rPr>
        <w:sectPr>
          <w:pgSz w:w="11906" w:h="16838"/>
          <w:pgMar w:top="1440" w:right="1800" w:bottom="1440" w:left="1800" w:header="851" w:footer="992" w:gutter="0"/>
          <w:cols w:space="425" w:num="1"/>
          <w:docGrid w:type="lines" w:linePitch="312" w:charSpace="0"/>
        </w:sectPr>
      </w:pPr>
    </w:p>
    <w:p w14:paraId="14165307">
      <w:pPr>
        <w:ind w:left="0" w:leftChars="0" w:firstLine="0" w:firstLineChars="0"/>
        <w:jc w:val="left"/>
        <w:rPr>
          <w:rFonts w:hint="eastAsia"/>
        </w:rPr>
      </w:pPr>
    </w:p>
    <w:p w14:paraId="1E69BB8B">
      <w:pPr>
        <w:rPr>
          <w:rFonts w:hint="eastAsia"/>
        </w:rPr>
      </w:pPr>
    </w:p>
    <w:p w14:paraId="78FF7462">
      <w:pPr>
        <w:pStyle w:val="2"/>
        <w:bidi w:val="0"/>
        <w:rPr>
          <w:rFonts w:hint="eastAsia"/>
        </w:rPr>
      </w:pPr>
      <w:bookmarkStart w:id="1" w:name="_Toc22766"/>
      <w:r>
        <w:rPr>
          <w:rFonts w:hint="eastAsia"/>
        </w:rPr>
        <w:t>一、引言</w:t>
      </w:r>
      <w:bookmarkEnd w:id="1"/>
    </w:p>
    <w:p w14:paraId="58C760AF">
      <w:pPr>
        <w:rPr>
          <w:rFonts w:hint="eastAsia"/>
        </w:rPr>
      </w:pPr>
      <w:r>
        <w:rPr>
          <w:rFonts w:hint="eastAsia"/>
        </w:rPr>
        <w:t>并购重组是资本市场优化资源配置的重要</w:t>
      </w:r>
      <w:r>
        <w:rPr>
          <w:rFonts w:hint="eastAsia"/>
          <w:lang w:val="en-US" w:eastAsia="zh-CN"/>
        </w:rPr>
        <w:t>方法</w:t>
      </w:r>
      <w:r>
        <w:rPr>
          <w:rFonts w:hint="eastAsia"/>
        </w:rPr>
        <w:t>，而企业价值评估则是并购交易定价的核心依据。然而，在A股市场的并购实践中，高溢价收购屡见不鲜，标的公司评估增值率</w:t>
      </w:r>
      <w:r>
        <w:rPr>
          <w:rFonts w:hint="eastAsia"/>
          <w:lang w:val="en-US" w:eastAsia="zh-CN"/>
        </w:rPr>
        <w:t>高达</w:t>
      </w:r>
      <w:r>
        <w:rPr>
          <w:rFonts w:hint="eastAsia"/>
        </w:rPr>
        <w:t>数倍乃至数十倍，引发市场对估值合理性的广泛质疑。高溢价并购背后，既是并购方</w:t>
      </w:r>
      <w:r>
        <w:rPr>
          <w:rFonts w:hint="eastAsia"/>
          <w:lang w:val="en-US" w:eastAsia="zh-CN"/>
        </w:rPr>
        <w:t>探索</w:t>
      </w:r>
      <w:r>
        <w:rPr>
          <w:rFonts w:hint="eastAsia"/>
        </w:rPr>
        <w:t>新赛道、新技术、新市场的</w:t>
      </w:r>
      <w:r>
        <w:rPr>
          <w:rFonts w:hint="eastAsia"/>
          <w:lang w:val="en-US" w:eastAsia="zh-CN"/>
        </w:rPr>
        <w:t>重要途径</w:t>
      </w:r>
      <w:r>
        <w:rPr>
          <w:rFonts w:hint="eastAsia"/>
        </w:rPr>
        <w:t>，也</w:t>
      </w:r>
      <w:r>
        <w:rPr>
          <w:rFonts w:hint="eastAsia"/>
          <w:lang w:val="en-US" w:eastAsia="zh-CN"/>
        </w:rPr>
        <w:t>反映</w:t>
      </w:r>
      <w:r>
        <w:rPr>
          <w:rFonts w:hint="eastAsia"/>
        </w:rPr>
        <w:t>出传统估值方法在新经济企业评价中的适用性</w:t>
      </w:r>
      <w:r>
        <w:rPr>
          <w:rFonts w:hint="eastAsia"/>
          <w:lang w:val="en-US" w:eastAsia="zh-CN"/>
        </w:rPr>
        <w:t>所面临的</w:t>
      </w:r>
      <w:r>
        <w:rPr>
          <w:rFonts w:hint="eastAsia"/>
        </w:rPr>
        <w:t>困境。</w:t>
      </w:r>
    </w:p>
    <w:p w14:paraId="14800576">
      <w:pPr>
        <w:rPr>
          <w:rFonts w:hint="eastAsia"/>
        </w:rPr>
      </w:pPr>
      <w:r>
        <w:rPr>
          <w:rFonts w:hint="eastAsia"/>
        </w:rPr>
        <w:t>高溢价并购中的评估问题至少涉及三个层次：第一，评估方法的选择——收益法、资产基础法和市场法为何往往出现巨大差异，评估机构依据什么理由选取收益法结论；第二，收益法关键参数的确定——收入增长率、毛利率、折现率等参数取值是否审慎，未来盈利预测是否具备可实现的基础；第三，高估值后的风险对冲机制——业绩承诺能否覆盖高溢价的风险敞口，商誉减值的可能性有多大。这些问题既是评估理论的前沿议题，也是并购监管和投资决策的实务焦点。本文选取捷强装备收购山东碳寻案为研究对象</w:t>
      </w:r>
      <w:r>
        <w:rPr>
          <w:rFonts w:hint="eastAsia"/>
          <w:lang w:eastAsia="zh-CN"/>
        </w:rPr>
        <w:t>，</w:t>
      </w:r>
      <w:r>
        <w:rPr>
          <w:rFonts w:hint="eastAsia"/>
        </w:rPr>
        <w:t>该案例具有典型性：标的公司成立于2023年，是一家从事纳米碳材料的初创企业，评估增值率高达1656.72%，而收购方捷强装备自身连亏三年半，主营业务持续下滑。交易的高估值与收购方的基本面形成鲜明反差，使其成为研究高溢价并购中估值问题的理想样本。本文通过梳理案例的交易结构、评估方法、参数选取、业绩承诺及后续商誉风险，系统</w:t>
      </w:r>
      <w:r>
        <w:rPr>
          <w:rFonts w:hint="eastAsia"/>
          <w:lang w:val="en-US" w:eastAsia="zh-CN"/>
        </w:rPr>
        <w:t>分析</w:t>
      </w:r>
      <w:r>
        <w:rPr>
          <w:rFonts w:hint="eastAsia"/>
        </w:rPr>
        <w:t>高溢价并购中企业价值评估的关键问题，并提出对评估实务的启示。</w:t>
      </w:r>
    </w:p>
    <w:p w14:paraId="7CF956AC">
      <w:pPr>
        <w:pStyle w:val="2"/>
        <w:bidi w:val="0"/>
        <w:rPr>
          <w:rFonts w:hint="eastAsia"/>
        </w:rPr>
      </w:pPr>
      <w:bookmarkStart w:id="2" w:name="_Toc27885"/>
      <w:r>
        <w:rPr>
          <w:rFonts w:hint="eastAsia"/>
        </w:rPr>
        <w:t>二、案例概述：捷强装备收购山东碳寻</w:t>
      </w:r>
      <w:bookmarkEnd w:id="2"/>
    </w:p>
    <w:p w14:paraId="12AA1F29">
      <w:pPr>
        <w:pStyle w:val="3"/>
        <w:bidi w:val="0"/>
        <w:rPr>
          <w:rFonts w:hint="eastAsia"/>
        </w:rPr>
      </w:pPr>
      <w:r>
        <w:rPr>
          <w:rFonts w:hint="eastAsia"/>
        </w:rPr>
        <w:t>2.1 交易双方基本情况</w:t>
      </w:r>
    </w:p>
    <w:p w14:paraId="6EA389A6">
      <w:pPr>
        <w:rPr>
          <w:rFonts w:hint="eastAsia"/>
        </w:rPr>
      </w:pPr>
      <w:r>
        <w:rPr>
          <w:rFonts w:hint="eastAsia"/>
        </w:rPr>
        <w:t>收购方：捷强装备（300875.SZ）</w:t>
      </w:r>
    </w:p>
    <w:p w14:paraId="6381BC47">
      <w:pPr>
        <w:rPr>
          <w:rFonts w:hint="eastAsia"/>
        </w:rPr>
      </w:pPr>
      <w:r>
        <w:rPr>
          <w:rFonts w:hint="eastAsia"/>
        </w:rPr>
        <w:t>捷强装备于2020年在创业板上市，主营业务为核化生防御装备的研发、生产和销售，核心产品包括核辐射监测设备、液压动力系统等。近年来，受行业竞争加剧和客户订购计划变化的影响，公司业绩持续下滑。2022年至2024年，公司累计亏损约3.72亿元。2025年上半年，公司实现营业收入1.07亿元，同比增长1.44%；归母净利润为-868.66万元，同比大幅下滑798.61%；扣非归母净利润为-1263.09万元，上年同期为-547.04万元。截至2025年9月，公司已连续亏损三年半。</w:t>
      </w:r>
    </w:p>
    <w:p w14:paraId="5C5DA841">
      <w:pPr>
        <w:rPr>
          <w:rFonts w:hint="eastAsia"/>
        </w:rPr>
      </w:pPr>
      <w:r>
        <w:rPr>
          <w:rFonts w:hint="eastAsia"/>
        </w:rPr>
        <w:t>山东碳寻成立于2023年7月，注册资本1000万元，主要从事纳米级碳材料及相关产品的研发、生产及销售，核心产品为碳纳米管导电浆料。截至2025年5月31日（评估基准日），山东碳寻总资产为1.03亿元，净资产账面值为586.32万元。2024年度实现净利润85.79万元，2025年1至5月实现营业收入6410.03万元、净利润612万元。标的公司大股东为武汉碳翁科技有限公司，持股70%。</w:t>
      </w:r>
    </w:p>
    <w:p w14:paraId="5D43B1CD">
      <w:pPr>
        <w:pStyle w:val="3"/>
        <w:bidi w:val="0"/>
        <w:rPr>
          <w:rFonts w:hint="eastAsia"/>
        </w:rPr>
      </w:pPr>
      <w:r>
        <w:rPr>
          <w:rFonts w:hint="eastAsia"/>
        </w:rPr>
        <w:t>2.2 交易结构与定价</w:t>
      </w:r>
    </w:p>
    <w:p w14:paraId="7339D741">
      <w:pPr>
        <w:rPr>
          <w:rFonts w:hint="eastAsia"/>
        </w:rPr>
      </w:pPr>
      <w:r>
        <w:rPr>
          <w:rFonts w:hint="eastAsia"/>
        </w:rPr>
        <w:t>2025年9月15日，捷强装备与武汉碳翁签署股权转让协议，拟以现金4690万元收购其持有的山东碳寻51%股权（对应认缴出资额510万元）。该交易对价基于评估机构出具的资产评估报告确定，具体定价逻辑如下：</w:t>
      </w:r>
    </w:p>
    <w:p w14:paraId="4320C990">
      <w:pPr>
        <w:rPr>
          <w:rFonts w:hint="eastAsia"/>
        </w:rPr>
      </w:pPr>
      <w:r>
        <w:rPr>
          <w:rFonts w:hint="eastAsia"/>
        </w:rPr>
        <w:t>（1）资产基础法评估结果</w:t>
      </w:r>
    </w:p>
    <w:p w14:paraId="4CF90563">
      <w:pPr>
        <w:rPr>
          <w:rFonts w:hint="eastAsia"/>
        </w:rPr>
      </w:pPr>
      <w:r>
        <w:rPr>
          <w:rFonts w:hint="eastAsia"/>
        </w:rPr>
        <w:t>以2025年5月31日为评估基准日，山东碳寻采用资产基础法评估的价值为694.76万元，较净资产账面值586.32万元增值18.49%。</w:t>
      </w:r>
    </w:p>
    <w:p w14:paraId="3A0AE290">
      <w:pPr>
        <w:rPr>
          <w:rFonts w:hint="eastAsia"/>
        </w:rPr>
      </w:pPr>
      <w:r>
        <w:rPr>
          <w:rFonts w:hint="eastAsia"/>
        </w:rPr>
        <w:t>（2）收益法评估结果</w:t>
      </w:r>
    </w:p>
    <w:p w14:paraId="57625F0A">
      <w:pPr>
        <w:rPr>
          <w:rFonts w:hint="eastAsia"/>
        </w:rPr>
      </w:pPr>
      <w:r>
        <w:rPr>
          <w:rFonts w:hint="eastAsia"/>
        </w:rPr>
        <w:t>采用收益法评估时，山东碳寻股东全部权益价值的评估值为1.03亿元，评估增值9713.68万元，增值率高达1656.72%。</w:t>
      </w:r>
    </w:p>
    <w:p w14:paraId="47BD1151">
      <w:pPr>
        <w:rPr>
          <w:rFonts w:hint="eastAsia"/>
        </w:rPr>
      </w:pPr>
      <w:r>
        <w:rPr>
          <w:rFonts w:hint="eastAsia"/>
        </w:rPr>
        <w:t>（3）最终交易对价的确定</w:t>
      </w:r>
    </w:p>
    <w:p w14:paraId="2BA8B0A7">
      <w:pPr>
        <w:rPr>
          <w:rFonts w:hint="eastAsia"/>
        </w:rPr>
      </w:pPr>
      <w:r>
        <w:rPr>
          <w:rFonts w:hint="eastAsia"/>
        </w:rPr>
        <w:t>两种评估方法的结果相差悬殊——收益法结论约是资产基础法的15倍。评估机构最终选取收益法评估结果作为定价参考依据，理由是被评估单位未来的经营状况和未来获利能力更能体现其整体价值，收益法评估已基本合理地考虑了企业经营战略、收益现金流、风险等因素，能够客观、全面地反映被评估单位的市场价值。经协商，交易各方以收益法评估值1.03亿元为基础，确定山东碳寻51%股权的交易价格为4690万元。</w:t>
      </w:r>
    </w:p>
    <w:p w14:paraId="0FEF66A0">
      <w:pPr>
        <w:pStyle w:val="3"/>
        <w:bidi w:val="0"/>
        <w:rPr>
          <w:rFonts w:hint="eastAsia"/>
        </w:rPr>
      </w:pPr>
      <w:r>
        <w:rPr>
          <w:rFonts w:hint="eastAsia"/>
        </w:rPr>
        <w:t>2.3 业绩承诺安排</w:t>
      </w:r>
    </w:p>
    <w:p w14:paraId="2C715198">
      <w:pPr>
        <w:rPr>
          <w:rFonts w:hint="eastAsia"/>
        </w:rPr>
      </w:pPr>
      <w:r>
        <w:rPr>
          <w:rFonts w:hint="eastAsia"/>
        </w:rPr>
        <w:t>为对冲高溢价可能带来的风险，交易设置了业绩承诺条款：转让方武汉碳翁确保山东碳寻在2025年至2027年三个年度内，累计实现净利润不低于5500万元，且任一年度内净利润不为负。</w:t>
      </w:r>
    </w:p>
    <w:p w14:paraId="66A5C306">
      <w:pPr>
        <w:rPr>
          <w:rFonts w:hint="eastAsia"/>
        </w:rPr>
      </w:pPr>
      <w:r>
        <w:rPr>
          <w:rFonts w:hint="eastAsia"/>
        </w:rPr>
        <w:t>这一业绩承诺具有重要的估值意义：以收益法评估值1.03亿元为分母，三年累计承诺净利润5500万元对应的</w:t>
      </w:r>
      <w:r>
        <w:rPr>
          <w:rFonts w:hint="eastAsia"/>
          <w:lang w:val="en-US" w:eastAsia="zh-CN"/>
        </w:rPr>
        <w:t>其所承诺的市盈率</w:t>
      </w:r>
      <w:r>
        <w:rPr>
          <w:rFonts w:hint="eastAsia"/>
        </w:rPr>
        <w:t>约为1.87倍，显著低于同行业并购交易的一般估值倍数。换句话说，交易估值虽高，但卖方通过高额业绩承诺在一定程度上提供了增信。</w:t>
      </w:r>
    </w:p>
    <w:p w14:paraId="088EF410">
      <w:pPr>
        <w:pStyle w:val="3"/>
        <w:bidi w:val="0"/>
        <w:rPr>
          <w:rFonts w:hint="eastAsia"/>
        </w:rPr>
      </w:pPr>
      <w:r>
        <w:rPr>
          <w:rFonts w:hint="eastAsia"/>
        </w:rPr>
        <w:t>2.4 交易完成情况</w:t>
      </w:r>
    </w:p>
    <w:p w14:paraId="239B0828">
      <w:pPr>
        <w:rPr>
          <w:rFonts w:hint="eastAsia"/>
        </w:rPr>
      </w:pPr>
      <w:r>
        <w:rPr>
          <w:rFonts w:hint="eastAsia"/>
        </w:rPr>
        <w:t>2025年9月30日，山东碳寻完成工商变更登记，捷强装备支付全部转让价款4690万元，山东碳寻纳入公司合并报表范围。</w:t>
      </w:r>
    </w:p>
    <w:p w14:paraId="16E0AA0C">
      <w:pPr>
        <w:pStyle w:val="2"/>
        <w:bidi w:val="0"/>
        <w:rPr>
          <w:rFonts w:hint="eastAsia"/>
        </w:rPr>
      </w:pPr>
      <w:bookmarkStart w:id="3" w:name="_Toc9946"/>
      <w:r>
        <w:rPr>
          <w:rFonts w:hint="eastAsia"/>
        </w:rPr>
        <w:t>三、高溢价并购中收益法估值的关键问题分析</w:t>
      </w:r>
      <w:bookmarkEnd w:id="3"/>
    </w:p>
    <w:p w14:paraId="764D7D87">
      <w:pPr>
        <w:rPr>
          <w:rFonts w:hint="eastAsia"/>
        </w:rPr>
      </w:pPr>
      <w:r>
        <w:rPr>
          <w:rFonts w:hint="eastAsia"/>
        </w:rPr>
        <w:t>收益法通过预测标的公司未来自由现金流并折现来评估企业价值，其估值结果对预测参数高度敏感。在高溢价并购中，收益法估值结果的合理性取决于三个核心要素：预测的审慎性、折现率的合理性以及方法选择的适恰性。以下结合捷强装备收购案展开分析。</w:t>
      </w:r>
    </w:p>
    <w:p w14:paraId="7B613F2F">
      <w:pPr>
        <w:pStyle w:val="3"/>
        <w:bidi w:val="0"/>
        <w:rPr>
          <w:rFonts w:hint="eastAsia"/>
        </w:rPr>
      </w:pPr>
      <w:r>
        <w:rPr>
          <w:rFonts w:hint="eastAsia"/>
        </w:rPr>
        <w:t>3.1 盈利预测的合理性</w:t>
      </w:r>
    </w:p>
    <w:p w14:paraId="3AE95F19">
      <w:pPr>
        <w:rPr>
          <w:rFonts w:hint="eastAsia"/>
        </w:rPr>
      </w:pPr>
      <w:r>
        <w:rPr>
          <w:rFonts w:hint="eastAsia"/>
        </w:rPr>
        <w:t>收益法估值的核心在于对未来盈利能力的预测。在捷强装备收购案中，山东碳寻的短期业绩表现与长期承诺之间存在值得关注的不匹配。</w:t>
      </w:r>
    </w:p>
    <w:p w14:paraId="23FEF3A1">
      <w:pPr>
        <w:rPr>
          <w:rFonts w:hint="eastAsia"/>
        </w:rPr>
      </w:pPr>
      <w:r>
        <w:rPr>
          <w:rFonts w:hint="eastAsia"/>
        </w:rPr>
        <w:t>历史业绩：山东碳寻2024年度净利润仅85.79万元，但2025年1至5月净利润已达612万元，五个月内的盈利水平已是前一年全年盈利的7倍以上。以5月份数据年化估算，全年净利润可达约1500万元。</w:t>
      </w:r>
    </w:p>
    <w:p w14:paraId="3229F54A">
      <w:pPr>
        <w:rPr>
          <w:rFonts w:hint="eastAsia"/>
        </w:rPr>
      </w:pPr>
      <w:r>
        <w:rPr>
          <w:rFonts w:hint="eastAsia"/>
        </w:rPr>
        <w:t>业绩承诺：2025—2027年累计净利润不低于5500万元，且任一年度净利润不为负。若按线性分布估算，年均净利润约为1833万元。</w:t>
      </w:r>
    </w:p>
    <w:p w14:paraId="730CF261">
      <w:pPr>
        <w:rPr>
          <w:rFonts w:hint="eastAsia"/>
        </w:rPr>
      </w:pPr>
      <w:r>
        <w:rPr>
          <w:rFonts w:hint="eastAsia"/>
        </w:rPr>
        <w:t>从历史数据看，山东碳寻在2025年前五个月已展现出显著的增长势头，半年内实现业绩大幅跃升，这在一定程度上支撑了其未来盈利预测。然而，对于一家成立于2023年7月、核心产品为碳纳米管导电浆料的新材料公司而言，业务模式和市场前景存在不确定性。碳纳米管导电浆料属于新能源电池产业链的上游材料，下游需求受新能源汽车产业发展、锂电池技术进步等多重因素影响，行业竞争激烈且技术迭代较快。此外，资产基础法下评估值仅694.76万元，与收益法估值1.03亿元形成巨大落差，也反映出收益法的盈利预测中包含了大量资产基础法无法体现的“软价值”——如客户关系、技术积累、管理团队能力、市场渠道等无形资产，但资产基础法未能合理反映这些资源的价值，而收益法能够较全面地反映交易标的价格利用这些资源所形成的整体价值。然而，这些“软价值”的可实现性，归根结底仍取决于标的公司能否兑现其盈利承诺。</w:t>
      </w:r>
    </w:p>
    <w:p w14:paraId="71A775F9">
      <w:pPr>
        <w:rPr>
          <w:rFonts w:hint="eastAsia"/>
        </w:rPr>
      </w:pPr>
      <w:r>
        <w:rPr>
          <w:rFonts w:hint="eastAsia"/>
        </w:rPr>
        <w:t>监管层面对此类问题也高度关注。投服中心（中证中小投资者服务中心）曾指出，在采用收益法进行估值时，收购前标的公司业绩激增会垫高估值的基础，基于高基数预测其未来具有较高的营业收入和净利润增长率，进而导致收益法下较高的估值和业绩承诺。如果标的公司收购前的业绩突增不可持续，则高估值将面临较大的“估值回归”风险。</w:t>
      </w:r>
    </w:p>
    <w:p w14:paraId="18164FEB">
      <w:pPr>
        <w:pStyle w:val="3"/>
        <w:bidi w:val="0"/>
        <w:rPr>
          <w:rFonts w:hint="eastAsia"/>
        </w:rPr>
      </w:pPr>
      <w:r>
        <w:rPr>
          <w:rFonts w:hint="eastAsia"/>
        </w:rPr>
        <w:t>3.2 折现率选取的关键</w:t>
      </w:r>
    </w:p>
    <w:p w14:paraId="75230158">
      <w:pPr>
        <w:rPr>
          <w:rFonts w:hint="eastAsia"/>
        </w:rPr>
      </w:pPr>
      <w:r>
        <w:rPr>
          <w:rFonts w:hint="eastAsia"/>
        </w:rPr>
        <w:t>折现率是收益法估值中的敏感参数，其微小变动可能对评估结果产生显著影响。由于公开披露信息有限，本次交易的评估报告未披露折现率的具体取值，但可以从一般评估实践的角度加以分析。</w:t>
      </w:r>
    </w:p>
    <w:p w14:paraId="68624991">
      <w:pPr>
        <w:rPr>
          <w:rFonts w:hint="eastAsia"/>
        </w:rPr>
      </w:pPr>
      <w:r>
        <w:rPr>
          <w:rFonts w:hint="eastAsia"/>
        </w:rPr>
        <w:t>根据通用评估参数设定逻辑，折现率的计算涉及无风险收益率和风险补偿两部分，一般设定为无风险收益率的2倍，视风险程度调整。对于山东碳寻这类初创企业，经营历史短（仅2年）、业务模式尚未充分验证、产品处于市场拓展初期，其经营风险、财务风险和市场风险均显著高于成熟企业，理论上应当适用较高的风险溢价。高折现率会显著压低未来现金流的现值，从而降低收益法评估值。</w:t>
      </w:r>
    </w:p>
    <w:p w14:paraId="12F7DE63">
      <w:pPr>
        <w:rPr>
          <w:rFonts w:hint="eastAsia"/>
        </w:rPr>
      </w:pPr>
      <w:r>
        <w:rPr>
          <w:rFonts w:hint="eastAsia"/>
        </w:rPr>
        <w:t>评估机构在确定折现率时，需要综合考虑标的公司的资本结构、所处行业的系统性风险（贝塔系数）以及企业特有风险溢价。从结果反推，以1.03亿元的评估值和年均约1800万元的净利润为基准，隐含的“收益率”约为17.5%。这一隐含回报率是否足以覆盖投资风险，是评估合理性的核心问题之一。</w:t>
      </w:r>
    </w:p>
    <w:p w14:paraId="2386888F">
      <w:pPr>
        <w:pStyle w:val="3"/>
        <w:bidi w:val="0"/>
        <w:rPr>
          <w:rFonts w:hint="eastAsia"/>
        </w:rPr>
      </w:pPr>
      <w:r>
        <w:rPr>
          <w:rFonts w:hint="eastAsia"/>
        </w:rPr>
        <w:t>3.3 评估方法选择的深层逻辑</w:t>
      </w:r>
    </w:p>
    <w:p w14:paraId="508C708D">
      <w:pPr>
        <w:rPr>
          <w:rFonts w:hint="eastAsia"/>
        </w:rPr>
      </w:pPr>
      <w:r>
        <w:rPr>
          <w:rFonts w:hint="eastAsia"/>
        </w:rPr>
        <w:t>两种评估方法的巨大差异——收益法1.03亿元与资产基础法694.76万元——折射出评估方法选择的深层逻辑，也反映了传统制造业思维与新兴企业估值理念之间的张力。</w:t>
      </w:r>
    </w:p>
    <w:p w14:paraId="3AB2FE48">
      <w:pPr>
        <w:rPr>
          <w:rFonts w:hint="eastAsia"/>
        </w:rPr>
      </w:pPr>
      <w:r>
        <w:rPr>
          <w:rFonts w:hint="eastAsia"/>
        </w:rPr>
        <w:t>从评估机构的角度来看，选取收益法结论具有逻辑上的自洽性。首先，收益法从企业获利的角度评估整体价值，能够将客户关系、技术优势、品牌溢价等资产基础法无法计量的无形资产纳入价值体系，对于处于快速成长期的新材料企业而言，这些“软资产”往往是其核心价值所在。其次，捷强装备收购山东碳寻属于跨界并购，收购方的核心目的不是获取厂房、设备等有形资产，而是进入纳米碳材料这一新兴赛道，获取技术、团队和市场渠道，收益法评估结果更符合此类“战略投资”的估值逻辑。</w:t>
      </w:r>
    </w:p>
    <w:p w14:paraId="0CD0D53E">
      <w:pPr>
        <w:rPr>
          <w:rFonts w:hint="eastAsia"/>
        </w:rPr>
      </w:pPr>
      <w:r>
        <w:rPr>
          <w:rFonts w:hint="eastAsia"/>
        </w:rPr>
        <w:t>然而，收益法的选择并非没有争议。收益法的估值建立在若干关键假设之上——企业能够持续经营、管理层具备履职能力、未来收益能够按预测模式实现甚至持续增长，这些假设本身就带有较强的主观性。此外，收益法评估值显著高于资产基础法时，其价值构成中存在大量“未入账的隐性资产”，这些隐性资产的价值能否在未来转化为真实的现金流，存在较大的不确定性。从这一意义上说，选择收益法作为定价依据，本质上是收购方对标的公司未来盈利能力的长期“看涨期权”——这既是投资决策的合理逻辑，也意味着风险在交易完成时已从卖方转移至买方。</w:t>
      </w:r>
    </w:p>
    <w:p w14:paraId="27F13CA3">
      <w:pPr>
        <w:rPr>
          <w:rFonts w:hint="eastAsia"/>
        </w:rPr>
      </w:pPr>
      <w:r>
        <w:rPr>
          <w:rFonts w:hint="eastAsia"/>
        </w:rPr>
        <w:t>此外，在本案例中，评估机构仅披露了采用了收益法和资产基础法两种方法，并未详细披露两种方法的预测数据、折现率取值、盈利预测的具体假设，更未披露两种方法之间是否存在交叉验证机制。这种信息披露的有限性，使外部投资者难以独立判断估值的合理边界，也削弱了市场对交易定价公允性的信任。</w:t>
      </w:r>
    </w:p>
    <w:p w14:paraId="4C020521">
      <w:pPr>
        <w:pStyle w:val="2"/>
        <w:bidi w:val="0"/>
        <w:rPr>
          <w:rFonts w:hint="eastAsia"/>
        </w:rPr>
      </w:pPr>
      <w:bookmarkStart w:id="4" w:name="_Toc10883"/>
      <w:r>
        <w:rPr>
          <w:rFonts w:hint="eastAsia"/>
          <w:lang w:val="en-US" w:eastAsia="zh-CN"/>
        </w:rPr>
        <w:t>四</w:t>
      </w:r>
      <w:r>
        <w:rPr>
          <w:rFonts w:hint="eastAsia"/>
        </w:rPr>
        <w:t>、高溢价并购的商誉减值风险</w:t>
      </w:r>
      <w:bookmarkEnd w:id="4"/>
    </w:p>
    <w:p w14:paraId="51BDFDEA">
      <w:pPr>
        <w:rPr>
          <w:rFonts w:hint="eastAsia"/>
        </w:rPr>
      </w:pPr>
      <w:r>
        <w:rPr>
          <w:rFonts w:hint="eastAsia"/>
        </w:rPr>
        <w:t>高溢价并购的财务后果往往体现在资产负债表的商誉科目。当收购方支付的交易对价超过标的公司可辨认净资产的公允价值时，超出部分确认为商誉。商誉本身不是一项贬值的资产，但当标的公司的盈利能力低于收购时的预期时，商誉将面临减值风险。</w:t>
      </w:r>
    </w:p>
    <w:p w14:paraId="4D726692">
      <w:pPr>
        <w:rPr>
          <w:rFonts w:hint="eastAsia"/>
        </w:rPr>
      </w:pPr>
      <w:r>
        <w:rPr>
          <w:rFonts w:hint="eastAsia"/>
        </w:rPr>
        <w:t>在捷强装备收购案中，捷强装备以4690万元收购山东碳寻51%股权，形成了一定规模的商誉。尽管本次收购形成的具体商誉金额未在公开信息中完整披露，但公司层面已存在商誉风险。截至2025年，捷强装备的商誉占其总资产的7.04%，但商誉减值准备仅为0.16%，已有投资者质疑公司是否存在利用商誉减值调节利润的可能性。事实上，捷强装备已启动对商誉的系统性减值测试。2025年度业绩预告显示，公司预计归母净利润亏损9000万元至1.2亿元，并将“对商誉进行系统性减值测试，本期将对部分子公司计提商誉减值”。这一系列信号表明，高溢价并购所蕴含的商誉减值风险正在逐步显性化。</w:t>
      </w:r>
    </w:p>
    <w:p w14:paraId="258D8FCE">
      <w:pPr>
        <w:rPr>
          <w:rFonts w:hint="eastAsia"/>
        </w:rPr>
      </w:pPr>
      <w:r>
        <w:rPr>
          <w:rFonts w:hint="eastAsia"/>
        </w:rPr>
        <w:t>更宏观地看，商誉减值的风险逻辑在于：收益法估值的高增长预测在并购完成后转化为会计上的商誉。如果标的公司实际业绩无法达到预测水平，商誉减值将在未来会计期间冲击收购方的利润表。对于山东碳寻而言，5500万元的三年累计净利润承诺能否如期兑现，直接关系到这笔高溢价收购所形成的商誉是否安全。若业绩承诺顺利完成，高估值得到验证，商誉风险得以化解；反之，若业绩大幅不及预期，不仅业绩补偿本身存在执行不确定性，商誉减值更将成为压垮收购方利润表的又一根稻草。</w:t>
      </w:r>
    </w:p>
    <w:p w14:paraId="7A1948FF">
      <w:pPr>
        <w:pStyle w:val="2"/>
        <w:bidi w:val="0"/>
        <w:rPr>
          <w:rFonts w:hint="eastAsia"/>
        </w:rPr>
      </w:pPr>
      <w:bookmarkStart w:id="5" w:name="_Toc4522"/>
      <w:r>
        <w:rPr>
          <w:rFonts w:hint="eastAsia"/>
          <w:lang w:val="en-US" w:eastAsia="zh-CN"/>
        </w:rPr>
        <w:t>五</w:t>
      </w:r>
      <w:r>
        <w:rPr>
          <w:rFonts w:hint="eastAsia"/>
        </w:rPr>
        <w:t>、结论与启示</w:t>
      </w:r>
      <w:bookmarkEnd w:id="5"/>
    </w:p>
    <w:p w14:paraId="5520063A">
      <w:pPr>
        <w:rPr>
          <w:rFonts w:hint="eastAsia"/>
        </w:rPr>
      </w:pPr>
      <w:r>
        <w:rPr>
          <w:rFonts w:hint="eastAsia"/>
        </w:rPr>
        <w:t>捷强装备收购山东碳寻案是高溢价并购中企业价值评估问题的典型案例。通过剖析这一案例，本文得出以下主要结论：</w:t>
      </w:r>
    </w:p>
    <w:p w14:paraId="26331BBC">
      <w:pPr>
        <w:rPr>
          <w:rFonts w:hint="eastAsia"/>
        </w:rPr>
      </w:pPr>
      <w:r>
        <w:rPr>
          <w:rFonts w:hint="eastAsia"/>
        </w:rPr>
        <w:t>第一，高溢价并购中的收益法估值具有较强的前瞻性，其合理性高度依赖于对未来盈利预测的审慎性和参数的选取。收益法与资产基础法评估结果之间的巨大差异，反映了有形资产价值与未来盈利能力预期之间的张力。在选取收益法结论时，评估机构需要更加审慎地论证盈利预测的可靠性，并对折现率等敏感参数进行充分的敏感性分析。</w:t>
      </w:r>
    </w:p>
    <w:p w14:paraId="1FEBA549">
      <w:pPr>
        <w:rPr>
          <w:rFonts w:hint="eastAsia"/>
        </w:rPr>
      </w:pPr>
      <w:r>
        <w:rPr>
          <w:rFonts w:hint="eastAsia"/>
        </w:rPr>
        <w:t>第二，业绩承诺作为高溢价并购中卖方增信的制度工具，在一定程度上有助于保护收购方利益，但其有效性受制于承诺方的履约能力和业绩承诺期过后的持续经营风险。监管机构和投资者在评估高溢价交易时，不能仅依赖业绩承诺的表面数字，还应关注承诺方的资信状况和标的公司业绩承诺期后的竞争力。</w:t>
      </w:r>
    </w:p>
    <w:p w14:paraId="7D0E7E8A">
      <w:pPr>
        <w:rPr>
          <w:rFonts w:hint="eastAsia"/>
        </w:rPr>
      </w:pPr>
      <w:r>
        <w:rPr>
          <w:rFonts w:hint="eastAsia"/>
        </w:rPr>
        <w:t>第三，高溢价并购形成的巨额商誉对收购方的资产负债表构成潜在冲击。收益法估值的高增长预测一旦未能兑现，商誉减值将直接冲击利润表。评估机构和审计机构在并购前后均应强化对商誉减值风险的审慎评估。</w:t>
      </w:r>
    </w:p>
    <w:p w14:paraId="1087BE92">
      <w:pPr>
        <w:rPr>
          <w:rFonts w:hint="eastAsia"/>
        </w:rPr>
      </w:pPr>
      <w:r>
        <w:rPr>
          <w:rFonts w:hint="eastAsia"/>
        </w:rPr>
        <w:t>基于以上分析，本文对评估实务提出以下启示：一是评估机构在采用收益法时应充分披露关键假设和参数取值，增强评估过程的可验证性；二是应建立收益法与资产基础法的交叉验证机制，对两种方法的估值差异提供合理解释；三是应当对业绩承诺的实现可行性进行独立评估，避免过度依赖卖方增信而放松对基本面价值的判断；四是监管部门应加强对高溢价并购评估报告的审核，重点关注盈利预测的合理性和折现率的适当性。</w:t>
      </w:r>
    </w:p>
    <w:p w14:paraId="34D40B17">
      <w:pPr>
        <w:rPr>
          <w:rFonts w:hint="eastAsia"/>
        </w:rPr>
      </w:pPr>
      <w:r>
        <w:rPr>
          <w:rFonts w:hint="eastAsia"/>
          <w:lang w:val="en-US" w:eastAsia="zh-CN"/>
        </w:rPr>
        <w:t>未来展望</w:t>
      </w:r>
      <w:r>
        <w:rPr>
          <w:rFonts w:hint="eastAsia"/>
        </w:rPr>
        <w:t>，随着注册制改革的深入和科创企业并购活动的增加，高溢价并购仍将是资本市场的常态化现象。如何在识别价值发现功能的同时防范估值泡沫风险，是评估行业、监管部门和投资者需要持续探索的课题。未来研究可进一步关注高溢价并购中不同评估方法的适用条件、业绩承诺的履约机制与估值之间的内在联系，以及机器学习等新技术在并购估值中的应用前景。</w:t>
      </w:r>
    </w:p>
    <w:p w14:paraId="26DBD7EF">
      <w:pPr>
        <w:rPr>
          <w:rFonts w:hint="eastAsia"/>
        </w:rPr>
      </w:pPr>
      <w:r>
        <w:rPr>
          <w:rFonts w:hint="eastAsia"/>
        </w:rPr>
        <w:br w:type="page"/>
      </w:r>
    </w:p>
    <w:p w14:paraId="26FCAF9A">
      <w:pPr>
        <w:rPr>
          <w:rFonts w:hint="eastAsia"/>
        </w:rPr>
      </w:pPr>
    </w:p>
    <w:p w14:paraId="451F0673">
      <w:pPr>
        <w:pStyle w:val="2"/>
        <w:bidi w:val="0"/>
        <w:rPr>
          <w:rFonts w:hint="eastAsia"/>
        </w:rPr>
      </w:pPr>
      <w:bookmarkStart w:id="6" w:name="_Toc12923"/>
      <w:r>
        <w:rPr>
          <w:rFonts w:hint="eastAsia"/>
        </w:rPr>
        <w:t>参考文献</w:t>
      </w:r>
      <w:bookmarkEnd w:id="6"/>
    </w:p>
    <w:p w14:paraId="02570385">
      <w:pPr>
        <w:bidi w:val="0"/>
        <w:ind w:left="0" w:leftChars="0" w:firstLine="0" w:firstLineChars="0"/>
        <w:rPr>
          <w:rFonts w:hint="eastAsia"/>
        </w:rPr>
      </w:pPr>
      <w:r>
        <w:rPr>
          <w:rFonts w:hint="eastAsia"/>
        </w:rPr>
        <w:t>[1] 北京商报. 抛高溢价并购案，捷强装备跨界“豪赌”[N]. 北京商报, 2025-09-17.</w:t>
      </w:r>
    </w:p>
    <w:p w14:paraId="1EF420A4">
      <w:pPr>
        <w:bidi w:val="0"/>
        <w:ind w:left="0" w:leftChars="0" w:firstLine="0" w:firstLineChars="0"/>
        <w:rPr>
          <w:rFonts w:hint="eastAsia"/>
        </w:rPr>
      </w:pPr>
      <w:r>
        <w:rPr>
          <w:rFonts w:hint="eastAsia"/>
        </w:rPr>
        <w:t>[2] 长江商报. 捷强装备主业承压推4690万跨界并购 标的估值溢价1656%承诺三年赚5500万[N]. 长江商报, 2025-09-18.</w:t>
      </w:r>
    </w:p>
    <w:p w14:paraId="230F7986">
      <w:pPr>
        <w:bidi w:val="0"/>
        <w:ind w:left="0" w:leftChars="0" w:firstLine="0" w:firstLineChars="0"/>
        <w:rPr>
          <w:rFonts w:hint="eastAsia"/>
        </w:rPr>
      </w:pPr>
      <w:r>
        <w:rPr>
          <w:rFonts w:hint="eastAsia"/>
        </w:rPr>
        <w:t>[3] 每日经济新闻. 主业净利大降798%，溢价1656%押注纳米碳赛道 捷强装备拟4690万元收购标的，对赌锁定3年5500万元利润[N]. 每日经济新闻, 2025-09-17.</w:t>
      </w:r>
    </w:p>
    <w:p w14:paraId="781913CC">
      <w:pPr>
        <w:bidi w:val="0"/>
        <w:ind w:left="0" w:leftChars="0" w:firstLine="0" w:firstLineChars="0"/>
        <w:rPr>
          <w:rFonts w:hint="eastAsia"/>
        </w:rPr>
      </w:pPr>
      <w:r>
        <w:rPr>
          <w:rFonts w:hint="eastAsia"/>
        </w:rPr>
        <w:t>[4] 中国经济网. 捷强装备连亏三年半 2020年上市即巅峰超募2.3亿[EB/OL]. (2025-09-26).</w:t>
      </w:r>
    </w:p>
    <w:p w14:paraId="54A6F636">
      <w:pPr>
        <w:bidi w:val="0"/>
        <w:ind w:left="0" w:leftChars="0" w:firstLine="0" w:firstLineChars="0"/>
        <w:rPr>
          <w:rFonts w:hint="eastAsia"/>
        </w:rPr>
      </w:pPr>
      <w:r>
        <w:rPr>
          <w:rFonts w:hint="eastAsia"/>
        </w:rPr>
        <w:t>[5] 大众证券报. 捷强装备：完成收购山东碳寻51%股权 布局纳米碳材料领域[N]. 大众证券报, 2025-10-10.</w:t>
      </w:r>
    </w:p>
    <w:p w14:paraId="44652F4A">
      <w:pPr>
        <w:bidi w:val="0"/>
        <w:ind w:left="0" w:leftChars="0" w:firstLine="0" w:firstLineChars="0"/>
        <w:rPr>
          <w:rFonts w:hint="eastAsia"/>
        </w:rPr>
      </w:pPr>
      <w:r>
        <w:rPr>
          <w:rFonts w:hint="eastAsia"/>
        </w:rPr>
        <w:t>[6] 澎湃新闻. 溢价超16倍、三年净利承诺5500万！这家上市公司跨界收购山东碳寻[EB/OL]. (2025-09-17).</w:t>
      </w:r>
    </w:p>
    <w:p w14:paraId="6E86B41E">
      <w:pPr>
        <w:bidi w:val="0"/>
        <w:ind w:left="0" w:leftChars="0" w:firstLine="0" w:firstLineChars="0"/>
        <w:rPr>
          <w:rFonts w:hint="eastAsia"/>
        </w:rPr>
      </w:pPr>
      <w:r>
        <w:rPr>
          <w:rFonts w:hint="eastAsia"/>
        </w:rPr>
        <w:t>[7] 新浪财经. 捷强装备原核心业务营收跌至负值 行贿案再添阴影 溢价超16倍的跨界并购能否挽救业绩？[EB/OL]. (2025-10-27).</w:t>
      </w:r>
    </w:p>
    <w:p w14:paraId="6EF3C89F">
      <w:pPr>
        <w:bidi w:val="0"/>
        <w:ind w:left="0" w:leftChars="0" w:firstLine="0" w:firstLineChars="0"/>
        <w:rPr>
          <w:rFonts w:hint="eastAsia"/>
        </w:rPr>
      </w:pPr>
      <w:r>
        <w:rPr>
          <w:rFonts w:hint="eastAsia"/>
        </w:rPr>
        <w:t>[8] 山东财经网. 溢价超16倍、三年净利承诺5500万！这家上市公司跨界收购山东碳寻[EB/OL]. (2025-09-17).</w:t>
      </w:r>
    </w:p>
    <w:p w14:paraId="324D9349">
      <w:pPr>
        <w:bidi w:val="0"/>
        <w:ind w:left="0" w:leftChars="0" w:firstLine="0" w:firstLineChars="0"/>
        <w:rPr>
          <w:rFonts w:hint="eastAsia"/>
        </w:rPr>
      </w:pPr>
      <w:r>
        <w:rPr>
          <w:rFonts w:hint="eastAsia"/>
        </w:rPr>
        <w:t>[9] 网易新闻. 连亏三年半，主营产品毛利大幅下滑，捷强装备溢价1656%跨界收购[EB/OL]. (2025-09-17).</w:t>
      </w:r>
    </w:p>
    <w:p w14:paraId="7374CE3E">
      <w:pPr>
        <w:bidi w:val="0"/>
        <w:ind w:left="0" w:leftChars="0" w:firstLine="0" w:firstLineChars="0"/>
        <w:rPr>
          <w:rFonts w:hint="eastAsia"/>
        </w:rPr>
      </w:pPr>
      <w:r>
        <w:rPr>
          <w:rFonts w:hint="eastAsia"/>
        </w:rPr>
        <w:t>[10] 中证中小投资者服务中心. 持股行权典型案例二：关注上市公司资产收购中标的公司收购前的“冲业绩”现象[EB/OL]. (2025-11-22).</w:t>
      </w:r>
    </w:p>
    <w:p w14:paraId="74CB066D">
      <w:pPr>
        <w:bidi w:val="0"/>
        <w:ind w:left="0" w:leftChars="0" w:firstLine="0" w:firstLineChars="0"/>
        <w:rPr>
          <w:rFonts w:hint="eastAsia"/>
        </w:rPr>
      </w:pPr>
      <w:r>
        <w:rPr>
          <w:rFonts w:hint="eastAsia"/>
        </w:rPr>
        <w:t>[11] 广发证券投资者教育基地. 高溢价并购中的收益法估值风险分析[EB/OL]. (2021-11-15).</w:t>
      </w:r>
    </w:p>
    <w:p w14:paraId="72F596B1">
      <w:pPr>
        <w:bidi w:val="0"/>
        <w:ind w:left="0" w:leftChars="0" w:firstLine="0" w:firstLineChars="0"/>
        <w:rPr>
          <w:rFonts w:hint="eastAsia"/>
        </w:rPr>
      </w:pPr>
      <w:r>
        <w:rPr>
          <w:rFonts w:hint="eastAsia"/>
        </w:rPr>
        <w:t>[12] 中国经济网. 每经热评：业绩补偿模式问题多多 应推动上市公司并购改革[EB/OL]. (2022-04-21).</w:t>
      </w:r>
    </w:p>
    <w:p w14:paraId="18D38421">
      <w:pPr>
        <w:bidi w:val="0"/>
        <w:ind w:left="0" w:leftChars="0" w:firstLine="0" w:firstLineChars="0"/>
        <w:rPr>
          <w:rFonts w:hint="eastAsia"/>
        </w:rPr>
      </w:pPr>
      <w:r>
        <w:rPr>
          <w:rFonts w:hint="eastAsia"/>
        </w:rPr>
        <w:t>[13] 雪球. 8.5亿元溢价572%豪购亏损公司 泰凌微“协同效应”估值法惹争议|并购谈[EB/OL]. (2026-02-28).</w:t>
      </w:r>
    </w:p>
    <w:p w14:paraId="7CDFB85A">
      <w:pPr>
        <w:bidi w:val="0"/>
        <w:ind w:left="0" w:leftChars="0" w:firstLine="0" w:firstLineChars="0"/>
        <w:rPr>
          <w:rFonts w:hint="eastAsia"/>
        </w:rPr>
      </w:pPr>
      <w:r>
        <w:rPr>
          <w:rFonts w:hint="eastAsia"/>
        </w:rPr>
        <w:t>[14] Guo, W. T., Lan, F. Q., &amp; Zhang, F. (2025). Target’s Earnings Purity and M&amp;A Premium: Evidence From China. Journal of Corporate Finance.</w:t>
      </w:r>
    </w:p>
    <w:p w14:paraId="6C2A7219">
      <w:pPr>
        <w:bidi w:val="0"/>
        <w:ind w:left="0" w:leftChars="0" w:firstLine="0" w:firstLineChars="0"/>
        <w:rPr>
          <w:rFonts w:hint="eastAsia"/>
        </w:rPr>
      </w:pPr>
      <w:r>
        <w:rPr>
          <w:rFonts w:hint="eastAsia"/>
        </w:rPr>
        <w:t>[15] 捷强装备. 关于拟收购山东碳寻新材料有限公司51%股权的公告[Z]. 公告编号：2025-042, 2025-09-16.</w:t>
      </w:r>
    </w:p>
    <w:p w14:paraId="6F2B0597">
      <w:pPr>
        <w:bidi w:val="0"/>
        <w:ind w:left="0" w:leftChars="0" w:firstLine="0" w:firstLineChars="0"/>
        <w:rPr>
          <w:rFonts w:hint="eastAsia"/>
        </w:rPr>
      </w:pPr>
      <w:r>
        <w:rPr>
          <w:rFonts w:hint="eastAsia"/>
        </w:rPr>
        <w:t>[16] 捷强装备. 2025年半年度报告[R]. 2025-08-27.</w:t>
      </w:r>
    </w:p>
    <w:p w14:paraId="79FCD2EC">
      <w:pPr>
        <w:bidi w:val="0"/>
        <w:ind w:left="0" w:leftChars="0" w:firstLine="0" w:firstLineChars="0"/>
        <w:rPr>
          <w:rFonts w:hint="eastAsia"/>
        </w:rPr>
      </w:pPr>
      <w:r>
        <w:rPr>
          <w:rFonts w:hint="eastAsia"/>
        </w:rPr>
        <w:t>[17] 捷强装备. 2025年三季度报告[R]. 2025-10-26.</w:t>
      </w:r>
    </w:p>
    <w:p w14:paraId="4B01557A">
      <w:pPr>
        <w:bidi w:val="0"/>
        <w:ind w:left="0" w:leftChars="0" w:firstLine="0" w:firstLineChars="0"/>
        <w:rPr>
          <w:rFonts w:hint="eastAsia"/>
        </w:rPr>
      </w:pPr>
      <w:r>
        <w:rPr>
          <w:rFonts w:hint="eastAsia"/>
        </w:rPr>
        <w:t>[18] 捷强装备. 关于计提信用减值准备、资产减值准备的公告[Z]. 2025-04-29.</w:t>
      </w:r>
    </w:p>
    <w:p w14:paraId="1FD474F2">
      <w:pPr>
        <w:bidi w:val="0"/>
        <w:ind w:left="0" w:leftChars="0" w:firstLine="0" w:firstLineChars="0"/>
        <w:rPr>
          <w:rFonts w:hint="eastAsia"/>
        </w:rPr>
      </w:pPr>
      <w:r>
        <w:rPr>
          <w:rFonts w:hint="eastAsia"/>
        </w:rPr>
        <w:t>[19] 捷强装备. 2025年度业绩预告[Z]. 2026-01-30.</w:t>
      </w:r>
    </w:p>
    <w:p w14:paraId="5281B721">
      <w:pPr>
        <w:bidi w:val="0"/>
        <w:ind w:left="0" w:leftChars="0" w:firstLine="0" w:firstLineChars="0"/>
      </w:pPr>
      <w:r>
        <w:rPr>
          <w:rFonts w:hint="eastAsia"/>
        </w:rPr>
        <w:t>[20] IVSC. Navigating the Rise of Artificial Intelligence in Valuation: Opportunities, Risks, and Standards[R]. Perspectives Paper, 2025.</w:t>
      </w: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中文正文">
    <w:altName w:val="Segoe Print"/>
    <w:panose1 w:val="00000000000000000000"/>
    <w:charset w:val="00"/>
    <w:family w:val="auto"/>
    <w:pitch w:val="default"/>
    <w:sig w:usb0="00000000" w:usb1="00000000" w:usb2="00000000" w:usb3="00000000" w:csb0="00000000"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CF169">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CBE30B7">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CBE30B7">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331667"/>
    <w:rsid w:val="5474345A"/>
    <w:rsid w:val="756D4F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82" w:firstLineChars="20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200" w:beforeLines="0" w:beforeAutospacing="0" w:after="200" w:afterLines="0" w:afterAutospacing="0" w:line="240" w:lineRule="auto"/>
      <w:ind w:firstLine="0" w:firstLineChars="0"/>
      <w:outlineLvl w:val="0"/>
    </w:pPr>
    <w:rPr>
      <w:b/>
      <w:kern w:val="44"/>
      <w:sz w:val="28"/>
    </w:rPr>
  </w:style>
  <w:style w:type="paragraph" w:styleId="3">
    <w:name w:val="heading 2"/>
    <w:basedOn w:val="1"/>
    <w:next w:val="1"/>
    <w:unhideWhenUsed/>
    <w:qFormat/>
    <w:uiPriority w:val="0"/>
    <w:pPr>
      <w:keepNext/>
      <w:keepLines/>
      <w:spacing w:before="100" w:beforeLines="0" w:beforeAutospacing="0" w:after="100" w:afterLines="0" w:afterAutospacing="0" w:line="240" w:lineRule="auto"/>
      <w:ind w:firstLine="0" w:firstLineChars="0"/>
      <w:outlineLvl w:val="1"/>
    </w:pPr>
    <w:rPr>
      <w:rFonts w:ascii="Arial" w:hAnsi="Arial" w:eastAsia="黑体"/>
      <w:b/>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2698</Words>
  <Characters>3419</Characters>
  <Lines>0</Lines>
  <Paragraphs>0</Paragraphs>
  <TotalTime>7</TotalTime>
  <ScaleCrop>false</ScaleCrop>
  <LinksUpToDate>false</LinksUpToDate>
  <CharactersWithSpaces>3576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2026-04-20T14:29:00Z</dcterms:created>
  <dc:creator>user</dc:creator>
  <cp:lastModifiedBy>依</cp:lastModifiedBy>
  <dcterms:modified xsi:type="dcterms:W3CDTF">2026-04-21T08:21:42Z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eyJoZGlkIjoiNzg2YjZkZGM2MzFmN2YzMGIzM2IxMjcyNGJkMjM0MzMiLCJ1c2VySWQiOiIxMTU0MDY4MjY0In0=</vt:lpwstr>
  </property>
  <property fmtid="{D5CDD505-2E9C-101B-9397-08002B2CF9AE}" pid="4" name="ICV">
    <vt:lpwstr>A4FC426F0C464B21A6B4A218FFA53115_12</vt:lpwstr>
  </property>
</Properties>
</file>