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Definition of Done (DoD) - BackToMe</w:t>
      </w:r>
    </w:p>
    <w:p>
      <w:r>
        <w:t>Los Criterios de Aceptación (Definición de Hecho) vigentes para la plataforma son:</w:t>
      </w:r>
    </w:p>
    <w:p>
      <w:pPr>
        <w:pStyle w:val="Heading2"/>
      </w:pPr>
      <w:r>
        <w:t>Estructura y Stack</w:t>
      </w:r>
    </w:p>
    <w:p>
      <w:pPr>
        <w:pStyle w:val="ListBullet"/>
      </w:pPr>
      <w:r>
        <w:t>- El esquema de base de datos en Supabase y variables deben estar estrictamente en español (ej. "tenants", "usuarios", "bienes_enrolados").</w:t>
      </w:r>
    </w:p>
    <w:p>
      <w:pPr>
        <w:pStyle w:val="ListBullet"/>
      </w:pPr>
      <w:r>
        <w:t>- Todo endpoint debe validar la variable app.tenant_id contra el JWT para asegurar el aislamiento de datos RLS (Principio I).</w:t>
      </w:r>
    </w:p>
    <w:p>
      <w:pPr>
        <w:pStyle w:val="ListBullet"/>
      </w:pPr>
      <w:r>
        <w:t>- Las contraseñas no se almacenan con algoritmos propios, sino exclusivamente delegadas en Supabase Auth (bcrypt).</w:t>
      </w:r>
    </w:p>
    <w:p>
      <w:pPr>
        <w:pStyle w:val="Heading2"/>
      </w:pPr>
      <w:r>
        <w:t>Privacidad y Seguridad</w:t>
      </w:r>
    </w:p>
    <w:p>
      <w:pPr>
        <w:pStyle w:val="ListBullet"/>
      </w:pPr>
      <w:r>
        <w:t>- Rasgos ocultos (atributos_privados) y preguntas de desempate deben excluirse siempre de la API pública y del catálogo ciego (Principio II).</w:t>
      </w:r>
    </w:p>
    <w:p>
      <w:pPr>
        <w:pStyle w:val="ListBullet"/>
      </w:pPr>
      <w:r>
        <w:t>- Toda imagen subida es procesada antes de mostrarse (eliminación de GPS/EXIF) y difuminada si se marca como sensible.</w:t>
      </w:r>
    </w:p>
    <w:p>
      <w:pPr>
        <w:pStyle w:val="ListBullet"/>
      </w:pPr>
      <w:r>
        <w:t>- Retiro express: El PIN debe ser de 4 dígitos, tener una vida corta de expiración (24h) y bloquearse tras 3 intentos fallidos.</w:t>
      </w:r>
    </w:p>
    <w:p>
      <w:pPr>
        <w:pStyle w:val="Heading2"/>
      </w:pPr>
      <w:r>
        <w:t>Operaciones y Custodia</w:t>
      </w:r>
    </w:p>
    <w:p>
      <w:pPr>
        <w:pStyle w:val="ListBullet"/>
      </w:pPr>
      <w:r>
        <w:t>- Regla de 60 días: El estado de vencido (expired) se aplica automáticamente al cumplirse el plazo configurable de la institución.</w:t>
      </w:r>
    </w:p>
    <w:p>
      <w:pPr>
        <w:pStyle w:val="ListBullet"/>
      </w:pPr>
      <w:r>
        <w:t>- Toda baja o donación de un objeto debe ser confirmada por una persona humana generando un movimiento de custodia inmutable (Principio III).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