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Instructions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Legend</w:t>
      </w:r>
    </w:p>
    <w:p w:rsidR="00000000" w:rsidDel="00000000" w:rsidP="00000000" w:rsidRDefault="00000000" w:rsidRPr="00000000">
      <w:pPr>
        <w:contextualSpacing w:val="0"/>
      </w:pPr>
      <w:r w:rsidDel="00000000" w:rsidR="00000000" w:rsidRPr="00000000">
        <w:rPr>
          <w:rtl w:val="0"/>
        </w:rPr>
        <w:t xml:space="preserve">Welcome to the California Biomass Infrastructure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click on the legend button in the </w:t>
      </w:r>
      <w:r w:rsidDel="00000000" w:rsidR="00000000" w:rsidRPr="00000000">
        <w:rPr>
          <w:b w:val="1"/>
          <w:rtl w:val="0"/>
        </w:rPr>
        <w:t xml:space="preserve"> upper left </w:t>
      </w:r>
      <w:r w:rsidDel="00000000" w:rsidR="00000000" w:rsidRPr="00000000">
        <w:rPr>
          <w:rtl w:val="0"/>
        </w:rPr>
        <w:t xml:space="preserve">to reveal a legend for all data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switch between a representation, terrain, or satellite map with the radio buttons to the </w:t>
      </w:r>
      <w:r w:rsidDel="00000000" w:rsidR="00000000" w:rsidRPr="00000000">
        <w:rPr>
          <w:b w:val="1"/>
          <w:rtl w:val="0"/>
        </w:rPr>
        <w:t xml:space="preserve">left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click on the checkboxes to the left to select which data layers to view. You may select as many or as few layers as you wish. Clicking on the map pins will reveal more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Warning: Large amounts of data are being processed. It may take a few seconds to load each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toggle this information panel off by clicking on instructions button in the top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Facility Status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  Operational</w:t>
      </w:r>
    </w:p>
    <w:p w:rsidR="00000000" w:rsidDel="00000000" w:rsidP="00000000" w:rsidRDefault="00000000" w:rsidRPr="00000000">
      <w:pPr>
        <w:contextualSpacing w:val="0"/>
      </w:pPr>
      <w:r w:rsidDel="00000000" w:rsidR="00000000" w:rsidRPr="00000000">
        <w:rPr>
          <w:rtl w:val="0"/>
        </w:rPr>
        <w:t xml:space="preserve">  Active Development</w:t>
      </w:r>
    </w:p>
    <w:p w:rsidR="00000000" w:rsidDel="00000000" w:rsidP="00000000" w:rsidRDefault="00000000" w:rsidRPr="00000000">
      <w:pPr>
        <w:contextualSpacing w:val="0"/>
      </w:pPr>
      <w:r w:rsidDel="00000000" w:rsidR="00000000" w:rsidRPr="00000000">
        <w:rPr>
          <w:rtl w:val="0"/>
        </w:rPr>
        <w:t xml:space="preserve">  Idle</w:t>
      </w:r>
    </w:p>
    <w:p w:rsidR="00000000" w:rsidDel="00000000" w:rsidP="00000000" w:rsidRDefault="00000000" w:rsidRPr="00000000">
      <w:pPr>
        <w:contextualSpacing w:val="0"/>
      </w:pPr>
      <w:r w:rsidDel="00000000" w:rsidR="00000000" w:rsidRPr="00000000">
        <w:rPr>
          <w:rtl w:val="0"/>
        </w:rPr>
        <w:t xml:space="preserve">  Pilot Project</w:t>
      </w:r>
    </w:p>
    <w:p w:rsidR="00000000" w:rsidDel="00000000" w:rsidP="00000000" w:rsidRDefault="00000000" w:rsidRPr="00000000">
      <w:pPr>
        <w:contextualSpacing w:val="0"/>
      </w:pPr>
      <w:r w:rsidDel="00000000" w:rsidR="00000000" w:rsidRPr="00000000">
        <w:rPr>
          <w:rtl w:val="0"/>
        </w:rPr>
        <w:t xml:space="preserve">  Proposed</w:t>
      </w:r>
    </w:p>
    <w:p w:rsidR="00000000" w:rsidDel="00000000" w:rsidP="00000000" w:rsidRDefault="00000000" w:rsidRPr="00000000">
      <w:pPr>
        <w:contextualSpacing w:val="0"/>
      </w:pPr>
      <w:r w:rsidDel="00000000" w:rsidR="00000000" w:rsidRPr="00000000">
        <w:rPr>
          <w:rtl w:val="0"/>
        </w:rPr>
        <w:t xml:space="preserve">  Non-Operational</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Facility Types</w:t>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ind w:left="75" w:firstLine="0"/>
              <w:contextualSpacing w:val="0"/>
            </w:pPr>
            <w:r w:rsidDel="00000000" w:rsidR="00000000" w:rsidRPr="00000000">
              <w:rPr>
                <w:color w:val="008000"/>
                <w:sz w:val="18"/>
                <w:szCs w:val="18"/>
                <w:rtl w:val="0"/>
              </w:rPr>
              <w:t xml:space="preserve">Electrical Generation</w:t>
            </w:r>
          </w:p>
        </w:tc>
        <w:tc>
          <w:tcPr>
            <w:tcMar>
              <w:left w:w="0.0" w:type="dxa"/>
              <w:right w:w="0.0" w:type="dxa"/>
            </w:tcMar>
          </w:tcPr>
          <w:p w:rsidR="00000000" w:rsidDel="00000000" w:rsidP="00000000" w:rsidRDefault="00000000" w:rsidRPr="00000000">
            <w:pPr>
              <w:ind w:left="75" w:firstLine="0"/>
              <w:contextualSpacing w:val="0"/>
            </w:pPr>
            <w:r w:rsidDel="00000000" w:rsidR="00000000" w:rsidRPr="00000000">
              <w:rPr>
                <w:color w:val="008000"/>
                <w:sz w:val="18"/>
                <w:szCs w:val="18"/>
                <w:rtl w:val="0"/>
              </w:rPr>
              <w:t xml:space="preserve">Primary Wood Processing</w:t>
            </w:r>
          </w:p>
        </w:tc>
      </w:tr>
      <w:tr>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190500" cy="19050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Standalone Generator</w:t>
            </w:r>
          </w:p>
        </w:tc>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142875" cy="142875"/>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t xml:space="preserve"> Standard Sawmill</w:t>
            </w:r>
          </w:p>
        </w:tc>
      </w:tr>
      <w:tr>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190500" cy="1905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Cogeneration</w:t>
            </w:r>
          </w:p>
        </w:tc>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190500" cy="1905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Plywood/Veneer/Engineered Wood/Lvl</w:t>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190500" cy="1905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Panel/OSB/Particleboard/Fiberboard/Hardboard/Mdf</w:t>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190500" cy="190500"/>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Pulp/Paper/Containerboard</w:t>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drawing>
                <wp:inline distB="19050" distT="19050" distL="19050" distR="19050">
                  <wp:extent cx="190500" cy="190500"/>
                  <wp:effectExtent b="0" l="0" r="0" t="0"/>
                  <wp:docPr id="1"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Other Mill Type</w:t>
            </w:r>
          </w:p>
        </w:tc>
      </w:tr>
    </w:tbl>
    <w:p w:rsidR="00000000" w:rsidDel="00000000" w:rsidP="00000000" w:rsidRDefault="00000000" w:rsidRPr="00000000">
      <w:pPr>
        <w:contextualSpacing w:val="0"/>
      </w:pPr>
      <w:r w:rsidDel="00000000" w:rsidR="00000000" w:rsidRPr="00000000">
        <w:rPr>
          <w:rtl w:val="0"/>
        </w:rPr>
        <w:t xml:space="preserve">Please reference all data to UCB Woody Biomass Utilization Group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png"/><Relationship Id="rId10" Type="http://schemas.openxmlformats.org/officeDocument/2006/relationships/image" Target="media/image04.png"/><Relationship Id="rId9" Type="http://schemas.openxmlformats.org/officeDocument/2006/relationships/image" Target="media/image10.png"/><Relationship Id="rId5" Type="http://schemas.openxmlformats.org/officeDocument/2006/relationships/image" Target="media/image07.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11.png"/></Relationships>
</file>