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106"/>
        <w:gridCol w:w="1671"/>
        <w:gridCol w:w="3965"/>
      </w:tblGrid>
      <w:tr>
        <w:trPr>
          <w:trHeight w:val="1701" w:hRule="exact"/>
          <w:cantSplit w:val="true"/>
        </w:trPr>
        <w:tc>
          <w:tcPr>
            <w:tcW w:w="9742" w:type="dxa"/>
            <w:gridSpan w:val="3"/>
            <w:tcBorders/>
            <w:vAlign w:val="center"/>
          </w:tcPr>
          <w:p>
            <w:pPr>
              <w:pStyle w:val="Normal"/>
              <w:spacing w:lineRule="auto" w:line="240" w:before="60" w:after="0"/>
              <w:rPr>
                <w:lang w:val="hu-HU"/>
              </w:rPr>
            </w:pPr>
            <w:r>
              <w:rPr>
                <w:lang w:val="hu-HU"/>
              </w:rPr>
            </w:r>
          </w:p>
        </w:tc>
      </w:tr>
      <w:tr>
        <w:trPr>
          <w:trHeight w:val="2160" w:hRule="exact"/>
          <w:cantSplit w:val="true"/>
        </w:trPr>
        <w:tc>
          <w:tcPr>
            <w:tcW w:w="9742" w:type="dxa"/>
            <w:gridSpan w:val="3"/>
            <w:tcBorders/>
            <w:vAlign w:val="center"/>
          </w:tcPr>
          <w:p>
            <w:pPr>
              <w:pStyle w:val="Title"/>
              <w:spacing w:before="60" w:after="0"/>
              <w:contextualSpacing/>
              <w:rPr>
                <w:lang w:val="hu-HU"/>
              </w:rPr>
            </w:pPr>
            <w:r>
              <w:rPr>
                <w:sz w:val="40"/>
                <w:szCs w:val="40"/>
                <w:lang w:val="hu-HU"/>
              </w:rPr>
              <w:t>Újrahasznosított mobiltelefonokon alapuló biztonsági rendszer megvalósítása</w:t>
            </w:r>
          </w:p>
        </w:tc>
      </w:tr>
      <w:tr>
        <w:trPr>
          <w:trHeight w:val="2160" w:hRule="exact"/>
          <w:cantSplit w:val="true"/>
        </w:trPr>
        <w:tc>
          <w:tcPr>
            <w:tcW w:w="9742" w:type="dxa"/>
            <w:gridSpan w:val="3"/>
            <w:tcBorders/>
            <w:vAlign w:val="center"/>
          </w:tcPr>
          <w:p>
            <w:pPr>
              <w:pStyle w:val="Title"/>
              <w:spacing w:before="60" w:after="0"/>
              <w:contextualSpacing/>
              <w:rPr>
                <w:lang w:val="hu-HU"/>
              </w:rPr>
            </w:pPr>
            <w:r>
              <w:rPr>
                <w:sz w:val="40"/>
                <w:szCs w:val="40"/>
                <w:lang w:val="hu-HU"/>
              </w:rPr>
              <w:t>Realizacija bezbednosnog sistema zasnovanog na recikliranim mobilnim telefonima</w:t>
            </w:r>
          </w:p>
        </w:tc>
      </w:tr>
      <w:tr>
        <w:trPr>
          <w:trHeight w:val="2160" w:hRule="exact"/>
          <w:cantSplit w:val="true"/>
        </w:trPr>
        <w:tc>
          <w:tcPr>
            <w:tcW w:w="9742" w:type="dxa"/>
            <w:gridSpan w:val="3"/>
            <w:tcBorders/>
            <w:vAlign w:val="center"/>
          </w:tcPr>
          <w:p>
            <w:pPr>
              <w:pStyle w:val="Title"/>
              <w:spacing w:before="60" w:after="0"/>
              <w:contextualSpacing/>
              <w:rPr>
                <w:lang w:val="hu-HU"/>
              </w:rPr>
            </w:pPr>
            <w:r>
              <w:rPr>
                <w:sz w:val="40"/>
                <w:szCs w:val="40"/>
                <w:lang w:val="hu-HU"/>
              </w:rPr>
              <w:t>Implementation of a Security System Based on Recycled Mobile Phones</w:t>
            </w:r>
          </w:p>
        </w:tc>
      </w:tr>
      <w:tr>
        <w:trPr>
          <w:trHeight w:val="2833" w:hRule="exact"/>
          <w:cantSplit w:val="true"/>
        </w:trPr>
        <w:tc>
          <w:tcPr>
            <w:tcW w:w="4106" w:type="dxa"/>
            <w:tcBorders/>
            <w:vAlign w:val="center"/>
          </w:tcPr>
          <w:p>
            <w:pPr>
              <w:pStyle w:val="Normal"/>
              <w:spacing w:lineRule="auto" w:line="240" w:before="60" w:after="0"/>
              <w:jc w:val="center"/>
              <w:rPr>
                <w:lang w:val="hu-HU"/>
              </w:rPr>
            </w:pPr>
            <w:r>
              <w:rPr>
                <w:lang w:val="hu-HU"/>
              </w:rPr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spacing w:lineRule="auto" w:line="240" w:before="60" w:after="0"/>
              <w:jc w:val="center"/>
              <w:rPr>
                <w:lang w:val="hu-HU"/>
              </w:rPr>
            </w:pPr>
            <w:r>
              <w:rPr>
                <w:lang w:val="hu-HU"/>
              </w:rPr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Normal"/>
              <w:spacing w:lineRule="auto" w:line="240" w:before="60" w:after="0"/>
              <w:jc w:val="center"/>
              <w:rPr>
                <w:lang w:val="hu-HU"/>
              </w:rPr>
            </w:pPr>
            <w:r>
              <w:rPr>
                <w:lang w:val="hu-HU"/>
              </w:rPr>
            </w:r>
          </w:p>
        </w:tc>
      </w:tr>
      <w:tr>
        <w:trPr>
          <w:trHeight w:val="567" w:hRule="exact"/>
          <w:cantSplit w:val="true"/>
        </w:trPr>
        <w:tc>
          <w:tcPr>
            <w:tcW w:w="4106" w:type="dxa"/>
            <w:tcBorders/>
            <w:vAlign w:val="center"/>
          </w:tcPr>
          <w:p>
            <w:pPr>
              <w:pStyle w:val="Normal"/>
              <w:spacing w:lineRule="auto" w:line="240" w:before="60" w:after="0"/>
              <w:jc w:val="center"/>
              <w:rPr>
                <w:lang w:val="hu-HU"/>
              </w:rPr>
            </w:pPr>
            <w:r>
              <w:rPr>
                <w:lang w:val="sr-Latn-RS"/>
              </w:rPr>
              <w:t>Hallgató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spacing w:lineRule="auto" w:line="240" w:before="60" w:after="0"/>
              <w:jc w:val="center"/>
              <w:rPr>
                <w:lang w:val="hu-HU"/>
              </w:rPr>
            </w:pPr>
            <w:r>
              <w:rPr>
                <w:lang w:val="hu-HU"/>
              </w:rPr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Normal"/>
              <w:spacing w:lineRule="auto" w:line="240" w:before="60" w:after="0"/>
              <w:jc w:val="center"/>
              <w:rPr>
                <w:lang w:val="hu-HU"/>
              </w:rPr>
            </w:pPr>
            <w:r>
              <w:rPr>
                <w:lang w:val="hu-HU"/>
              </w:rPr>
              <w:t>Mentor</w:t>
            </w:r>
          </w:p>
        </w:tc>
      </w:tr>
      <w:tr>
        <w:trPr>
          <w:trHeight w:val="702" w:hRule="exact"/>
          <w:cantSplit w:val="true"/>
        </w:trPr>
        <w:tc>
          <w:tcPr>
            <w:tcW w:w="4106" w:type="dxa"/>
            <w:tcBorders/>
            <w:vAlign w:val="bottom"/>
          </w:tcPr>
          <w:p>
            <w:pPr>
              <w:pStyle w:val="NormalImeiPrezime"/>
              <w:spacing w:before="60" w:after="0"/>
              <w:rPr>
                <w:szCs w:val="28"/>
                <w:lang w:val="hu-HU"/>
              </w:rPr>
            </w:pPr>
            <w:r>
              <w:rPr/>
              <w:t>Vass Richárd</w:t>
            </w:r>
          </w:p>
        </w:tc>
        <w:tc>
          <w:tcPr>
            <w:tcW w:w="1671" w:type="dxa"/>
            <w:tcBorders/>
            <w:vAlign w:val="bottom"/>
          </w:tcPr>
          <w:p>
            <w:pPr>
              <w:pStyle w:val="NormalImeiPrezime"/>
              <w:spacing w:before="60" w:after="0"/>
              <w:rPr>
                <w:lang w:val="hu-HU"/>
              </w:rPr>
            </w:pPr>
            <w:r>
              <w:rPr>
                <w:lang w:val="hu-HU"/>
              </w:rPr>
            </w:r>
          </w:p>
        </w:tc>
        <w:tc>
          <w:tcPr>
            <w:tcW w:w="3965" w:type="dxa"/>
            <w:tcBorders/>
            <w:vAlign w:val="bottom"/>
          </w:tcPr>
          <w:p>
            <w:pPr>
              <w:pStyle w:val="NormalImeiPrezime"/>
              <w:spacing w:before="60" w:after="0"/>
              <w:rPr>
                <w:szCs w:val="28"/>
                <w:lang w:val="hu-HU"/>
              </w:rPr>
            </w:pPr>
            <w:r>
              <w:rPr/>
              <w:t>dr. Pletl Szilveszter</w:t>
            </w:r>
          </w:p>
        </w:tc>
      </w:tr>
      <w:tr>
        <w:trPr>
          <w:trHeight w:val="427" w:hRule="exact"/>
          <w:cantSplit w:val="true"/>
        </w:trPr>
        <w:tc>
          <w:tcPr>
            <w:tcW w:w="4106" w:type="dxa"/>
            <w:tcBorders/>
          </w:tcPr>
          <w:p>
            <w:pPr>
              <w:pStyle w:val="NormalImeiPrezime"/>
              <w:spacing w:before="0" w:after="0"/>
              <w:rPr>
                <w:lang w:val="hu-HU"/>
              </w:rPr>
            </w:pPr>
            <w:r>
              <w:rPr/>
              <w:t>26223071</w:t>
            </w:r>
          </w:p>
        </w:tc>
        <w:tc>
          <w:tcPr>
            <w:tcW w:w="1671" w:type="dxa"/>
            <w:tcBorders/>
          </w:tcPr>
          <w:p>
            <w:pPr>
              <w:pStyle w:val="NormalImeiPrezime"/>
              <w:spacing w:before="60" w:after="0"/>
              <w:rPr>
                <w:lang w:val="hu-HU"/>
              </w:rPr>
            </w:pPr>
            <w:r>
              <w:rPr>
                <w:lang w:val="hu-HU"/>
              </w:rPr>
            </w:r>
          </w:p>
        </w:tc>
        <w:tc>
          <w:tcPr>
            <w:tcW w:w="3965" w:type="dxa"/>
            <w:tcBorders/>
          </w:tcPr>
          <w:p>
            <w:pPr>
              <w:pStyle w:val="NormalImeiPrezime"/>
              <w:spacing w:before="60" w:after="0"/>
              <w:rPr>
                <w:lang w:val="hu-HU"/>
              </w:rPr>
            </w:pPr>
            <w:r>
              <w:rPr>
                <w:lang w:val="hu-HU"/>
              </w:rPr>
            </w:r>
          </w:p>
        </w:tc>
      </w:tr>
      <w:tr>
        <w:trPr>
          <w:trHeight w:val="721" w:hRule="exact"/>
          <w:cantSplit w:val="true"/>
        </w:trPr>
        <w:tc>
          <w:tcPr>
            <w:tcW w:w="4106" w:type="dxa"/>
            <w:tcBorders/>
            <w:vAlign w:val="center"/>
          </w:tcPr>
          <w:p>
            <w:pPr>
              <w:pStyle w:val="Normal"/>
              <w:spacing w:lineRule="auto" w:line="240" w:before="60" w:after="0"/>
              <w:jc w:val="center"/>
              <w:rPr>
                <w:lang w:val="hu-HU"/>
              </w:rPr>
            </w:pPr>
            <w:r>
              <w:rPr>
                <w:lang w:val="hu-HU"/>
              </w:rPr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spacing w:lineRule="auto" w:line="240" w:before="60" w:after="0"/>
              <w:jc w:val="center"/>
              <w:rPr>
                <w:lang w:val="hu-HU"/>
              </w:rPr>
            </w:pPr>
            <w:r>
              <w:rPr/>
              <w:t>Szabadka, 2026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Normal"/>
              <w:spacing w:lineRule="auto" w:line="240" w:before="60" w:after="0"/>
              <w:jc w:val="center"/>
              <w:rPr>
                <w:lang w:val="hu-HU"/>
              </w:rPr>
            </w:pPr>
            <w:r>
              <w:rPr>
                <w:lang w:val="hu-HU"/>
              </w:rPr>
            </w:r>
          </w:p>
        </w:tc>
      </w:tr>
    </w:tbl>
    <w:p>
      <w:pPr>
        <w:pStyle w:val="Heading1nonumbering"/>
        <w:spacing w:before="0" w:after="0"/>
        <w:ind w:hanging="0" w:left="0"/>
        <w:contextualSpacing/>
        <w:jc w:val="center"/>
        <w:rPr>
          <w:lang w:val="hu-HU"/>
        </w:rPr>
      </w:pPr>
      <w:bookmarkStart w:id="0" w:name="__RefHeading___Toc1023_4218380707"/>
      <w:bookmarkStart w:id="1" w:name="_Hlk126831045"/>
      <w:bookmarkStart w:id="2" w:name="_Toc128138382"/>
      <w:bookmarkEnd w:id="0"/>
      <w:r>
        <w:rPr>
          <w:lang w:val="hu-HU"/>
        </w:rPr>
        <w:t>Hallgatói nyilatkozat</w:t>
      </w:r>
      <w:bookmarkEnd w:id="1"/>
      <w:bookmarkEnd w:id="2"/>
    </w:p>
    <w:p>
      <w:pPr>
        <w:pStyle w:val="Normal"/>
        <w:spacing w:lineRule="auto" w:line="240"/>
        <w:rPr>
          <w:rFonts w:ascii="Cambria" w:hAnsi="Cambria"/>
          <w:lang w:val="hu-HU"/>
        </w:rPr>
      </w:pPr>
      <w:r>
        <w:rPr>
          <w:rFonts w:ascii="Cambria" w:hAnsi="Cambria"/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  <w:t>Kijelentem, hogy e szakdolgozat saját munkám eredménye. A szakdolgozat elkészítésekor felhasznált szakirodalomra és egyéb eszközökre maradéktalanul hivatkoztam. A Szabadkai Műszaki Szakfőiskola a szakdolgozatomban bemutatott eredményeimet, igényei szerint, szabadon és térítésmentesen felhasználhatja, szem előtt tartva az esetleges titkosításra vonatkozó megállapodást, amely ebben az esetben a szakdolgozat részét képezi.</w:t>
      </w:r>
    </w:p>
    <w:p>
      <w:pPr>
        <w:pStyle w:val="Normal"/>
        <w:rPr>
          <w:lang w:val="hu-HU"/>
        </w:rPr>
      </w:pPr>
      <w:r>
        <w:rPr>
          <w:lang w:val="hu-HU"/>
        </w:rPr>
      </w:r>
    </w:p>
    <w:tbl>
      <w:tblPr>
        <w:tblStyle w:val="TableGrid"/>
        <w:tblW w:w="950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63"/>
        <w:gridCol w:w="1656"/>
        <w:gridCol w:w="974"/>
        <w:gridCol w:w="2052"/>
        <w:gridCol w:w="3157"/>
      </w:tblGrid>
      <w:tr>
        <w:trPr/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60" w:after="0"/>
              <w:rPr>
                <w:lang w:val="hu-HU"/>
              </w:rPr>
            </w:pPr>
            <w:r>
              <w:rPr>
                <w:rFonts w:eastAsia="Times New Roman" w:cs="Times New Roman"/>
                <w:kern w:val="0"/>
                <w:lang w:val="hu-HU" w:eastAsia="en-US"/>
              </w:rPr>
              <w:t>Szabadkán, kelt</w:t>
            </w:r>
          </w:p>
        </w:tc>
        <w:tc>
          <w:tcPr>
            <w:tcW w:w="1656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60" w:after="0"/>
              <w:rPr>
                <w:lang w:val="hu-HU"/>
              </w:rPr>
            </w:pPr>
            <w:r>
              <w:rPr>
                <w:lang w:val="hu-HU"/>
              </w:rPr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60" w:after="0"/>
              <w:rPr>
                <w:lang w:val="hu-HU"/>
              </w:rPr>
            </w:pPr>
            <w:r>
              <w:rPr>
                <w:lang w:val="hu-HU"/>
              </w:rPr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60" w:after="0"/>
              <w:rPr>
                <w:lang w:val="hu-HU"/>
              </w:rPr>
            </w:pPr>
            <w:r>
              <w:rPr>
                <w:lang w:val="hu-HU"/>
              </w:rPr>
            </w:r>
          </w:p>
        </w:tc>
        <w:tc>
          <w:tcPr>
            <w:tcW w:w="3157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60" w:after="0"/>
              <w:rPr>
                <w:lang w:val="hu-HU"/>
              </w:rPr>
            </w:pPr>
            <w:r>
              <w:rPr>
                <w:lang w:val="hu-HU"/>
              </w:rPr>
            </w:r>
          </w:p>
        </w:tc>
      </w:tr>
      <w:tr>
        <w:trPr/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60" w:after="0"/>
              <w:rPr>
                <w:lang w:val="hu-HU"/>
              </w:rPr>
            </w:pPr>
            <w:r>
              <w:rPr>
                <w:lang w:val="hu-HU"/>
              </w:rPr>
            </w:r>
          </w:p>
        </w:tc>
        <w:tc>
          <w:tcPr>
            <w:tcW w:w="1656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60" w:after="0"/>
              <w:rPr>
                <w:lang w:val="hu-HU"/>
              </w:rPr>
            </w:pPr>
            <w:r>
              <w:rPr>
                <w:lang w:val="hu-HU"/>
              </w:rPr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60" w:after="0"/>
              <w:rPr>
                <w:lang w:val="hu-HU"/>
              </w:rPr>
            </w:pPr>
            <w:r>
              <w:rPr>
                <w:lang w:val="hu-HU"/>
              </w:rPr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60" w:after="0"/>
              <w:rPr>
                <w:lang w:val="hu-HU"/>
              </w:rPr>
            </w:pPr>
            <w:r>
              <w:rPr>
                <w:lang w:val="hu-HU"/>
              </w:rPr>
            </w:r>
          </w:p>
        </w:tc>
        <w:tc>
          <w:tcPr>
            <w:tcW w:w="3157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60" w:after="0"/>
              <w:jc w:val="center"/>
              <w:rPr>
                <w:lang w:val="hu-HU"/>
              </w:rPr>
            </w:pPr>
            <w:r>
              <w:rPr>
                <w:rFonts w:eastAsia="Times New Roman" w:cs="Calibri"/>
                <w:kern w:val="0"/>
                <w:lang w:val="hu-HU" w:eastAsia="en-US"/>
              </w:rPr>
              <w:t>Hallgató aláírása</w:t>
            </w:r>
          </w:p>
        </w:tc>
      </w:tr>
    </w:tbl>
    <w:p>
      <w:pPr>
        <w:pStyle w:val="Heading1nonumbering"/>
        <w:ind w:hanging="0" w:left="0"/>
        <w:rPr>
          <w:lang w:val="hu-HU"/>
        </w:rPr>
      </w:pPr>
      <w:bookmarkStart w:id="3" w:name="__RefHeading___Toc1025_4218380707"/>
      <w:bookmarkStart w:id="4" w:name="_Toc128138383"/>
      <w:bookmarkStart w:id="5" w:name="_Toc971811522"/>
      <w:bookmarkEnd w:id="3"/>
      <w:r>
        <w:rPr>
          <w:lang w:val="hu-HU"/>
        </w:rPr>
        <w:t>Absztrakt</w:t>
      </w:r>
      <w:bookmarkEnd w:id="4"/>
      <w:bookmarkEnd w:id="5"/>
    </w:p>
    <w:p>
      <w:pPr>
        <w:pStyle w:val="Normal"/>
        <w:rPr>
          <w:lang w:val="hu-HU"/>
        </w:rPr>
      </w:pPr>
      <w:r>
        <w:rPr/>
        <w:t>A dolgozat egy önálló fejlesztésű, felhőfüggetlen, lokális hálózaton működő biztonsági kamerarendszer, a SwarmCam tervezését és megvalósítását mutatja be, amelynek célja a háztartásokban feleslegessé vált Android okostelefonok IP kameraként történő újrahasznosítása. A telefonokon futó, nyílt forráskódú Android IP Camera alkalmazás HTTPS protokollon szolgáltatja a hardveresen kódolt H.264 videófolyamot és a készülék állapotadatait; ezeket egy Docker-alapú szerverkörnyezetben futó Frigate NVR dolgozza fel valós idejű, mesterséges intelligencia alapú objektumdetekcióval. A rendszer magját egy aszinkron Python (FastAPI) háttérszolgáltatás képezi, amely automatikus hálózati felderítéssel azonosítja az elérhető kamerákat, MQTT protokollon közvetíti a detektált eseményeket, WebSocket kapcsolaton át valós időben tájékoztatja a React alapú, asztali és mobil elrendezést egyaránt támogató kezelőfelületet, az élő videót pedig újrakódolás nélkül, fMP4 szegmensekként játssza át a böngészőnek. A rendszert egy különálló, YOLO-alapú mikroszolgáltatás egészíti ki tűz- és füstérzékeléssel. A dolgozat bemutatja a rendszer architektúráját, a kommunikációs rétegek (REST, WebSocket, SSE, MQTT) tervezési döntéseit, a konténerizált üzemeltetést, valamint a megvalósítás és a valós környezetben végzett, számszerű mérésekkel alátámasztott tesztelés tapasztalatait. Az eredmények igazolják, hogy elavult mobiltelefonokból, dedikált kamerahardver nélkül is kiépíthető egy megbízható, bővíthető és teljes mértékben a felhasználó tulajdonában maradó megfigyelőrendszer.</w:t>
      </w:r>
    </w:p>
    <w:p>
      <w:pPr>
        <w:pStyle w:val="Normal"/>
        <w:rPr>
          <w:color w:themeColor="text1" w:val="000000"/>
          <w:lang w:val="hu-HU"/>
        </w:rPr>
      </w:pPr>
      <w:r>
        <w:rPr/>
        <w:t>Kulcsszavak: Android, e-hulladék, FastAPI, konténerizáció, objektumdetekció</w:t>
      </w:r>
    </w:p>
    <w:p>
      <w:pPr>
        <w:pStyle w:val="Heading1nonumbering"/>
        <w:ind w:hanging="0" w:left="0"/>
        <w:rPr>
          <w:lang w:val="hu-HU"/>
        </w:rPr>
      </w:pPr>
      <w:bookmarkStart w:id="6" w:name="__RefHeading___Toc1027_4218380707"/>
      <w:bookmarkStart w:id="7" w:name="_Toc128138384"/>
      <w:bookmarkStart w:id="8" w:name="_Toc738811267"/>
      <w:bookmarkEnd w:id="6"/>
      <w:r>
        <w:rPr>
          <w:lang w:val="sr-Latn-RS"/>
        </w:rPr>
        <w:t>Tartalom</w:t>
      </w:r>
      <w:bookmarkEnd w:id="7"/>
      <w:bookmarkEnd w:id="8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628"/>
              <w:tab w:val="left" w:pos="440" w:leader="none"/>
              <w:tab w:val="right" w:pos="9636" w:leader="dot"/>
            </w:tabs>
            <w:rPr/>
          </w:pPr>
          <w:r>
            <w:fldChar w:fldCharType="begin"/>
          </w:r>
          <w:r>
            <w:rPr>
              <w:rStyle w:val="IndexLink"/>
              <w:vanish w:val="false"/>
            </w:rPr>
            <w:instrText xml:space="preserve"> TOC \z \o "1-3" \u \h</w:instrText>
          </w:r>
          <w:r>
            <w:rPr>
              <w:rStyle w:val="IndexLink"/>
              <w:vanish w:val="false"/>
            </w:rPr>
            <w:fldChar w:fldCharType="separate"/>
          </w:r>
          <w:r>
            <w:rPr>
              <w:webHidden/>
              <w:rStyle w:val="IndexLink"/>
              <w:vanish w:val="false"/>
            </w:rPr>
            <w:tab/>
            <w:t xml:space="preserve">Hallgatói nyilatkozat</w:t>
            <w:tab/>
            <w:t>2</w:t>
          </w:r>
        </w:p>
        <w:p>
          <w:pPr>
            <w:pStyle w:val="TOC1"/>
            <w:tabs>
              <w:tab w:val="clear" w:pos="9628"/>
              <w:tab w:val="left" w:pos="44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ab/>
            <w:t xml:space="preserve">Absztrakt</w:t>
            <w:tab/>
            <w:t>3</w:t>
          </w:r>
        </w:p>
        <w:p>
          <w:pPr>
            <w:pStyle w:val="TOC1"/>
            <w:tabs>
              <w:tab w:val="clear" w:pos="9628"/>
              <w:tab w:val="left" w:pos="44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ab/>
            <w:t xml:space="preserve">Tartalom</w:t>
            <w:tab/>
            <w:t>4</w:t>
          </w:r>
        </w:p>
        <w:p>
          <w:pPr>
            <w:pStyle w:val="TOC1"/>
            <w:tabs>
              <w:tab w:val="clear" w:pos="9628"/>
              <w:tab w:val="left" w:pos="44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ab/>
            <w:t xml:space="preserve">Jelmagyarázat</w:t>
            <w:tab/>
            <w:t>6</w:t>
          </w:r>
        </w:p>
        <w:p>
          <w:pPr>
            <w:pStyle w:val="TOC1"/>
            <w:tabs>
              <w:tab w:val="clear" w:pos="9628"/>
              <w:tab w:val="left" w:pos="44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ab/>
            <w:t xml:space="preserve">Köszönetnyilvánítás</w:t>
            <w:tab/>
            <w:t>8</w:t>
          </w:r>
        </w:p>
        <w:p>
          <w:pPr>
            <w:pStyle w:val="TOC1"/>
            <w:tabs>
              <w:tab w:val="clear" w:pos="9628"/>
              <w:tab w:val="left" w:pos="44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ab/>
            <w:t xml:space="preserve">A szakdolgozat témája</w:t>
            <w:tab/>
            <w:t>9</w:t>
          </w:r>
        </w:p>
        <w:p>
          <w:pPr>
            <w:pStyle w:val="TOC1"/>
            <w:tabs>
              <w:tab w:val="clear" w:pos="9628"/>
              <w:tab w:val="left" w:pos="44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1.</w:t>
            <w:tab/>
            <w:t xml:space="preserve">Bevezető</w:t>
            <w:tab/>
            <w:t>11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1.1.</w:t>
            <w:tab/>
            <w:t xml:space="preserve">A probléma leírása</w:t>
            <w:tab/>
            <w:t>11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1.2.</w:t>
            <w:tab/>
            <w:t xml:space="preserve">A szakdolgozat céljai</w:t>
            <w:tab/>
            <w:t>11</w:t>
          </w:r>
        </w:p>
        <w:p>
          <w:pPr>
            <w:pStyle w:val="TOC1"/>
            <w:tabs>
              <w:tab w:val="clear" w:pos="9628"/>
              <w:tab w:val="left" w:pos="44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2.</w:t>
            <w:tab/>
            <w:t xml:space="preserve">Szakirodalmi áttekintés</w:t>
            <w:tab/>
            <w:t>13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2.1.</w:t>
            <w:tab/>
            <w:t xml:space="preserve">Az otthoni videómegfigyelés technológiai környezete</w:t>
            <w:tab/>
            <w:t>13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2.1.1.</w:t>
            <w:tab/>
            <w:t xml:space="preserve">A felhőalapú konzumer rendszerek működési modellje</w:t>
            <w:tab/>
            <w:t>13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2.1.2.</w:t>
            <w:tab/>
            <w:t xml:space="preserve">Az edge, azaz helyben futó NVR alternatívája</w:t>
            <w:tab/>
            <w:t>13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2.2.</w:t>
            <w:tab/>
            <w:t xml:space="preserve">Kamerahardver: szabványos IP kamerák és fogyasztói kameraalkalmazások</w:t>
            <w:tab/>
            <w:t>15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2.2.1.</w:t>
            <w:tab/>
            <w:t xml:space="preserve">Az ONVIF szabvány és az RTSP protokoll</w:t>
            <w:tab/>
            <w:t>15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2.2.2.</w:t>
            <w:tab/>
            <w:t xml:space="preserve">A fogyasztói IP-kamera alkalmazások</w:t>
            <w:tab/>
            <w:t>15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2.3.</w:t>
            <w:tab/>
            <w:t xml:space="preserve">Objektumdetekció a videóalapú megfigyelésben</w:t>
            <w:tab/>
            <w:t>16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2.3.1.</w:t>
            <w:tab/>
            <w:t xml:space="preserve">A klasszikus mozgásdetekció és korlátai</w:t>
            <w:tab/>
            <w:t>16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2.3.2.</w:t>
            <w:tab/>
            <w:t xml:space="preserve">Konvolúciós objektumdetektorok</w:t>
            <w:tab/>
            <w:t>17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2.3.3.</w:t>
            <w:tab/>
            <w:t xml:space="preserve">A Frigate detekciós pipeline-ja</w:t>
            <w:tab/>
            <w:t>17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2.4.</w:t>
            <w:tab/>
            <w:t xml:space="preserve">Kommunikációs minták elosztott rendszerekben</w:t>
            <w:tab/>
            <w:t>18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2.5.</w:t>
            <w:tab/>
            <w:t xml:space="preserve">Konténerizáció és szolgáltatásorientált üzemeltetés</w:t>
            <w:tab/>
            <w:t>19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2.6.</w:t>
            <w:tab/>
            <w:t xml:space="preserve">Elektronikai hulladék és a mobileszközök újrahasznosítása</w:t>
            <w:tab/>
            <w:t>19</w:t>
          </w:r>
        </w:p>
        <w:p>
          <w:pPr>
            <w:pStyle w:val="TOC1"/>
            <w:tabs>
              <w:tab w:val="clear" w:pos="9628"/>
              <w:tab w:val="left" w:pos="44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3.</w:t>
            <w:tab/>
            <w:t xml:space="preserve">Problémamegoldás</w:t>
            <w:tab/>
            <w:t>21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3.1.</w:t>
            <w:tab/>
            <w:t xml:space="preserve">Követelmények és tervezési kényszerek</w:t>
            <w:tab/>
            <w:t>21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3.2.</w:t>
            <w:tab/>
            <w:t xml:space="preserve">A SwarmCam architektúrája</w:t>
            <w:tab/>
            <w:t>21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3.3.</w:t>
            <w:tab/>
            <w:t xml:space="preserve">A hálózati és kommunikációs réteg tervezése</w:t>
            <w:tab/>
            <w:t>23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3.4.</w:t>
            <w:tab/>
            <w:t xml:space="preserve">Konténerizáció és üzemeltetés</w:t>
            <w:tab/>
            <w:t>25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3.5.</w:t>
            <w:tab/>
            <w:t xml:space="preserve">Implementáció</w:t>
            <w:tab/>
            <w:t>26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3.5.1.</w:t>
            <w:tab/>
            <w:t xml:space="preserve">Automatikus hálózati felderítés</w:t>
            <w:tab/>
            <w:t>26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3.5.2.</w:t>
            <w:tab/>
            <w:t xml:space="preserve">A kamera-protokoll cseréje és annak következményei</w:t>
            <w:tab/>
            <w:t>28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3.5.3.</w:t>
            <w:tab/>
            <w:t xml:space="preserve">Élőkép: az MJPEG-proxytól a go2rtc MSE-ig</w:t>
            <w:tab/>
            <w:t>29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3.5.4.</w:t>
            <w:tab/>
            <w:t xml:space="preserve">A kameraforgatás megvalósítása</w:t>
            <w:tab/>
            <w:t>32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3.5.5.</w:t>
            <w:tab/>
            <w:t xml:space="preserve">A backend és a valós idejű kommunikáció</w:t>
            <w:tab/>
            <w:t>33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3.5.6.</w:t>
            <w:tab/>
            <w:t xml:space="preserve">Tűz- és füstérzékelés</w:t>
            <w:tab/>
            <w:t>35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3.5.7.</w:t>
            <w:tab/>
            <w:t xml:space="preserve">A kezelőfelület</w:t>
            <w:tab/>
            <w:t>37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3.5.8.</w:t>
            <w:tab/>
            <w:t xml:space="preserve">Mobilnézet</w:t>
            <w:tab/>
            <w:t>41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3.5.9.</w:t>
            <w:tab/>
            <w:t xml:space="preserve">Hitelesítés és biztonsági megfontolások</w:t>
            <w:tab/>
            <w:t>44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3.6.</w:t>
            <w:tab/>
            <w:t xml:space="preserve">Tesztelés és mérési eredmények</w:t>
            <w:tab/>
            <w:t>45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3.6.1.</w:t>
            <w:tab/>
            <w:t xml:space="preserve">A mérési környezet és a módszertan</w:t>
            <w:tab/>
            <w:t>45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3.6.2.</w:t>
            <w:tab/>
            <w:t xml:space="preserve">Erőforrás-használat a kameraszám függvényében</w:t>
            <w:tab/>
            <w:t>47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3.6.3.</w:t>
            <w:tab/>
            <w:t xml:space="preserve">Detektálási sebesség: GPU-gyorsítás és processzoros futtatás</w:t>
            <w:tab/>
            <w:t>48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3.6.4.</w:t>
            <w:tab/>
            <w:t xml:space="preserve">Eseménykésleltetés és az állapotfigyelés pontossága</w:t>
            <w:tab/>
            <w:t>50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3.6.5.</w:t>
            <w:tab/>
            <w:t xml:space="preserve">Az élőkép architektúrájának mérése</w:t>
            <w:tab/>
            <w:t>51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3.6.6.</w:t>
            <w:tab/>
            <w:t xml:space="preserve">A képsebesség fényfüggése – a telefonoldali korlát</w:t>
            <w:tab/>
            <w:t>51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3.6.7.</w:t>
            <w:tab/>
            <w:t xml:space="preserve">Megfigyelt hibamódok</w:t>
            <w:tab/>
            <w:t>53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3.7.</w:t>
            <w:tab/>
            <w:t xml:space="preserve">A megoldás korlátai</w:t>
            <w:tab/>
            <w:t>53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3.8.</w:t>
            <w:tab/>
            <w:t xml:space="preserve">Tapasztalatok és tanulságok</w:t>
            <w:tab/>
            <w:t>54</w:t>
          </w:r>
        </w:p>
        <w:p>
          <w:pPr>
            <w:pStyle w:val="TOC1"/>
            <w:tabs>
              <w:tab w:val="clear" w:pos="9628"/>
              <w:tab w:val="left" w:pos="44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4.</w:t>
            <w:tab/>
            <w:t xml:space="preserve">Összegzés</w:t>
            <w:tab/>
            <w:t>56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4.1.</w:t>
            <w:tab/>
            <w:t xml:space="preserve">Jövőbeli fejlesztési lehetőségek</w:t>
            <w:tab/>
            <w:t>56</w:t>
          </w:r>
        </w:p>
        <w:p>
          <w:pPr>
            <w:pStyle w:val="TOC1"/>
            <w:tabs>
              <w:tab w:val="clear" w:pos="9628"/>
              <w:tab w:val="left" w:pos="44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ab/>
            <w:t xml:space="preserve">Irodalom</w:t>
            <w:tab/>
            <w:t>58</w:t>
          </w:r>
        </w:p>
        <w:p>
          <w:pPr>
            <w:pStyle w:val="TOC1"/>
            <w:tabs>
              <w:tab w:val="clear" w:pos="9628"/>
              <w:tab w:val="left" w:pos="44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5.</w:t>
            <w:tab/>
            <w:t xml:space="preserve">Mellékletek</w:t>
            <w:tab/>
            <w:t>60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5.1.</w:t>
            <w:tab/>
            <w:t xml:space="preserve">Nyomtatott mellékletek</w:t>
            <w:tab/>
            <w:t>60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9636" w:leader="dot"/>
            </w:tabs>
            <w:rPr/>
          </w:pPr>
          <w:r>
            <w:rPr>
              <w:webHidden/>
              <w:rStyle w:val="IndexLink"/>
              <w:vanish w:val="false"/>
            </w:rPr>
            <w:t>5.2.</w:t>
            <w:tab/>
            <w:t xml:space="preserve">Elektronikus mellékletek</w:t>
            <w:tab/>
            <w:t>60</w:t>
          </w:r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Heading1nonumbering"/>
        <w:ind w:hanging="0" w:left="0"/>
        <w:rPr>
          <w:lang w:val="hu-HU"/>
        </w:rPr>
      </w:pPr>
      <w:bookmarkStart w:id="9" w:name="__RefHeading___Toc1029_4218380707"/>
      <w:bookmarkStart w:id="10" w:name="_Toc128138385"/>
      <w:bookmarkEnd w:id="9"/>
      <w:r>
        <w:rPr>
          <w:lang w:val="sr-Latn-RS"/>
        </w:rPr>
        <w:t>Jelmagyarázat</w:t>
      </w:r>
      <w:bookmarkEnd w:id="10"/>
    </w:p>
    <w:p>
      <w:pPr>
        <w:pStyle w:val="Normal"/>
        <w:tabs>
          <w:tab w:val="clear" w:pos="720"/>
          <w:tab w:val="left" w:pos="3165" w:leader="none"/>
        </w:tabs>
        <w:rPr>
          <w:lang w:val="hu-HU"/>
        </w:rPr>
      </w:pPr>
      <w:bookmarkStart w:id="11" w:name="_Toc1957160936"/>
      <w:bookmarkEnd w:id="11"/>
      <w:r>
        <w:rPr/>
        <w:t>Az alábbi táblázat a szakdolgozatban használt jelöléseket és rövidítéseket, valamint azok feloldását tartalmazza.</w:t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71"/>
        <w:gridCol w:w="7482"/>
      </w:tblGrid>
      <w:tr>
        <w:trPr/>
        <w:tc>
          <w:tcPr>
            <w:tcW w:w="2371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073" w:leader="none"/>
              </w:tabs>
              <w:spacing w:lineRule="auto" w:line="240" w:before="60" w:after="0"/>
              <w:jc w:val="left"/>
              <w:rPr>
                <w:lang w:val="hu-HU"/>
              </w:rPr>
            </w:pPr>
            <w:r>
              <w:rPr>
                <w:b/>
                <w:lang w:val="hu-HU"/>
              </w:rPr>
              <w:t>Jel/Rövidítés</w:t>
            </w:r>
          </w:p>
        </w:tc>
        <w:tc>
          <w:tcPr>
            <w:tcW w:w="7482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073" w:leader="none"/>
              </w:tabs>
              <w:spacing w:lineRule="auto" w:line="240" w:before="60" w:after="0"/>
              <w:jc w:val="left"/>
              <w:rPr>
                <w:b/>
                <w:lang w:val="hu-HU"/>
              </w:rPr>
            </w:pPr>
            <w:r>
              <w:rPr>
                <w:b/>
                <w:lang w:val="hu-HU"/>
              </w:rPr>
              <w:t>Értelmezés</w:t>
            </w:r>
          </w:p>
        </w:tc>
      </w:tr>
      <w:tr>
        <w:tc>
          <w:tcPr>
            <w:tcW w:type="dxa" w:w="2371"/>
          </w:tcPr>
          <w:p>
            <w:r>
              <w:t>AGPL</w:t>
            </w:r>
          </w:p>
        </w:tc>
        <w:tc>
          <w:tcPr>
            <w:tcW w:type="dxa" w:w="7482"/>
          </w:tcPr>
          <w:p>
            <w:r>
              <w:t>Affero General Public License (szoftverlicenc)</w:t>
            </w:r>
          </w:p>
        </w:tc>
      </w:tr>
      <w:tr>
        <w:tc>
          <w:tcPr>
            <w:tcW w:type="dxa" w:w="2371"/>
          </w:tcPr>
          <w:p>
            <w:r>
              <w:t>AI</w:t>
            </w:r>
          </w:p>
        </w:tc>
        <w:tc>
          <w:tcPr>
            <w:tcW w:type="dxa" w:w="7482"/>
          </w:tcPr>
          <w:p>
            <w:r>
              <w:t>Artificial Intelligence (mesterséges intelligencia)</w:t>
            </w:r>
          </w:p>
        </w:tc>
      </w:tr>
      <w:tr>
        <w:tc>
          <w:tcPr>
            <w:tcW w:type="dxa" w:w="2371"/>
          </w:tcPr>
          <w:p>
            <w:r>
              <w:t>API</w:t>
            </w:r>
          </w:p>
        </w:tc>
        <w:tc>
          <w:tcPr>
            <w:tcW w:type="dxa" w:w="7482"/>
          </w:tcPr>
          <w:p>
            <w:r>
              <w:t>Application Programming Interface (alkalmazásprogramozási felület)</w:t>
            </w:r>
          </w:p>
        </w:tc>
      </w:tr>
      <w:tr>
        <w:tc>
          <w:tcPr>
            <w:tcW w:type="dxa" w:w="2371"/>
          </w:tcPr>
          <w:p>
            <w:r>
              <w:t>CPU</w:t>
            </w:r>
          </w:p>
        </w:tc>
        <w:tc>
          <w:tcPr>
            <w:tcW w:type="dxa" w:w="7482"/>
          </w:tcPr>
          <w:p>
            <w:r>
              <w:t>Central Processing Unit (központi feldolgozóegység)</w:t>
            </w:r>
          </w:p>
        </w:tc>
      </w:tr>
      <w:tr>
        <w:tc>
          <w:tcPr>
            <w:tcW w:type="dxa" w:w="2371"/>
          </w:tcPr>
          <w:p>
            <w:r>
              <w:t>DNS</w:t>
            </w:r>
          </w:p>
        </w:tc>
        <w:tc>
          <w:tcPr>
            <w:tcW w:type="dxa" w:w="7482"/>
          </w:tcPr>
          <w:p>
            <w:r>
              <w:t>Domain Name System</w:t>
            </w:r>
          </w:p>
        </w:tc>
      </w:tr>
      <w:tr>
        <w:tc>
          <w:tcPr>
            <w:tcW w:type="dxa" w:w="2371"/>
          </w:tcPr>
          <w:p>
            <w:r>
              <w:t>fMP4</w:t>
            </w:r>
          </w:p>
        </w:tc>
        <w:tc>
          <w:tcPr>
            <w:tcW w:type="dxa" w:w="7482"/>
          </w:tcPr>
          <w:p>
            <w:r>
              <w:t>Fragmented MP4 (töredezett MP4 konténerformátum)</w:t>
            </w:r>
          </w:p>
        </w:tc>
      </w:tr>
      <w:tr>
        <w:tc>
          <w:tcPr>
            <w:tcW w:type="dxa" w:w="2371"/>
          </w:tcPr>
          <w:p>
            <w:r>
              <w:t>FPS</w:t>
            </w:r>
          </w:p>
        </w:tc>
        <w:tc>
          <w:tcPr>
            <w:tcW w:type="dxa" w:w="7482"/>
          </w:tcPr>
          <w:p>
            <w:r>
              <w:t>Frames Per Second (képkocka/másodperc)</w:t>
            </w:r>
          </w:p>
        </w:tc>
      </w:tr>
      <w:tr>
        <w:tc>
          <w:tcPr>
            <w:tcW w:type="dxa" w:w="2371"/>
          </w:tcPr>
          <w:p>
            <w:r>
              <w:t>GPU</w:t>
            </w:r>
          </w:p>
        </w:tc>
        <w:tc>
          <w:tcPr>
            <w:tcW w:type="dxa" w:w="7482"/>
          </w:tcPr>
          <w:p>
            <w:r>
              <w:t>Graphics Processing Unit (grafikus feldolgozóegység)</w:t>
            </w:r>
          </w:p>
        </w:tc>
      </w:tr>
      <w:tr>
        <w:tc>
          <w:tcPr>
            <w:tcW w:type="dxa" w:w="2371"/>
          </w:tcPr>
          <w:p>
            <w:r>
              <w:t>HTTP</w:t>
            </w:r>
          </w:p>
        </w:tc>
        <w:tc>
          <w:tcPr>
            <w:tcW w:type="dxa" w:w="7482"/>
          </w:tcPr>
          <w:p>
            <w:r>
              <w:t>Hypertext Transfer Protocol</w:t>
            </w:r>
          </w:p>
        </w:tc>
      </w:tr>
      <w:tr>
        <w:tc>
          <w:tcPr>
            <w:tcW w:type="dxa" w:w="2371"/>
          </w:tcPr>
          <w:p>
            <w:r>
              <w:t>HTTPS</w:t>
            </w:r>
          </w:p>
        </w:tc>
        <w:tc>
          <w:tcPr>
            <w:tcW w:type="dxa" w:w="7482"/>
          </w:tcPr>
          <w:p>
            <w:r>
              <w:t>Hypertext Transfer Protocol Secure (titkosított HTTP)</w:t>
            </w:r>
          </w:p>
        </w:tc>
      </w:tr>
      <w:tr>
        <w:tc>
          <w:tcPr>
            <w:tcW w:type="dxa" w:w="2371"/>
          </w:tcPr>
          <w:p>
            <w:r>
              <w:t>ICE</w:t>
            </w:r>
          </w:p>
        </w:tc>
        <w:tc>
          <w:tcPr>
            <w:tcW w:type="dxa" w:w="7482"/>
          </w:tcPr>
          <w:p>
            <w:r>
              <w:t>Interactive Connectivity Establishment (kapcsolatfelépítési eljárás)</w:t>
            </w:r>
          </w:p>
        </w:tc>
      </w:tr>
      <w:tr>
        <w:tc>
          <w:tcPr>
            <w:tcW w:type="dxa" w:w="2371"/>
          </w:tcPr>
          <w:p>
            <w:r>
              <w:t>IP</w:t>
            </w:r>
          </w:p>
        </w:tc>
        <w:tc>
          <w:tcPr>
            <w:tcW w:type="dxa" w:w="7482"/>
          </w:tcPr>
          <w:p>
            <w:r>
              <w:t>Internet Protocol</w:t>
            </w:r>
          </w:p>
        </w:tc>
      </w:tr>
      <w:tr>
        <w:tc>
          <w:tcPr>
            <w:tcW w:type="dxa" w:w="2371"/>
          </w:tcPr>
          <w:p>
            <w:r>
              <w:t>JPEG</w:t>
            </w:r>
          </w:p>
        </w:tc>
        <w:tc>
          <w:tcPr>
            <w:tcW w:type="dxa" w:w="7482"/>
          </w:tcPr>
          <w:p>
            <w:r>
              <w:t>Joint Photographic Experts Group (képtömörítési szabvány)</w:t>
            </w:r>
          </w:p>
        </w:tc>
      </w:tr>
      <w:tr>
        <w:tc>
          <w:tcPr>
            <w:tcW w:type="dxa" w:w="2371"/>
          </w:tcPr>
          <w:p>
            <w:r>
              <w:t>JSON</w:t>
            </w:r>
          </w:p>
        </w:tc>
        <w:tc>
          <w:tcPr>
            <w:tcW w:type="dxa" w:w="7482"/>
          </w:tcPr>
          <w:p>
            <w:r>
              <w:t>JavaScript Object Notation (adatcsere-formátum)</w:t>
            </w:r>
          </w:p>
        </w:tc>
      </w:tr>
      <w:tr>
        <w:tc>
          <w:tcPr>
            <w:tcW w:type="dxa" w:w="2371"/>
          </w:tcPr>
          <w:p>
            <w:r>
              <w:t>JWT</w:t>
            </w:r>
          </w:p>
        </w:tc>
        <w:tc>
          <w:tcPr>
            <w:tcW w:type="dxa" w:w="7482"/>
          </w:tcPr>
          <w:p>
            <w:r>
              <w:t>JSON Web Token</w:t>
            </w:r>
          </w:p>
        </w:tc>
      </w:tr>
      <w:tr>
        <w:tc>
          <w:tcPr>
            <w:tcW w:type="dxa" w:w="2371"/>
          </w:tcPr>
          <w:p>
            <w:r>
              <w:t>MIT</w:t>
            </w:r>
          </w:p>
        </w:tc>
        <w:tc>
          <w:tcPr>
            <w:tcW w:type="dxa" w:w="7482"/>
          </w:tcPr>
          <w:p>
            <w:r>
              <w:t>Massachusetts Institute of Technology License (megengedő szoftverlicenc)</w:t>
            </w:r>
          </w:p>
        </w:tc>
      </w:tr>
      <w:tr>
        <w:tc>
          <w:tcPr>
            <w:tcW w:type="dxa" w:w="2371"/>
          </w:tcPr>
          <w:p>
            <w:r>
              <w:t>MJPEG</w:t>
            </w:r>
          </w:p>
        </w:tc>
        <w:tc>
          <w:tcPr>
            <w:tcW w:type="dxa" w:w="7482"/>
          </w:tcPr>
          <w:p>
            <w:r>
              <w:t>Motion JPEG</w:t>
            </w:r>
          </w:p>
        </w:tc>
      </w:tr>
      <w:tr>
        <w:tc>
          <w:tcPr>
            <w:tcW w:type="dxa" w:w="2371"/>
          </w:tcPr>
          <w:p>
            <w:r>
              <w:t>MQTT</w:t>
            </w:r>
          </w:p>
        </w:tc>
        <w:tc>
          <w:tcPr>
            <w:tcW w:type="dxa" w:w="7482"/>
          </w:tcPr>
          <w:p>
            <w:r>
              <w:t>Message Queuing Telemetry Transport</w:t>
            </w:r>
          </w:p>
        </w:tc>
      </w:tr>
      <w:tr>
        <w:tc>
          <w:tcPr>
            <w:tcW w:type="dxa" w:w="2371"/>
          </w:tcPr>
          <w:p>
            <w:r>
              <w:t>MSE</w:t>
            </w:r>
          </w:p>
        </w:tc>
        <w:tc>
          <w:tcPr>
            <w:tcW w:type="dxa" w:w="7482"/>
          </w:tcPr>
          <w:p>
            <w:r>
              <w:t>Media Source Extensions (böngészős médialejátszási API)</w:t>
            </w:r>
          </w:p>
        </w:tc>
      </w:tr>
      <w:tr>
        <w:tc>
          <w:tcPr>
            <w:tcW w:type="dxa" w:w="2371"/>
          </w:tcPr>
          <w:p>
            <w:r>
              <w:t>NAT</w:t>
            </w:r>
          </w:p>
        </w:tc>
        <w:tc>
          <w:tcPr>
            <w:tcW w:type="dxa" w:w="7482"/>
          </w:tcPr>
          <w:p>
            <w:r>
              <w:t>Network Address Translation (hálózaticím-fordítás)</w:t>
            </w:r>
          </w:p>
        </w:tc>
      </w:tr>
      <w:tr>
        <w:tc>
          <w:tcPr>
            <w:tcW w:type="dxa" w:w="2371"/>
          </w:tcPr>
          <w:p>
            <w:r>
              <w:t>NVR</w:t>
            </w:r>
          </w:p>
        </w:tc>
        <w:tc>
          <w:tcPr>
            <w:tcW w:type="dxa" w:w="7482"/>
          </w:tcPr>
          <w:p>
            <w:r>
              <w:t>Network Video Recorder (hálózati videórögzítő)</w:t>
            </w:r>
          </w:p>
        </w:tc>
      </w:tr>
      <w:tr>
        <w:tc>
          <w:tcPr>
            <w:tcW w:type="dxa" w:w="2371"/>
          </w:tcPr>
          <w:p>
            <w:r>
              <w:t>ONNX</w:t>
            </w:r>
          </w:p>
        </w:tc>
        <w:tc>
          <w:tcPr>
            <w:tcW w:type="dxa" w:w="7482"/>
          </w:tcPr>
          <w:p>
            <w:r>
              <w:t>Open Neural Network Exchange (modellcsere-formátum)</w:t>
            </w:r>
          </w:p>
        </w:tc>
      </w:tr>
      <w:tr>
        <w:tc>
          <w:tcPr>
            <w:tcW w:type="dxa" w:w="2371"/>
          </w:tcPr>
          <w:p>
            <w:r>
              <w:t>ONVIF</w:t>
            </w:r>
          </w:p>
        </w:tc>
        <w:tc>
          <w:tcPr>
            <w:tcW w:type="dxa" w:w="7482"/>
          </w:tcPr>
          <w:p>
            <w:r>
              <w:t>Open Network Video Interface Forum</w:t>
            </w:r>
          </w:p>
        </w:tc>
      </w:tr>
      <w:tr>
        <w:tc>
          <w:tcPr>
            <w:tcW w:type="dxa" w:w="2371"/>
          </w:tcPr>
          <w:p>
            <w:r>
              <w:t>PTZ</w:t>
            </w:r>
          </w:p>
        </w:tc>
        <w:tc>
          <w:tcPr>
            <w:tcW w:type="dxa" w:w="7482"/>
          </w:tcPr>
          <w:p>
            <w:r>
              <w:t>Pan-Tilt-Zoom (forgatható, dönthető, zoomolható kamera)</w:t>
            </w:r>
          </w:p>
        </w:tc>
      </w:tr>
      <w:tr>
        <w:tc>
          <w:tcPr>
            <w:tcW w:type="dxa" w:w="2371"/>
          </w:tcPr>
          <w:p>
            <w:r>
              <w:t>REST</w:t>
            </w:r>
          </w:p>
        </w:tc>
        <w:tc>
          <w:tcPr>
            <w:tcW w:type="dxa" w:w="7482"/>
          </w:tcPr>
          <w:p>
            <w:r>
              <w:t>Representational State Transfer</w:t>
            </w:r>
          </w:p>
        </w:tc>
      </w:tr>
      <w:tr>
        <w:tc>
          <w:tcPr>
            <w:tcW w:type="dxa" w:w="2371"/>
          </w:tcPr>
          <w:p>
            <w:r>
              <w:t>RTP</w:t>
            </w:r>
          </w:p>
        </w:tc>
        <w:tc>
          <w:tcPr>
            <w:tcW w:type="dxa" w:w="7482"/>
          </w:tcPr>
          <w:p>
            <w:r>
              <w:t>Real-time Transport Protocol</w:t>
            </w:r>
          </w:p>
        </w:tc>
      </w:tr>
      <w:tr>
        <w:tc>
          <w:tcPr>
            <w:tcW w:type="dxa" w:w="2371"/>
          </w:tcPr>
          <w:p>
            <w:r>
              <w:t>RTSP</w:t>
            </w:r>
          </w:p>
        </w:tc>
        <w:tc>
          <w:tcPr>
            <w:tcW w:type="dxa" w:w="7482"/>
          </w:tcPr>
          <w:p>
            <w:r>
              <w:t>Real Time Streaming Protocol</w:t>
            </w:r>
          </w:p>
        </w:tc>
      </w:tr>
      <w:tr>
        <w:tc>
          <w:tcPr>
            <w:tcW w:type="dxa" w:w="2371"/>
          </w:tcPr>
          <w:p>
            <w:r>
              <w:t>SDP</w:t>
            </w:r>
          </w:p>
        </w:tc>
        <w:tc>
          <w:tcPr>
            <w:tcW w:type="dxa" w:w="7482"/>
          </w:tcPr>
          <w:p>
            <w:r>
              <w:t>Session Description Protocol (médialeíró formátum)</w:t>
            </w:r>
          </w:p>
        </w:tc>
      </w:tr>
      <w:tr>
        <w:tc>
          <w:tcPr>
            <w:tcW w:type="dxa" w:w="2371"/>
          </w:tcPr>
          <w:p>
            <w:r>
              <w:t>SOAP</w:t>
            </w:r>
          </w:p>
        </w:tc>
        <w:tc>
          <w:tcPr>
            <w:tcW w:type="dxa" w:w="7482"/>
          </w:tcPr>
          <w:p>
            <w:r>
              <w:t>Simple Object Access Protocol</w:t>
            </w:r>
          </w:p>
        </w:tc>
      </w:tr>
      <w:tr>
        <w:tc>
          <w:tcPr>
            <w:tcW w:type="dxa" w:w="2371"/>
          </w:tcPr>
          <w:p>
            <w:r>
              <w:t>SPA</w:t>
            </w:r>
          </w:p>
        </w:tc>
        <w:tc>
          <w:tcPr>
            <w:tcW w:type="dxa" w:w="7482"/>
          </w:tcPr>
          <w:p>
            <w:r>
              <w:t>Single Page Application (egyoldalas alkalmazás)</w:t>
            </w:r>
          </w:p>
        </w:tc>
      </w:tr>
      <w:tr>
        <w:tc>
          <w:tcPr>
            <w:tcW w:type="dxa" w:w="2371"/>
          </w:tcPr>
          <w:p>
            <w:r>
              <w:t>SSE</w:t>
            </w:r>
          </w:p>
        </w:tc>
        <w:tc>
          <w:tcPr>
            <w:tcW w:type="dxa" w:w="7482"/>
          </w:tcPr>
          <w:p>
            <w:r>
              <w:t>Server-Sent Events</w:t>
            </w:r>
          </w:p>
        </w:tc>
      </w:tr>
      <w:tr>
        <w:tc>
          <w:tcPr>
            <w:tcW w:type="dxa" w:w="2371"/>
          </w:tcPr>
          <w:p>
            <w:r>
              <w:t>TCP</w:t>
            </w:r>
          </w:p>
        </w:tc>
        <w:tc>
          <w:tcPr>
            <w:tcW w:type="dxa" w:w="7482"/>
          </w:tcPr>
          <w:p>
            <w:r>
              <w:t>Transmission Control Protocol</w:t>
            </w:r>
          </w:p>
        </w:tc>
      </w:tr>
      <w:tr>
        <w:tc>
          <w:tcPr>
            <w:tcW w:type="dxa" w:w="2371"/>
          </w:tcPr>
          <w:p>
            <w:r>
              <w:t>TPU</w:t>
            </w:r>
          </w:p>
        </w:tc>
        <w:tc>
          <w:tcPr>
            <w:tcW w:type="dxa" w:w="7482"/>
          </w:tcPr>
          <w:p>
            <w:r>
              <w:t>Tensor Processing Unit</w:t>
            </w:r>
          </w:p>
        </w:tc>
      </w:tr>
      <w:tr>
        <w:tc>
          <w:tcPr>
            <w:tcW w:type="dxa" w:w="2371"/>
          </w:tcPr>
          <w:p>
            <w:r>
              <w:t>UDP</w:t>
            </w:r>
          </w:p>
        </w:tc>
        <w:tc>
          <w:tcPr>
            <w:tcW w:type="dxa" w:w="7482"/>
          </w:tcPr>
          <w:p>
            <w:r>
              <w:t>User Datagram Protocol</w:t>
            </w:r>
          </w:p>
        </w:tc>
      </w:tr>
      <w:tr>
        <w:tc>
          <w:tcPr>
            <w:tcW w:type="dxa" w:w="2371"/>
          </w:tcPr>
          <w:p>
            <w:r>
              <w:t>URL</w:t>
            </w:r>
          </w:p>
        </w:tc>
        <w:tc>
          <w:tcPr>
            <w:tcW w:type="dxa" w:w="7482"/>
          </w:tcPr>
          <w:p>
            <w:r>
              <w:t>Uniform Resource Locator</w:t>
            </w:r>
          </w:p>
        </w:tc>
      </w:tr>
      <w:tr>
        <w:tc>
          <w:tcPr>
            <w:tcW w:type="dxa" w:w="2371"/>
          </w:tcPr>
          <w:p>
            <w:r>
              <w:t>VPN</w:t>
            </w:r>
          </w:p>
        </w:tc>
        <w:tc>
          <w:tcPr>
            <w:tcW w:type="dxa" w:w="7482"/>
          </w:tcPr>
          <w:p>
            <w:r>
              <w:t>Virtual Private Network (virtuális magánhálózat)</w:t>
            </w:r>
          </w:p>
        </w:tc>
      </w:tr>
      <w:tr>
        <w:tc>
          <w:tcPr>
            <w:tcW w:type="dxa" w:w="2371"/>
          </w:tcPr>
          <w:p>
            <w:r>
              <w:t>YOLO</w:t>
            </w:r>
          </w:p>
        </w:tc>
        <w:tc>
          <w:tcPr>
            <w:tcW w:type="dxa" w:w="7482"/>
          </w:tcPr>
          <w:p>
            <w:r>
              <w:t>You Only Look Once (objektumdetekciós modellcsalád)</w:t>
            </w:r>
          </w:p>
        </w:tc>
      </w:tr>
    </w:tbl>
    <w:p>
      <w:pPr>
        <w:pStyle w:val="Heading1nonumbering"/>
        <w:ind w:hanging="0" w:left="0"/>
        <w:rPr>
          <w:lang w:val="hu-HU"/>
        </w:rPr>
      </w:pPr>
      <w:bookmarkStart w:id="12" w:name="__RefHeading___Toc1031_4218380707"/>
      <w:bookmarkStart w:id="13" w:name="_Toc128138386"/>
      <w:bookmarkStart w:id="14" w:name="_Toc1832879073"/>
      <w:bookmarkEnd w:id="12"/>
      <w:r>
        <w:rPr>
          <w:lang w:val="hu-HU"/>
        </w:rPr>
        <w:t>Köszönetnyilvánítás</w:t>
      </w:r>
      <w:bookmarkEnd w:id="13"/>
      <w:bookmarkEnd w:id="14"/>
    </w:p>
    <w:p>
      <w:pPr>
        <w:pStyle w:val="Normal"/>
        <w:rPr>
          <w:lang w:val="hu-HU"/>
        </w:rPr>
      </w:pPr>
      <w:r>
        <w:rPr/>
        <w:t>Köszönettel tartozom mentoromnak, dr. Pletl Szilveszternek a szakdolgozat készítése során nyújtott szakmai iránymutatásért és a tervezetre adott részletes, építő jellegű észrevételekért. Köszönöm továbbá családomnak a türelmet és a támogatást.</w:t>
      </w:r>
    </w:p>
    <w:p>
      <w:pPr>
        <w:pStyle w:val="Heading1nonumbering"/>
        <w:ind w:hanging="0" w:left="0"/>
        <w:rPr>
          <w:lang w:val="hu-HU"/>
        </w:rPr>
      </w:pPr>
      <w:bookmarkStart w:id="15" w:name="__RefHeading___Toc1033_4218380707"/>
      <w:bookmarkStart w:id="16" w:name="_Toc128138387"/>
      <w:bookmarkStart w:id="17" w:name="_Toc1499162434"/>
      <w:bookmarkEnd w:id="15"/>
      <w:r>
        <w:rPr>
          <w:lang w:val="hu-HU"/>
        </w:rPr>
        <w:t>A szakdolgozat témája</w:t>
      </w:r>
      <w:bookmarkEnd w:id="16"/>
      <w:bookmarkEnd w:id="17"/>
    </w:p>
    <w:p>
      <w:pPr>
        <w:pStyle w:val="Normal"/>
        <w:rPr>
          <w:lang w:val="hu-HU"/>
        </w:rPr>
      </w:pPr>
      <w:r>
        <w:rPr/>
        <w:t>A háztartásokban rendszeresen felhalmozódnak lecserélt, de hardveresen továbbra is működőképes Android okostelefonok, amelyek kamerája, Wi-Fi rádiója és akkumulátora évekkel túléli azt az időszakot, amíg a készülék a felhasználó elsődleges telefonjaként szolgál. Ezzel párhuzamosan az otthoni biztonsági kamerázás piacát jellemzően felhőalapú megoldások uralják, amelyek egyszerű üzembe helyezést kínálnak, cserébe a felvétel harmadik fél szerverére kerül, jellemzően előfizetéses modellben.</w:t>
      </w:r>
    </w:p>
    <w:p>
      <w:pPr>
        <w:pStyle w:val="Normal"/>
        <w:rPr>
          <w:lang w:val="hu-HU"/>
        </w:rPr>
      </w:pPr>
      <w:r>
        <w:rPr/>
        <w:t>A feladat egy felhőfüggetlen, helyi hálózaton működő, mesterséges intelligenciával támogatott biztonsági rendszer (SwarmCam) tervezése és megvalósítása, amely a háztartásban feleslegessé vált Android okostelefonokat – dedikált kamerahardver beszerzése nélkül – automatikusan bevonja a rendszerbe, és a felvételeket helyben, a felhasználó saját hálózatán dolgozza fel valós idejű objektum- és eseménydetekcióval.</w:t>
      </w:r>
    </w:p>
    <w:p>
      <w:pPr>
        <w:pStyle w:val="Normal"/>
        <w:rPr>
          <w:lang w:val="hu-HU"/>
        </w:rPr>
      </w:pPr>
      <w:r>
        <w:rPr/>
        <w:t>Az újrahasznosított okostelefon a rendszerben többcélú szenzoregységként értelmezendő: a jelen munka elsődlegesen a kameraképre (gépi látásra), valamint a telefon állapotadataira (pl. akkumulátor- és töltésállapot) támaszkodik, de az architektúrát úgy kell kialakítani, hogy a készülék további beépített szenzorai (mikrofon, gyorsulásmérő, giroszkóp, fényérzékelő stb.) a későbbiekben további eseményforrásként legyenek bevonhatók.</w:t>
      </w:r>
    </w:p>
    <w:p>
      <w:pPr>
        <w:pStyle w:val="Normal"/>
        <w:rPr>
          <w:lang w:val="hu-HU"/>
        </w:rPr>
      </w:pPr>
      <w:r>
        <w:rPr/>
        <w:t>A várható eredmény nem létező megoldások átirata vagy összehasonlító elemzése, hanem a hallgató által önállóan tervezett és megvalósított, valós hálózati környezetben tesztelt szoftverrendszer.</w:t>
      </w:r>
    </w:p>
    <w:p>
      <w:pPr>
        <w:pStyle w:val="Normal"/>
        <w:rPr>
          <w:lang w:val="hu-HU"/>
        </w:rPr>
      </w:pPr>
      <w:r>
        <w:rPr/>
        <w:t>A szakdolgozat elkészítéséhez a hallgatónak a következő feladatokat kell elvégeznie:</w:t>
      </w:r>
    </w:p>
    <w:p>
      <w:pPr>
        <w:pStyle w:val="ListParagraph"/>
        <w:rPr/>
      </w:pPr>
      <w:r>
        <w:rPr/>
        <w:t>1. Áttekinteni a felhőalapú és a helyben (edge) futó NVR-rendszerek (pl. Frigate) előnyeit és korlátait, valamint az ONVIF-kompatibilis IP kamerák és a fogyasztói IP-kamera-alkalmazások (pl. IP Webcam) közötti különbséget.</w:t>
      </w:r>
    </w:p>
    <w:p>
      <w:pPr>
        <w:pStyle w:val="ListParagraph"/>
        <w:rPr/>
      </w:pPr>
      <w:r>
        <w:rPr/>
        <w:t>2. Megtervezni a rendszer összetevőkre bontott (Android telefon – AI/rögzítő réteg – üzenetközvetítő – alkalmazáslogika – felhasználói felület) architektúráját, és indokolni a komponensek közötti kommunikációs csatornák (REST, WebSocket, MQTT) megválasztását.</w:t>
      </w:r>
    </w:p>
    <w:p>
      <w:pPr>
        <w:pStyle w:val="ListParagraph"/>
        <w:rPr/>
      </w:pPr>
      <w:r>
        <w:rPr/>
        <w:t>3. Megvalósítani a hálózaton elérhető, IP Webcam alkalmazást futtató Android eszközök automatikus, kézi konfiguráció nélküli felderítését (hálózati discovery), és a talált kamerák bekötését a választott NVR-rendszerbe.</w:t>
      </w:r>
    </w:p>
    <w:p>
      <w:pPr>
        <w:pStyle w:val="ListParagraph"/>
        <w:rPr/>
      </w:pPr>
      <w:r>
        <w:rPr/>
        <w:t>4. Kialakítani a felhőfüggetlen, konténerizált (Docker Compose alapú) szerverkörnyezetet, amely a videófeldolgozást, az eseménykezelést és a felhasználói felületet egyetlen, könnyen telepíthető csomagba szervezi.</w:t>
      </w:r>
    </w:p>
    <w:p>
      <w:pPr>
        <w:pStyle w:val="ListParagraph"/>
        <w:rPr/>
      </w:pPr>
      <w:r>
        <w:rPr/>
        <w:t>5. Kiegészíteni a rendszert egy önálló, gépi tanuláson alapuló mikroszolgáltatással olyan események felismerésére (pl. tűz, füst), amelyeket az alapul szolgáló NVR általános célú objektumdetektora natívan nem támogat.</w:t>
      </w:r>
    </w:p>
    <w:p>
      <w:pPr>
        <w:pStyle w:val="ListParagraph"/>
        <w:rPr/>
      </w:pPr>
      <w:r>
        <w:rPr/>
        <w:t>6. Kialakítani a valós idejű, eseményvezérelt kommunikációs réteget (üzenetbróker és WebSocket kapcsolat) a kamerák állapotváltozásainak és a detektált eseményeknek a felhasználói felület felé történő továbbításához.</w:t>
      </w:r>
    </w:p>
    <w:p>
      <w:pPr>
        <w:pStyle w:val="ListParagraph"/>
        <w:rPr/>
      </w:pPr>
      <w:r>
        <w:rPr/>
        <w:t>7. Elkészíteni a rendszer webalapú kezelőfelületét (dashboard), amely a kamerák élő képét, a rögzített eseményeket és felvételeket, valamint a rendszerbeállításokat egységes felületen teszi elérhetővé.</w:t>
      </w:r>
    </w:p>
    <w:p>
      <w:pPr>
        <w:pStyle w:val="ListParagraph"/>
        <w:rPr/>
      </w:pPr>
      <w:r>
        <w:rPr/>
        <w:t>8. Tesztelni a rendszert valódi otthoni hálózati környezetben, több, különböző generációs Android eszközzel, és dokumentálni a mért eredményeket (erőforrás-használat a kamerák számának függvényében, átlagos esemény-késleltetés, GPU-gyorsítás hatása a detektálási sebességre).</w:t>
      </w:r>
    </w:p>
    <w:p>
      <w:pPr>
        <w:pStyle w:val="ListParagraph"/>
        <w:rPr/>
      </w:pPr>
      <w:r>
        <w:rPr/>
        <w:t>9. Összefoglalni a megvalósított rendszer korlátait és továbbfejlesztési lehetőségeit (pl. a telefonok további beépített szenzorainak – mikrofon, gyorsulásmérő, giroszkóp – bevonása újabb eseményforrásként, dedikált ONVIF kamerák integrációja, mobil értesítések, alternatív hardveres gyorsítás).</w:t>
      </w:r>
    </w:p>
    <w:p>
      <w:pPr>
        <w:pStyle w:val="Normal"/>
        <w:rPr>
          <w:lang w:val="hu-HU"/>
        </w:rPr>
      </w:pPr>
      <w:r>
        <w:rPr>
          <w:b/>
        </w:rPr>
        <w:t>Tudományos / szakmai terület:</w:t>
      </w:r>
      <w:r>
        <w:rPr>
          <w:b w:val="0"/>
        </w:rPr>
        <w:t xml:space="preserve"> Elosztott rendszerek, számítógépes látás és mesterséges intelligencia (objektumdetekció), hálózati protokollok (REST, MQTT, WebSocket), konténerizáció és szolgáltatás-orientált architektúra, webes felhasználói felületek fejlesztése.</w:t>
      </w:r>
    </w:p>
    <w:p>
      <w:pPr>
        <w:pStyle w:val="Normal"/>
        <w:rPr>
          <w:lang w:val="hu-HU"/>
        </w:rPr>
      </w:pPr>
      <w:r>
        <w:rPr>
          <w:b/>
        </w:rPr>
        <w:t>Kiinduló irodalom:</w:t>
      </w:r>
    </w:p>
    <w:p>
      <w:pPr>
        <w:pStyle w:val="ListParagraph"/>
        <w:rPr/>
      </w:pPr>
      <w:r>
        <w:rPr/>
        <w:t xml:space="preserve">– </w:t>
      </w:r>
      <w:r>
        <w:rPr/>
        <w:t>Frigate NVR – Documentation. Elérhető: https://docs.frigate.video/</w:t>
      </w:r>
    </w:p>
    <w:p>
      <w:pPr>
        <w:pStyle w:val="ListParagraph"/>
        <w:rPr/>
      </w:pPr>
      <w:r>
        <w:rPr/>
        <w:t xml:space="preserve">– </w:t>
      </w:r>
      <w:r>
        <w:rPr/>
        <w:t>OASIS, MQTT Version 5.0 – OASIS Standard. Elérhető: https://docs.oasis-open.org/mqtt/mqtt/v5.0/mqtt-v5.0.html</w:t>
      </w:r>
    </w:p>
    <w:p>
      <w:pPr>
        <w:pStyle w:val="ListParagraph"/>
        <w:rPr/>
      </w:pPr>
      <w:r>
        <w:rPr/>
        <w:t xml:space="preserve">– </w:t>
      </w:r>
      <w:r>
        <w:rPr/>
        <w:t>ONVIF, ONVIF Core Specification. Elérhető: https://www.onvif.org/specs/</w:t>
      </w:r>
    </w:p>
    <w:p>
      <w:pPr>
        <w:pStyle w:val="ListParagraph"/>
        <w:rPr/>
      </w:pPr>
      <w:r>
        <w:rPr/>
        <w:t xml:space="preserve">– </w:t>
      </w:r>
      <w:r>
        <w:rPr/>
        <w:t>I. Goodfellow, Y. Bengio, A. Courville – Deep Learning. MIT Press, 2016.</w:t>
      </w:r>
    </w:p>
    <w:p>
      <w:pPr>
        <w:pStyle w:val="ListParagraph"/>
        <w:rPr/>
      </w:pPr>
      <w:r>
        <w:rPr/>
        <w:t xml:space="preserve">– </w:t>
      </w:r>
      <w:r>
        <w:rPr/>
        <w:t>Ultralytics – YOLO Docs. Elérhető: https://docs.ultralytics.com/</w:t>
      </w:r>
    </w:p>
    <w:p>
      <w:pPr>
        <w:pStyle w:val="ListParagraph"/>
        <w:rPr/>
      </w:pPr>
      <w:r>
        <w:rPr/>
        <w:t xml:space="preserve">– </w:t>
      </w:r>
      <w:r>
        <w:rPr/>
        <w:t>V. Forti, C. P. Baldé, R. Kuehr, G. Bel – The Global E-waste Monitor 2020. UNU/UNITAR, ITU, ISWA, 2020.</w:t>
      </w:r>
    </w:p>
    <w:p>
      <w:pPr>
        <w:pStyle w:val="ListParagraph"/>
        <w:rPr/>
      </w:pPr>
      <w:r>
        <w:rPr/>
        <w:t xml:space="preserve">– </w:t>
      </w:r>
      <w:r>
        <w:rPr/>
        <w:t>FastAPI – Documentation. Elérhető: https://fastapi.tiangolo.com/</w:t>
      </w:r>
    </w:p>
    <w:p>
      <w:pPr>
        <w:pStyle w:val="ListParagraph"/>
        <w:rPr/>
      </w:pPr>
      <w:r>
        <w:rPr/>
        <w:t xml:space="preserve">– </w:t>
      </w:r>
      <w:r>
        <w:rPr/>
        <w:t>Docker – Docker Compose Documentation. Elérhető: https://docs.docker.com/compose/</w:t>
      </w:r>
    </w:p>
    <w:p>
      <w:pPr>
        <w:pStyle w:val="Heading1"/>
        <w:numPr>
          <w:ilvl w:val="0"/>
          <w:numId w:val="1"/>
        </w:numPr>
        <w:rPr>
          <w:lang w:val="hu-HU"/>
        </w:rPr>
      </w:pPr>
      <w:bookmarkStart w:id="18" w:name="__RefHeading___Toc1035_4218380707"/>
      <w:bookmarkStart w:id="19" w:name="_Toc128138388"/>
      <w:bookmarkStart w:id="20" w:name="_Toc387113988"/>
      <w:bookmarkEnd w:id="18"/>
      <w:r>
        <w:rPr>
          <w:lang w:val="hu-HU"/>
        </w:rPr>
        <w:t>Bevezető</w:t>
      </w:r>
      <w:bookmarkEnd w:id="19"/>
      <w:bookmarkEnd w:id="20"/>
    </w:p>
    <w:p>
      <w:pPr>
        <w:pStyle w:val="Normal"/>
        <w:tabs>
          <w:tab w:val="clear" w:pos="720"/>
          <w:tab w:val="left" w:pos="1073" w:leader="none"/>
        </w:tabs>
        <w:rPr>
          <w:lang w:val="hu-HU" w:bidi="ar-SA"/>
        </w:rPr>
      </w:pPr>
      <w:r>
        <w:rPr>
          <w:lang w:val="hu-HU" w:bidi="ar-SA"/>
        </w:rPr>
      </w:r>
    </w:p>
    <w:p>
      <w:pPr>
        <w:pStyle w:val="Heading2"/>
        <w:numPr>
          <w:ilvl w:val="1"/>
          <w:numId w:val="1"/>
        </w:numPr>
        <w:rPr>
          <w:lang w:val="hu-HU"/>
        </w:rPr>
      </w:pPr>
      <w:bookmarkStart w:id="21" w:name="__RefHeading___Toc1037_4218380707"/>
      <w:bookmarkStart w:id="22" w:name="_Toc128138389"/>
      <w:bookmarkStart w:id="23" w:name="_Toc1114860871"/>
      <w:bookmarkEnd w:id="21"/>
      <w:r>
        <w:rPr>
          <w:lang w:val="hu-HU"/>
        </w:rPr>
        <w:t>A probléma leírása</w:t>
      </w:r>
      <w:bookmarkEnd w:id="22"/>
      <w:bookmarkEnd w:id="23"/>
    </w:p>
    <w:p>
      <w:pPr>
        <w:pStyle w:val="Normal"/>
        <w:rPr>
          <w:lang w:val="hu-HU"/>
        </w:rPr>
      </w:pPr>
      <w:r>
        <w:rPr/>
        <w:t>Napjaink háztartásaiban rendszeresen halmozódnak fel lecserélt, de hardveresen még teljesen működőképes Android okostelefonok: kameramodul, Wi-Fi rádió és akkumulátor is van bennük, a legtöbb mégis fiókban végzi, vagy elektronikai hulladékként (e-waste) kerül megsemmisítésre. Ezzel párhuzamosan az otthoni és kisvállalati biztonsági kamerázás piacát ma jórészt felhőalapú megoldások uralják: ezek egyszerű üzembe helyezést kínálnak, cserébe a videófolyam a gyártó szerverein landol, jellemzően előfizetéses modellben, ami adatvédelmi kockázatot és folyamatos költséget is jelent a felhasználó számára.</w:t>
      </w:r>
    </w:p>
    <w:p>
      <w:pPr>
        <w:pStyle w:val="Normal"/>
        <w:rPr/>
      </w:pPr>
      <w:r>
        <w:rPr/>
        <w:t>A dedikált, lokálisan futtatható NVR (network video recorder) szoftverek – mint a nyílt forráskódú Frigate – megoldják a felhőfüggést és az AI-alapú eseményfelismerést, de a kameraoldalt továbbra is a felhasználónak kell biztosítania, jellemzően ONVIF-kompatibilis IP kamerák megvásárlásával. Nincs olyan, egyszerűen telepíthető megoldás, amely a meglévő, használaton kívüli okostelefonokat automatikusan, kézi konfiguráció nélkül vonná be egy ilyen rendszerbe.</w:t>
      </w:r>
    </w:p>
    <w:p>
      <w:pPr>
        <w:pStyle w:val="Normal"/>
        <w:rPr/>
      </w:pPr>
      <w:r>
        <w:rPr/>
        <w:t>A SwarmCam erre a hiányra reagál: célja, hogy a hálózaton lévő, nyílt forráskódú Android IP Camera alkalmazást futtató Android eszközöket automatikusan felismerje, és egy éretté vált NVR-technológiával (Frigate) összekapcsolva egy teljesen lokális, felhőfüggetlen, AI-alapú megfigyelőhálózatot („swarmot”) hozzon létre.</w:t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Heading2"/>
        <w:numPr>
          <w:ilvl w:val="1"/>
          <w:numId w:val="1"/>
        </w:numPr>
        <w:rPr>
          <w:lang w:val="hu-HU"/>
        </w:rPr>
      </w:pPr>
      <w:bookmarkStart w:id="24" w:name="__RefHeading___Toc1039_4218380707"/>
      <w:bookmarkStart w:id="25" w:name="_Toc128138390"/>
      <w:bookmarkStart w:id="26" w:name="_Toc67398920"/>
      <w:bookmarkEnd w:id="24"/>
      <w:r>
        <w:rPr>
          <w:lang w:val="hu-HU"/>
        </w:rPr>
        <w:t>A szakdolgozat céljai</w:t>
      </w:r>
      <w:bookmarkEnd w:id="25"/>
      <w:bookmarkEnd w:id="26"/>
    </w:p>
    <w:p>
      <w:pPr>
        <w:pStyle w:val="Normal"/>
        <w:rPr>
          <w:lang w:val="hu-HU"/>
        </w:rPr>
      </w:pPr>
      <w:r>
        <w:rPr/>
        <w:t>A szakdolgozat fő célja a SwarmCam platform tervezése és megvalósítása, amely a fentebb vázolt problémákra ad gyakorlati megoldást. Ennek részcéljai a következők:</w:t>
      </w:r>
    </w:p>
    <w:p>
      <w:pPr>
        <w:pStyle w:val="ListParagraph"/>
        <w:rPr/>
      </w:pPr>
      <w:r>
        <w:rPr/>
        <w:t>1. Meglévő Android okostelefonok automatikus, kézi konfiguráció nélküli integrálása IP kameraként, hálózati felderítés (discovery) segítségével.</w:t>
      </w:r>
    </w:p>
    <w:p>
      <w:pPr>
        <w:pStyle w:val="ListParagraph"/>
        <w:rPr/>
      </w:pPr>
      <w:r>
        <w:rPr/>
        <w:t>2. Felhőfüggetlen, Docker Compose alapú szerverkörnyezet kialakítása, amely a videófeldolgozást, az eseménykezelést és a felhasználói felületet egyetlen, könnyen telepíthető csomagba szervezi.</w:t>
      </w:r>
    </w:p>
    <w:p>
      <w:pPr>
        <w:pStyle w:val="ListParagraph"/>
        <w:rPr/>
      </w:pPr>
      <w:r>
        <w:rPr/>
        <w:t>3. A Frigate NVR beépítése a valós idejű objektum- és mozgásdetekcióhoz, kiegészítve egy önálló, YOLO-alapú mikroszolgáltatással a tűz- és füstérzékeléshez, amelyre a Frigate natívan nem ad megoldást.</w:t>
      </w:r>
    </w:p>
    <w:p>
      <w:pPr>
        <w:pStyle w:val="ListParagraph"/>
        <w:rPr/>
      </w:pPr>
      <w:r>
        <w:rPr/>
        <w:t>4. Valós idejű, eseményvezérelt kommunikációs réteg kialakítása (MQTT a Frigate és a tűzdetektor felől, WebSocket a böngésző felé), amely a kamerák állapotváltozásait és a detektált eseményeket másodperceken belül eljuttatja a felhasználóhoz.</w:t>
      </w:r>
    </w:p>
    <w:p>
      <w:pPr>
        <w:pStyle w:val="ListParagraph"/>
        <w:rPr/>
      </w:pPr>
      <w:r>
        <w:rPr/>
        <w:t>5. Egy modern, React alapú kezelőfelület (dashboard) fejlesztése, amely a kamerák élő képét, a rögzített eseményeket és felvételeket, valamint a rendszer beállításait egységes felületen teszi elérhetővé.</w:t>
      </w:r>
    </w:p>
    <w:p>
      <w:pPr>
        <w:pStyle w:val="Heading1"/>
      </w:pPr>
      <w:r>
        <w:t>Szakirodalmi áttekintés</w:t>
      </w:r>
    </w:p>
    <w:p>
      <w:pPr/>
      <w:r>
        <w:t>A SwarmCam tervezési döntéseit három terület jelenlegi állapota határozza meg. Az első az otthoni videómegfigyelés uralkodó modellje, amely a felvételt a gyártó felhőjébe tereli, és ezzel adatvédelmi, üzemeltetési és költségbeli kötöttségeket teremt. A második a videóalapú eseményfelismerés gépi tanulási háttere: az egyfázisú konvolúciós detektorok mára elérték azt a sebesség-pontosság arányt, amely mellett a valós idejű, több kamerát kiszolgáló detekció egyetlen otthoni gépen is elvégezhető. A harmadik az elektronikai hulladék kérdése – az, hogy a lecserélt okostelefonok hardveresen továbbra is alkalmasak kamerafeladatra.</w:t>
      </w:r>
    </w:p>
    <w:p>
      <w:pPr>
        <w:pStyle w:val="Heading2"/>
      </w:pPr>
      <w:r>
        <w:t>Az otthoni videómegfigyelés technológiai környezete</w:t>
      </w:r>
    </w:p>
    <w:p>
      <w:pPr>
        <w:pStyle w:val="Heading3"/>
      </w:pPr>
      <w:r>
        <w:t>A felhőalapú konzumer rendszerek működési modellje</w:t>
      </w:r>
    </w:p>
    <w:p>
      <w:pPr/>
      <w:r>
        <w:t>A kereskedelmi forgalomban kapható okosotthon-kamerák túlnyomó többsége azonos architektúrát követ. A kamera a helyi Wi-Fi hálózatra csatlakozik, majd kimenő irányú, tartós kapcsolatot épít a gyártó felhőszolgáltatásához. A videófolyam és a mozgásérzékelés eredménye ezen a kapcsolaton keresztül hagyja el a háztartást; a felhasználó mobilalkalmazása szintén a felhőn keresztül éri el a kamerát, még akkor is, ha fizikailag ugyanabban a szobában tartózkodik. A detekció, a felvételek tárolása és az értesítések kiküldése a szolgáltató infrastruktúráján történik.</w:t>
      </w:r>
    </w:p>
    <w:p>
      <w:pPr/>
      <w:r>
        <w:t>A modell előnye az egyszerűség. Az üzembe helyezés néhány perc, és nem igényel hálózati ismereteket – nincs szükség port-továbbításra, statikus IP-címre vagy dinamikus DNS-re, mert a kapcsolatot mindig a kamera kezdeményezi kifelé. A távoli hozzáférés és a frissítések a szolgáltató felelősségi körébe tartoznak, a detekció pedig központi szervereken fut, így a kamerába olcsó processzor kerülhet.</w:t>
      </w:r>
    </w:p>
    <w:p>
      <w:pPr/>
      <w:r>
        <w:t>A hátrányok ugyanennek az architektúrának a következményei. A háztartás legérzékenyebb megfigyelési adata – a lakótér folyamatos videóképe – rendszeresen elhagyja a felhasználó ellenőrzési körét, és harmadik fél szerverén kerül feldolgozásra. A funkcionalitás jelentős része előfizetéshez kötött, a működés pedig az internetkapcsolattól és a szolgáltató életképességétől függ: a termék támogatásának beszüntetésével a hardver használhatatlanná válhat. Végül a felhasználó nem tudja ellenőrizni, milyen feldolgozás történik a felvételén, és az meddig marad meg.</w:t>
      </w:r>
    </w:p>
    <w:p>
      <w:pPr>
        <w:pStyle w:val="Heading3"/>
      </w:pPr>
      <w:r>
        <w:t>Az edge, azaz helyben futó NVR alternatívája</w:t>
      </w:r>
    </w:p>
    <w:p>
      <w:pPr/>
      <w:r>
        <w:t>A fenti korlátokra a helyben futó, hálózati videórögzítő (NVR) szoftverek adnak választ. Az NVR a felhasználó saját gépén fut, a kamerákat a helyi hálózaton éri el, és minden feldolgozást, tárolást és értesítést helyben végez; a videófolyam így soha nem hagyja el a háztartás hálózatát.</w:t>
      </w:r>
    </w:p>
    <w:p>
      <w:pPr/>
      <w:r>
        <w:t>A nyílt forráskódú Frigate ebbe a kategóriába tartozik, és több szempontból is kiemelkedik a mezőnyből [1]. Első osztályú polgárként kezeli az objektumdetekciót: nem utólag ráépített kiegészítőként, hanem a felvételi logika alapjaként. Először olcsó mozgásmaszkkal szűri a képkockákat, és csak a mozgást tartalmazó régiókat adja át a neurális hálónak, majd a találatokat objektumkövetéssel eseményekké fűzi össze. Az események MQTT-n publikálódnak, ami a belső adatbázis ismerete nélkül teszi lehetővé a külső integrációt. A detektálás processzoron, NVIDIA GPU-n, Google Coral TPU-n vagy Intel OpenVINO-val is futtatható.</w:t>
      </w:r>
    </w:p>
    <w:p>
      <w:pPr/>
      <w:r>
        <w:t>Az edge modell ára az üzemeltetési komplexitás: a felhasználónak magának kell gondoskodnia a szerverről, a lemezterületről és a frissítésekről, a kamerák bekötése pedig kézi konfigurációt igényel – minden kamera RTSP-címét, felhasználónevét és jelszavát fel kell venni a konfigurációs fájlba. Éppen ez az a pont, ahol a SwarmCam hozzáad az alapmegoldáshoz: az automatikus hálózati felderítéssel a kamerák kézi konfiguráció nélkül kerülnek be a rendszerbe.</w:t>
      </w:r>
    </w:p>
    <w:p>
      <w:pPr>
        <w:pStyle w:val="Caption"/>
        <w:keepNext/>
      </w:pPr>
      <w:r>
        <w:t>1. táblázat: A felhőalapú és a helyben futó (edge) megfigyelési modell összehasonlítása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Szempont</w:t>
            </w:r>
          </w:p>
        </w:tc>
        <w:tc>
          <w:tcPr>
            <w:tcW w:type="dxa" w:w="3212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Felhőalapú konzumer rendszer</w:t>
            </w:r>
          </w:p>
        </w:tc>
        <w:tc>
          <w:tcPr>
            <w:tcW w:type="dxa" w:w="3212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Helyben futó (edge) NVR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A videófolyam útja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Elhagyja a háztartást, a gyártó szerverén dolgozódik fel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Nem hagyja el a helyi hálózatot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Költségmodell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Hardver + havi/éves előfizetés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Egyszeri hardverköltség, előfizetés nélkül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Internetfüggés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A működéshez folyamatos internetkapcsolat kell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Internet nélkül is teljes értékű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Adatmegőrzés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A szolgáltató szabályai és csomagja szerint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A felhasználó dönti el, a lemezterület a korlát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Detekció helye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Központi szerver, korlátlan kapacitással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Helyi gép, a rendelkezésre álló CPU/GPU korlátain belül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Üzembe helyezés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Néhány perc, hálózati ismeret nélkül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Szerver, tárhely és kameránkénti konfiguráció szükséges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</w:pPr>
            <w:r/>
            <w:r>
              <w:t>Bővíthetőség</w:t>
            </w:r>
          </w:p>
        </w:tc>
        <w:tc>
          <w:tcPr>
            <w:tcW w:type="dxa" w:w="3212"/>
          </w:tcPr>
          <w:p>
            <w:pPr>
              <w:pStyle w:val="Normalfigure-table"/>
            </w:pPr>
            <w:r/>
            <w:r>
              <w:t>A gyártó ökoszisztémáján belül</w:t>
            </w:r>
          </w:p>
        </w:tc>
        <w:tc>
          <w:tcPr>
            <w:tcW w:type="dxa" w:w="3212"/>
          </w:tcPr>
          <w:p>
            <w:pPr>
              <w:pStyle w:val="Normalfigure-table"/>
            </w:pPr>
            <w:r/>
            <w:r>
              <w:t>Bármilyen szabványos vagy egyedi forrás integrálható</w:t>
            </w:r>
          </w:p>
        </w:tc>
      </w:tr>
    </w:tbl>
    <w:p>
      <w:pPr/>
      <w:r>
        <w:t>Az 1. táblázat a két modell alapvető különbségeit foglalja össze. A SwarmCam az edge oszlopot választja, és a felhőalapú modell egyetlen valódi előnyét – a konfiguráció nélküli üzembe helyezést – az automatikus felderítéssel igyekszik átemelni.</w:t>
      </w:r>
    </w:p>
    <w:p>
      <w:pPr>
        <w:pStyle w:val="Heading2"/>
      </w:pPr>
      <w:r>
        <w:t>Kamerahardver: szabványos IP kamerák és fogyasztói kameraalkalmazások</w:t>
      </w:r>
    </w:p>
    <w:p>
      <w:pPr>
        <w:pStyle w:val="Heading3"/>
      </w:pPr>
      <w:r>
        <w:t>Az ONVIF szabvány és az RTSP protokoll</w:t>
      </w:r>
    </w:p>
    <w:p>
      <w:pPr/>
      <w:r>
        <w:t>A professzionális biztonságtechnikai piacon a kamerák együttműködését az ONVIF (Open Network Video Interface Forum) specifikációja szabályozza [3]. Az ONVIF SOAP-alapú webszolgáltatásokban írja le a kamera felderítését, képességeinek lekérdezését, a stream-profilok kezelését és a mozgatható (PTZ) kamerák vezérlését. A gyakorlatban a legfontosabb a Profile S: egy Profile S kompatibilis kamera bármelyik Profile S kompatibilis NVR-hez beköthető.</w:t>
      </w:r>
    </w:p>
    <w:p>
      <w:pPr/>
      <w:r>
        <w:t>A videóátvitel ONVIF-kameráknál szinte kivétel nélkül RTSP-n (Real Time Streaming Protocol) történik [21]. Az RTSP vezérlőprotokoll: a leírót (SDP) [23] és a lejátszásvezérlő parancsokat szállítja, a médiaadat RTP-csomagokban [22] halad. A hasznos teher többnyire H.264 videó [27], amelynek a jelen munka szempontjából legfontosabb tulajdonsága, hogy a hardveresen kódolt folyam újrakódolás nélkül továbbadható, tárolható és megjeleníthető – erre épül a 3. fejezetben bemutatott élőkép-architektúra.</w:t>
      </w:r>
    </w:p>
    <w:p>
      <w:pPr/>
      <w:r>
        <w:t>Az ONVIF-kamera tehát szabványos és megbízható, de kameránként jelentkező beszerzési költséggel jár – ami éppen ellentétes azzal a céllal, hogy a rendszer meglévő, feleslegessé vált eszközökből épüljön fel.</w:t>
      </w:r>
    </w:p>
    <w:p>
      <w:pPr>
        <w:pStyle w:val="Heading3"/>
      </w:pPr>
      <w:r>
        <w:t>A fogyasztói IP-kamera alkalmazások</w:t>
      </w:r>
    </w:p>
    <w:p>
      <w:pPr/>
      <w:r>
        <w:t>A másik út az, hogy a kamerát meglévő okostelefonból állítjuk elő. Az Android platformon több alkalmazás is kiszolgálja a telefon kameráját hálózaton keresztül; működési elvük közös: miniatűr HTTP-szervert futtatnak a telefonon, és a kamera képét egy vagy több végponton teszik elérhetővé.</w:t>
      </w:r>
    </w:p>
    <w:p>
      <w:pPr/>
      <w:r>
        <w:t>A legismertebb ilyen alkalmazás a Pavel Khlebovich által fejlesztett IP Webcam [4], amely MJPEG-folyamot, JPEG-pillanatképeket, valamint egy H.264-alapú RTSP-végpontot is kínál, továbbá HTTP-lekérésekkel vezérelhető beállításokkal (felbontás, minőség, éjjellátó mód, zseblámpa) rendelkezik. Az alkalmazás zárt forráskódú, és kizárólag a Google Play áruházból telepíthető.</w:t>
      </w:r>
    </w:p>
    <w:p>
      <w:pPr/>
      <w:r>
        <w:t>A választás végül a DigitallyRefined által fejlesztett, nyílt forráskódú (MIT licenc), F-Droidon is elérhető Android IP Camera alkalmazásra esett [12]. Az alkalmazás alapértelmezés szerint a 4444-es porton, HTTPS-en, önaláírt tanúsítvánnyal szolgál ki. Végpontjai közül a nyers, Annex-B formátumú H.264 elemi folyam, az MJPEG-folyam, valamint a telefon állapotát és beállításait JSON-ban visszaadó leíró a legfontosabb. A váltás indoklását – és a feláldozott telemetriai adatokat – a 3.5.2. szakasz részletezi.</w:t>
      </w:r>
    </w:p>
    <w:p>
      <w:pPr>
        <w:pStyle w:val="Caption"/>
        <w:keepNext/>
      </w:pPr>
      <w:r>
        <w:t>2. táblázat: Kamerahardver-alternatívák összevetése a SwarmCam követelményei szerint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Szempont</w:t>
            </w:r>
          </w:p>
        </w:tc>
        <w:tc>
          <w:tcPr>
            <w:tcW w:type="dxa" w:w="3212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ONVIF IP kamera</w:t>
            </w:r>
          </w:p>
        </w:tc>
        <w:tc>
          <w:tcPr>
            <w:tcW w:type="dxa" w:w="3212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Android telefon kameraalkalmazással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Beszerzési költség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Kameránkénti, új hardver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Nulla, a meglévő eszköz újrahasznosul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Szabványosság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ONVIF Profile S, RTSP – jól dokumentált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Alkalmazásfüggő, nem szabványos HTTP API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Videókodek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H.264 / H.265, hardveres enkóder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H.264, a telefon hardveres enkódere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Tápellátás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PoE vagy hálózati adapter, folyamatos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Töltőről; az akkumulátor pufferként is működik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Kiegészítő szenzorok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Nincsenek (esetleg mikrofon)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Mikrofon, gyorsulásmérő, giroszkóp, fényérzékelő, akkumulátor-állapot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Időjárásállóság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IP66/IP67 kültéri kivitel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Nincs, védett elhelyezést igényel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Élettartam-kockázat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Alacsony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Akkumulátor-degradáció, hőterhelés, elavuló Android-verzió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</w:pPr>
            <w:r/>
            <w:r>
              <w:t>Automatikus felderítés</w:t>
            </w:r>
          </w:p>
        </w:tc>
        <w:tc>
          <w:tcPr>
            <w:tcW w:type="dxa" w:w="3212"/>
          </w:tcPr>
          <w:p>
            <w:pPr>
              <w:pStyle w:val="Normalfigure-table"/>
            </w:pPr>
            <w:r/>
            <w:r>
              <w:t>ONVIF WS-Discovery</w:t>
            </w:r>
          </w:p>
        </w:tc>
        <w:tc>
          <w:tcPr>
            <w:tcW w:type="dxa" w:w="3212"/>
          </w:tcPr>
          <w:p>
            <w:pPr>
              <w:pStyle w:val="Normalfigure-table"/>
            </w:pPr>
            <w:r/>
            <w:r>
              <w:t>Egyedi fingerprinting szükséges</w:t>
            </w:r>
          </w:p>
        </w:tc>
      </w:tr>
    </w:tbl>
    <w:p>
      <w:pPr/>
      <w:r>
        <w:t>A 2. táblázat szerint a telefonalapú node nem minden szempontból jobb az ONVIF-kameránál: időjárásállóságban és hosszú távú megbízhatóságban egyértelműen elmarad tőle. Két tulajdonsága viszont pontosan a cél szerinti: nulla beszerzési költséggel áll rendelkezésre, és a kamerán túl további szenzorokat is hordoz.</w:t>
      </w:r>
    </w:p>
    <w:p>
      <w:pPr>
        <w:pStyle w:val="Heading2"/>
      </w:pPr>
      <w:r>
        <w:t>Objektumdetekció a videóalapú megfigyelésben</w:t>
      </w:r>
    </w:p>
    <w:p>
      <w:pPr>
        <w:pStyle w:val="Heading3"/>
      </w:pPr>
      <w:r>
        <w:t>A klasszikus mozgásdetekció és korlátai</w:t>
      </w:r>
    </w:p>
    <w:p>
      <w:pPr/>
      <w:r>
        <w:t>A hagyományos riasztórendszerek mozgásérzékelése képkockakülönbségen vagy háttérmodellezésen alapul: a legegyszerűbb megközelítés két egymást követő képkocka pixelenkénti különbségét küszöböli, a fejlettebb módszerek – például a Gauss-keverékmodellt alkalmazó háttérszeparáció [20] – pixelenként statisztikai modellt tartanak fenn a háttérről.</w:t>
      </w:r>
    </w:p>
    <w:p>
      <w:pPr/>
      <w:r>
        <w:t>Ezek az eljárások olcsók és gyorsak, de nem mondanak semmit arról, hogy mi mozog. A gyakorlatban ez elviselhetetlen mennyiségű téves riasztást eredményez: a szélben mozgó ág, az árnyék, az éjszakai rovar a lencse előtt, a fényváltozás és a rezgés mind mozgásként jelentkezik. A rendszer így használhatatlanná válik, mert a felhasználó néhány nap után figyelmen kívül hagyja az értesítéseket – ezért a gépi látás bevezetése nem kényelmi funkció, hanem a használhatóság feltétele.</w:t>
      </w:r>
    </w:p>
    <w:p>
      <w:pPr>
        <w:pStyle w:val="Heading3"/>
      </w:pPr>
      <w:r>
        <w:t>Konvolúciós objektumdetektorok</w:t>
      </w:r>
    </w:p>
    <w:p>
      <w:pPr/>
      <w:r>
        <w:t>A mély konvolúciós hálók megjelenése alapvetően változtatta meg a helyzetet [5]. A modellcsaládok két csoportra oszthatók: a kétfázisú detektorok (például a Faster R-CNN [17]) először régiójavaslatokat állítanak elő, majd ezeket osztályozzák – pontosak, de számításigényesek –, míg az egyfázisú detektorok, a YOLO (You Only Look Once) család [16] és az SSD [18], a lokalizációt és az osztályozást egyetlen előrehaladó menetben végzik el, a képet rácsra osztva és rácscellánként előrejelezve a bounding boxokat, az objektumossági pontszámot és az osztályvalószínűségeket.</w:t>
      </w:r>
    </w:p>
    <w:p>
      <w:pPr/>
      <w:r>
        <w:t>A megfigyelési alkalmazásban az egyfázisú detektorok jelentik a gyakorlati választást, mert a képkockánkénti késleltetés közvetlenül korlátozza, hány kamerát képes egyetlen gép kiszolgálni. A YOLO-család modern változatai (v8, v11) 320×320 vagy 640×640 pixeles bemeneten dolgoznak, ami azt jelenti, hogy a detekció a rögzítéshez használt teljes felbontástól függetlenül, egy leskálázott képen fut – ez az elválasztás a jelen rendszer élőkép-architektúrájának is a kulcsa.</w:t>
      </w:r>
    </w:p>
    <w:p>
      <w:pPr/>
      <w:r>
        <w:t>A gyakorlati telepítést két tényező befolyásolja. Az egyik a modell futtatókörnyezete: a PyTorch-ban betanított modell exportálható ONNX formátumba [13], illetve TensorRT motorra fordítható NVIDIA GPU-n [31]. A másik a kvantálás: a lebegőpontos súlyok 8 bites egészekre alakítása csökkenti a memóriaigényt és a következtetési időt, és feltétele annak, hogy a modell egy Coral típusú célhardveren [32] egyáltalán elférjen.</w:t>
      </w:r>
    </w:p>
    <w:p>
      <w:pPr>
        <w:pStyle w:val="Heading3"/>
      </w:pPr>
      <w:r>
        <w:t>A Frigate detekciós pipeline-ja</w:t>
      </w:r>
    </w:p>
    <w:p>
      <w:pPr/>
      <w:r>
        <w:t>A Frigate ezeket az építőelemeket háromlépcsős pipeline-ba rendezi, és ennek ismerete nélkül a mért erőforrásadatok sem értelmezhetők. Az első lépcső a mozgásmaszk: minden beérkező képkockán olcsó, klasszikus mozgásdetekció fut. A második lépcső csak akkor indul, ha a maszk talált valamit – ekkor a mozgó régiók kivágatai kerülnek a neurális hálóhoz. A harmadik az objektumkövetés, amely a képkockánkénti találatokat időben összefűzi, így egyetlen áthaladó személy egyetlen eseményt eredményez.</w:t>
      </w:r>
    </w:p>
    <w:p>
      <w:pPr/>
      <w:r>
        <w:t>Ennek két, a mérések szempontjából fontos következménye van. A detektor terhelése nem a kamerák számával, hanem a képen zajló mozgás mennyiségével arányos: egy mozdulatlan képet mutató kamera gyakorlatilag nem terheli a neurális hálót. A rendszer emellett két független paraméterrel szabályozható – a detekciós képsebességgel és felbontással –, amelyek a rögzített felvétel minőségét nem befolyásolják.</w:t>
      </w:r>
    </w:p>
    <w:p>
      <w:pPr>
        <w:pStyle w:val="Heading2"/>
      </w:pPr>
      <w:r>
        <w:t>Kommunikációs minták elosztott rendszerekben</w:t>
      </w:r>
    </w:p>
    <w:p>
      <w:pPr/>
      <w:r>
        <w:t>Egy több komponensből álló, valós idejű rendszerben a komponensek közötti kommunikáció megválasztása önálló tervezési feladat. Az alábbi négy minta mindegyikének megvan a maga szerepe, és a rendszer mind a négyet használja – de mindegyiket csak arra, amire való.</w:t>
      </w:r>
    </w:p>
    <w:p>
      <w:pPr/>
      <w:r>
        <w:t>A REST [26] a HTTP kérés-válasz modelljére épülő, szinkron erőforrás-hozzáférés. Állapotmentes, jól gyorsítótárazható, minden eszközön és nyelvben triviálisan implementálható, és a hibakezelése a HTTP-státuszkódokra épülhet. Cserébe a szerver nem tud magától üzenni: minden interakciót a kliensnek kell kezdeményeznie. Olyan műveletekhez alkalmas, ahol a kliens tudja, mikor van szüksége az adatra – például egy eseménylista lekérésére vagy egy beállítás mentésére.</w:t>
      </w:r>
    </w:p>
    <w:p>
      <w:pPr/>
      <w:r>
        <w:t>A WebSocket [24] a HTTP-kapcsolat protokollváltásával (</w:t>
      </w:r>
      <w:r>
        <w:rPr>
          <w:rFonts w:ascii="Consolas" w:hAnsi="Consolas"/>
          <w:sz w:val="19"/>
        </w:rPr>
        <w:t>Upgrade</w:t>
      </w:r>
      <w:r>
        <w:t>) létrehozott, tartós, kétirányú csatorna. Az első kézfogás után mindkét fél bármikor küldhet üzenetet, keretenként néhány bájt fejléc-többlettel. Pontosan arra való, amire a REST nem: a szerver által kezdeményezett, folyamatos állapotfrissítésre. Költsége, hogy a kapcsolat állapotot hordoz, tehát a szervernek nyilván kell tartania a kapcsolódott klienseket, és kezelnie kell a bontást és az újracsatlakozást.</w:t>
      </w:r>
    </w:p>
    <w:p>
      <w:pPr/>
      <w:r>
        <w:t xml:space="preserve">Az SSE (Server-Sent Events) [25] a WebSocket egyszerűsített, egyirányú rokona: egyetlen, nyitva tartott HTTP-válaszfolyamon keresztül a szerver szöveges eseményeket küld a kliensnek. Mivel közönséges HTTP-válasz, minden fordított proxyn átmegy, és a böngésző beépített </w:t>
      </w:r>
      <w:r>
        <w:rPr>
          <w:rFonts w:ascii="Consolas" w:hAnsi="Consolas"/>
          <w:sz w:val="19"/>
        </w:rPr>
        <w:t>EventSource</w:t>
      </w:r>
      <w:r>
        <w:t xml:space="preserve"> API-jával kezelhető. Olyan feladatokra ideális, ahol a kliens csak fogad – például egy hosszan futó művelet előrehaladásának megjelenítésére.</w:t>
      </w:r>
    </w:p>
    <w:p>
      <w:pPr/>
      <w:r>
        <w:t>Az MQTT könnyűsúlyú, publish–subscribe modellű üzenetprotokoll, amelyet eredetileg alacsony sávszélességű telemetriai alkalmazásokra terveztek [2]. A küldő és a fogadó nem ismeri egymást: a küldő egy témába (topic) publikál, a bróker pedig eljuttatja az üzenetet minden feliratkozóhoz. Ez a szétcsatolás a jelen rendszerben konkrét képesség: két, egymást nem ismerő eseményforrás küldhet eseményt ugyanannak a fogyasztónak.</w:t>
      </w:r>
    </w:p>
    <w:p>
      <w:pPr>
        <w:pStyle w:val="Caption"/>
        <w:keepNext/>
      </w:pPr>
      <w:r>
        <w:t>3. táblázat: A kommunikációs minták és jellemzőik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Minta</w:t>
            </w:r>
          </w:p>
        </w:tc>
        <w:tc>
          <w:tcPr>
            <w:tcW w:type="dxa" w:w="2409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Irány</w:t>
            </w:r>
          </w:p>
        </w:tc>
        <w:tc>
          <w:tcPr>
            <w:tcW w:type="dxa" w:w="2409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Kapcsolat</w:t>
            </w:r>
          </w:p>
        </w:tc>
        <w:tc>
          <w:tcPr>
            <w:tcW w:type="dxa" w:w="2409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Tipikus felhasználás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REST / HTTP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Kliens kérdez, szerver válaszol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Rövid életű, állapotmentes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Erőforrás-lekérés és -módosítás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WebSocket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Kétirányú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Tartós, állapotot hordoz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Folyamatos állapotfrissítés, riasztás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SSE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Csak szerver → kliens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Tartós HTTP-válaszfolyam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Hosszan futó művelet előrehaladása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pStyle w:val="Normalfigure-table"/>
            </w:pPr>
            <w:r/>
            <w:r>
              <w:t>MQTT</w:t>
            </w:r>
          </w:p>
        </w:tc>
        <w:tc>
          <w:tcPr>
            <w:tcW w:type="dxa" w:w="2409"/>
          </w:tcPr>
          <w:p>
            <w:pPr>
              <w:pStyle w:val="Normalfigure-table"/>
            </w:pPr>
            <w:r/>
            <w:r>
              <w:t>Publikáló → bróker → feliratkozók</w:t>
            </w:r>
          </w:p>
        </w:tc>
        <w:tc>
          <w:tcPr>
            <w:tcW w:type="dxa" w:w="2409"/>
          </w:tcPr>
          <w:p>
            <w:pPr>
              <w:pStyle w:val="Normalfigure-table"/>
            </w:pPr>
            <w:r/>
            <w:r>
              <w:t>Tartós, brókeren keresztül</w:t>
            </w:r>
          </w:p>
        </w:tc>
        <w:tc>
          <w:tcPr>
            <w:tcW w:type="dxa" w:w="2409"/>
          </w:tcPr>
          <w:p>
            <w:pPr>
              <w:pStyle w:val="Normalfigure-table"/>
            </w:pPr>
            <w:r/>
            <w:r>
              <w:t>Szétcsatolt, aszinkron eseményközvetítés</w:t>
            </w:r>
          </w:p>
        </w:tc>
      </w:tr>
    </w:tbl>
    <w:p>
      <w:pPr/>
      <w:r>
        <w:t>A 3. táblázat mintáit a 3.3. szakasz köti hozzá a rendszer konkrét adatfolyamaihoz.</w:t>
      </w:r>
    </w:p>
    <w:p>
      <w:pPr>
        <w:pStyle w:val="Heading2"/>
      </w:pPr>
      <w:r>
        <w:t>Konténerizáció és szolgáltatásorientált üzemeltetés</w:t>
      </w:r>
    </w:p>
    <w:p>
      <w:pPr/>
      <w:r>
        <w:t>Egy öt szolgáltatásból álló rendszer kézi telepítése – Python-környezet, Node-eszközlánc, MQTT-bróker, NVR, webkiszolgáló, GPU-illesztők – vállalhatatlan terhet jelentene a felhasználónak, és minden gépen más eredményt adna. A konténerizáció erre ad választ: a szolgáltatások a függőségeikkel együtt, egymástól izoláltan, de a gazdagép kerneljét megosztva futnak. A Docker Compose több konténer együttes leírását teszi lehetővé egyetlen deklaratív fájlban [9].</w:t>
      </w:r>
    </w:p>
    <w:p>
      <w:pPr/>
      <w:r>
        <w:t xml:space="preserve">A konténerhálózatok közül kettő releváns. A </w:t>
      </w:r>
      <w:r>
        <w:rPr>
          <w:rFonts w:ascii="Consolas" w:hAnsi="Consolas"/>
          <w:sz w:val="19"/>
        </w:rPr>
        <w:t>bridge</w:t>
      </w:r>
      <w:r>
        <w:t xml:space="preserve"> mód esetén a konténer saját hálózati névtérben, saját IP-címmel fut, és portleképezésen keresztül kapcsolódik a gazdagéphez; ez az alapértelmezett, jól izolált megoldás. A </w:t>
      </w:r>
      <w:r>
        <w:rPr>
          <w:rFonts w:ascii="Consolas" w:hAnsi="Consolas"/>
          <w:sz w:val="19"/>
        </w:rPr>
        <w:t>host</w:t>
      </w:r>
      <w:r>
        <w:t xml:space="preserve"> mód esetén a konténer közvetlenül a gazdagép hálózati névterét használja: nincs NAT és nincs portleképezés, a konténer pedig ugyanúgy látja a helyi hálózatot, mint a gazdagép – videóalkalmazásban ennek konkrét haszna van.</w:t>
      </w:r>
    </w:p>
    <w:p>
      <w:pPr>
        <w:pStyle w:val="Heading2"/>
      </w:pPr>
      <w:r>
        <w:t>Elektronikai hulladék és a mobileszközök újrahasznosítása</w:t>
      </w:r>
    </w:p>
    <w:p>
      <w:pPr/>
      <w:r>
        <w:t>A mobiltelefonok gyors modellváltása globálisan is mérhető környezeti terhet jelent. A Global E-waste Monitor 2020 adatai szerint a világ éves elektronikaihulladék-termelése az 50 millió tonnás nagyságrendben mozog és növekszik, miközben a szabályozott újrahasznosítás ennek töredékét fedi le [7]. Az okostelefon ezen belül külön kategóriát alkot: nagy értékű anyagokat tartalmaz, mérete miatt viszont gyakran a fiókban vagy a kommunális hulladékban végzi.</w:t>
      </w:r>
    </w:p>
    <w:p>
      <w:pPr/>
      <w:r>
        <w:t>A jelen munka szempontjából nem az anyagvisszanyerés, hanem az újrahasználat a releváns. Egy három-négy éves okostelefon hardvere lényegében sértetlen: a kameramodul felbontása és fényereje meghaladja a belépő szintű biztonsági kamerákét, a Wi-Fi rádió stabil, a rendszerchip pedig hardveres H.264 enkódert tartalmaz. A készülék jellemzően nem meghibásodás miatt kerül lecserélésre, hanem mert az akkumulátora gyengült és a szoftverfrissítések elmaradnak.</w:t>
      </w:r>
    </w:p>
    <w:p>
      <w:pPr/>
      <w:r>
        <w:t>Kamerafeladatban ezek a hiányosságok többnyire nem korlátozók. Az akkumulátor-degradáció nem számít, ha a készülék állandó tápellátáson üzemel – sőt, a maradék kapacitás beépített szünetmentes tápként viselkedik, és rövid áramkimaradást is átvészel. Az elavult Android-verzió sem akadály, amennyiben a kamerát kiszolgáló alkalmazás támogatja; a jelen rendszerben használt alkalmazás Android 7.0 vagy újabb rendszert igényel, ami a gyakorlatban a 2016 után gyártott készülékeket jelenti.</w:t>
      </w:r>
    </w:p>
    <w:p>
      <w:pPr/>
      <w:r>
        <w:t>A valós korlátok máshol vannak. Az első a hőterhelés: a folyamatos videókódolás melegíti a készüléket, a tartósan magas hőmérsékleten tartott lítiumion-cella degradációja pedig felgyorsul. A második az időjárás: telefon önmagában nem helyezhető ki védtelen kültéri környezetbe. A harmadik a szoftveres megbízhatóság: az Android agresszív energiagazdálkodása leállíthatja a háttérben futó alkalmazást, a kameraszolgáltatás elakadása esetén pedig távoli újraindításra nincs szabványos mód – ezek a korlátok a 3. fejezet hibamódjai között mérhető formában is megjelennek.</w:t>
      </w:r>
    </w:p>
    <w:p>
      <w:pPr/>
      <w:r>
        <w:t>Összefoglalva: az áttekintés három követelményt jelöl ki a következő fejezetben bemutatott rendszer számára. A megfigyelési adat nem hagyhatja el a helyi hálózatot; a használhatóság feltétele a gépi látás alapú eseményszűrés; a kamerahardver költsége pedig nem terhelheti a felhasználót – aminek az az ára, hogy a kamerák bekötését, állapotfigyelését és hibatűrését a rendszernek magának kell megoldania.</w:t>
      </w:r>
    </w:p>
    <w:p>
      <w:pPr>
        <w:pStyle w:val="Heading1"/>
      </w:pPr>
      <w:r>
        <w:t>Problémamegoldás</w:t>
      </w:r>
    </w:p>
    <w:p>
      <w:pPr/>
      <w:r>
        <w:t>Ez a fejezet a SwarmCam tervezését és megvalósítását mutatja be, a fejlesztés tényleges menetét követve: a követelményekből és az azokból következő tervezési kényszerekből indul, majd a rétegzett architektúra és a kommunikációs csatornák megválasztása következik, ezt követi a konténerizált üzemeltetési környezet és a legfontosabb komponensek megvalósítása, végül a valós hálózaton elvégzett mérések és a vállalt korlátok.</w:t>
      </w:r>
    </w:p>
    <w:p>
      <w:pPr>
        <w:pStyle w:val="Heading2"/>
      </w:pPr>
      <w:r>
        <w:t>Követelmények és tervezési kényszerek</w:t>
      </w:r>
    </w:p>
    <w:p>
      <w:pPr/>
      <w:r>
        <w:t>A funkcionális követelmények közvetlenül a feladatkiírásból következnek. A rendszernek kézi konfiguráció nélkül fel kell derítenie a helyi hálózaton elérhető Android kamera-node-okat, valós idejű objektumdetekciót kell futtatnia, és az így keletkező eseményeket – felvétellel és pillanatképpel együtt – böngészhetővé kell tennie. Ki kell egészülnie egy olyan eseményosztály felismerésével, amelyet az alapul szolgáló NVR általános detektora nem támogat; a választott osztály a tűz és a füst. Végül folyamatosan figyelnie kell a node-ok állapotát, és minden változást azonnal meg kell jelenítenie egyetlen webes felületen.</w:t>
      </w:r>
    </w:p>
    <w:p>
      <w:pPr/>
      <w:r>
        <w:t>A nem funkcionális követelmények részben ugyaninnen, részben az áttekintő fejezet következtetéseiből erednek. A legfontosabb a felhőfüggetlenség: a rendszer egyetlen komponense sem kommunikálhat külső szolgáltatással, és internetkapcsolat nélkül is teljes értékűen kell működnie. Ezt követi a telepíthetőség – a teljes szerveroldal egyetlen paranccsal álljon fel –, a hibatűrés, hiszen a kamera-node bármikor eltűnhet a hálózatról, valamint az erőforrás-hatékonyság, mert a rendszernek egyetlen, alacsony fogyasztású gépen kell futnia.</w:t>
      </w:r>
    </w:p>
    <w:p>
      <w:pPr/>
      <w:r>
        <w:t>Ebből három tervezési kényszer vezethető le. Az első: mivel a kamera-node fogyasztói alkalmazást futtató telefon, nem szabványos ONVIF-eszköz, a felderítés egyedi ujjlenyomat-vizsgálatot igényel. A második: mivel a node bármikor eltűnhet a hálózatról, a rendszer minden komponensének fel kell készülnie a forrás átmeneti hiányára. A harmadik: mivel a detekció számításigénye a limitáló tényező, a videófeldolgozási láncból minden felesleges kódolási és dekódolási lépést ki kell kerülni.</w:t>
      </w:r>
    </w:p>
    <w:p>
      <w:pPr>
        <w:pStyle w:val="Heading2"/>
      </w:pPr>
      <w:r>
        <w:t>A SwarmCam architektúrája</w:t>
      </w:r>
    </w:p>
    <w:p>
      <w:pPr/>
      <w:r>
        <w:t>A rendszer öt konténerizált szerveroldali szolgáltatásból és a hálózaton szétszórt kamera-node-okból áll. Az architektúra rétegzett: minden réteg csak a közvetlenül alatta és fölötte lévővel kommunikál, jól definiált interfészen keresztül. A telepítési szerkezetet – a fizikai csomópontokat, a rajtuk futó szoftverartefaktumokat és a köztük fennálló kommunikációs útvonalakat – az 1. ábra UML telepítési diagramja foglalja össze.</w:t>
      </w:r>
    </w:p>
    <w:p>
      <w:pPr>
        <w:pStyle w:val="Normalfigure-table"/>
      </w:pPr>
      <w:r>
        <w:drawing>
          <wp:inline xmlns:a="http://schemas.openxmlformats.org/drawingml/2006/main" xmlns:pic="http://schemas.openxmlformats.org/drawingml/2006/picture">
            <wp:extent cx="5120640" cy="57479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747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1. ábra: A SwarmCam telepítési szerkezete UML telepítési diagramon. A csomópontok a fizikai eszközök, a bennük elhelyezett artefaktumok a futó szoftverkomponensek; az élek a kommunikációs útvonalak, a rajtuk feltüntetett sztereotípiával és protokollal. A pirossal jelölt artefaktumok saját fejlesztésűek. Minden komponens a felhasználó saját hálózatán fut; a rendszer semmilyen külső szolgáltatással nem kommunikál.</w:t>
      </w:r>
    </w:p>
    <w:p>
      <w:pPr/>
      <w:r>
        <w:t>Az 1. ábra felső csomópontja az adatforrás: az Android IP Camera alkalmazást futtató, újrahasznosított okostelefon. Ebből a rendszer tetszőleges számút kezel – ezt jelöli az 1..* multiplicitás –, és mindegyik ugyanazt a három interfészt kínálja. A nyers, Annex-B formátumú H.264 elemi folyam adja a videót, amelyet a telefon hardveres enkódere állít elő. A JSON leíró a telefon állapotát és beállításait adja vissza, egyben a felderítés ujjlenyomataként is szolgál. A beállítási felület pedig a felbontás, a képsebesség, az aktív szenzor és a zseblámpa távoli állítását teszi lehetővé.</w:t>
      </w:r>
    </w:p>
    <w:p>
      <w:pPr/>
      <w:r>
        <w:t>A második réteg az AI és rögzítő réteg, amelyet a Frigate NVR alkot. Fontos részlet, hogy a Frigate nem közvetlenül a telefonhoz csatlakozik: a beágyazott go2rtc komponens [14] veszi át a telefon H.264 folyamát, és helyi RTSP-forrásként szolgálja ki újra. A Frigate ezt a helyi RTSP-forrást dekódolja, futtatja rajta az objektumdetekciót, és menti a klipeket és pillanatképeket. A közbeiktatott go2rtc három konkrét problémát old meg, amelyeket a 3.5.3. szakasz részletez.</w:t>
      </w:r>
    </w:p>
    <w:p>
      <w:pPr/>
      <w:r>
        <w:t>A harmadik réteg az üzenetbróker: a Mosquitto MQTT bróker [30]. Két, egymást nem ismerő eseményforrás – a Frigate és a saját fejlesztésű tűzdetektor – közös gyűjtőpontja. A negyedik réteg az alkalmazáslogika, amelyet a FastAPI backend valósít meg [8]: ez felel az állapotfigyelésért, az eseményátjátszásért, az élőkép-relayért, valamint a Frigate REST API-jának proxyzásáért. Az ötödik réteg a felhasználói felület: a React alapú, egyoldalas dashboard alkalmazás [11].</w:t>
      </w:r>
    </w:p>
    <w:p>
      <w:pPr/>
      <w:r>
        <w:t>Az architektúrában külön helyet foglal el a tűz- és füstdetekciós mikroszolgáltatás. Ez nem illeszkedik a fenti rétegsorba, mert nem lineárisan kapcsolódik: a kameralistát a backendtől kéri le, a képet közvetlenül a telefonoktól veszi, az eredményt pedig az MQTT brókerre publikálja. A szolgáltatás így az architektúra bármelyik pontjának kiesését túléli, és nem befolyásolja a Frigate detekciós pipeline-ját.</w:t>
      </w:r>
    </w:p>
    <w:p>
      <w:pPr/>
      <w:r>
        <w:t>Saját detekciós motort tudatosan nem írtam. A valós idejű, több kamerát kiszolgáló objektumdetekció – mozgásmaszkkal, objektumkövetéssel, felvételkezeléssel és a hardveres gyorsítók támogatásával – önmagában kitöltene egy teljes szakdolgozatot, és gyengébb eredményt adna a rendelkezésre álló nyílt forráskódú megoldásnál. A munka súlypontja ezért a köré épített integrációs réteg: a hálózati felderítés, az állapotfigyelés, a valós idejű eseményközvetítés, az élőkép-architektúra, a tűzdetekciós kiegészítés és a kezelőfelület.</w:t>
      </w:r>
    </w:p>
    <w:p>
      <w:pPr>
        <w:pStyle w:val="Heading2"/>
      </w:pPr>
      <w:r>
        <w:t>A hálózati és kommunikációs réteg tervezése</w:t>
      </w:r>
    </w:p>
    <w:p>
      <w:pPr/>
      <w:r>
        <w:t>A komponensek közötti adatcsere négy, eltérő célú csatornán zajlik; a 2.4. szakaszban áttekintett minták mindegyike arra a feladatra került, amelyre való.</w:t>
      </w:r>
    </w:p>
    <w:p>
      <w:pPr>
        <w:pStyle w:val="Caption"/>
        <w:keepNext/>
      </w:pPr>
      <w:r>
        <w:t>4. táblázat: A SwarmCam kommunikációs csatornái és megválasztásuk indoklása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Csatorna</w:t>
            </w:r>
          </w:p>
        </w:tc>
        <w:tc>
          <w:tcPr>
            <w:tcW w:type="dxa" w:w="2409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Szereplők</w:t>
            </w:r>
          </w:p>
        </w:tc>
        <w:tc>
          <w:tcPr>
            <w:tcW w:type="dxa" w:w="2409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Szállított adat</w:t>
            </w:r>
          </w:p>
        </w:tc>
        <w:tc>
          <w:tcPr>
            <w:tcW w:type="dxa" w:w="2409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A választás indoka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REST / HTTP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Frontend ↔ backend, backend ↔ Frigate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Kameralista, események, felvételek, felhasználók, konfiguráció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Szinkron, állapotmentes erőforrás-hozzáférés; a kliens tudja, mikor van szüksége az adatra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WebSocket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Backend → frontend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Kamerastátusz, detektált események, riasztások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A szerver kezdeményezi a frissítést; egyetlen tartós kapcsolat minden eseménytípusra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WebSocket (bináris)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go2rtc → backend → böngésző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fMP4 videószegmensek (élőkép)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A meglévő nginx- és hitelesítési útvonalon halad; nincs szükség ICE-tárgyalásra és UDP-portra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SSE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Backend → frontend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A hálózati felderítés élő naplója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Egyirányú, hosszan futó folyamat előrehaladása; közönséges HTTP-válasz, minden proxyn átmegy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pStyle w:val="Normalfigure-table"/>
            </w:pPr>
            <w:r/>
            <w:r>
              <w:t>MQTT</w:t>
            </w:r>
          </w:p>
        </w:tc>
        <w:tc>
          <w:tcPr>
            <w:tcW w:type="dxa" w:w="2409"/>
          </w:tcPr>
          <w:p>
            <w:pPr>
              <w:pStyle w:val="Normalfigure-table"/>
            </w:pPr>
            <w:r/>
            <w:r>
              <w:t>Frigate és fire-detector → bróker → backend</w:t>
            </w:r>
          </w:p>
        </w:tc>
        <w:tc>
          <w:tcPr>
            <w:tcW w:type="dxa" w:w="2409"/>
          </w:tcPr>
          <w:p>
            <w:pPr>
              <w:pStyle w:val="Normalfigure-table"/>
            </w:pPr>
            <w:r/>
            <w:r>
              <w:t>Objektumdetekciós és tűz-/füstesemények</w:t>
            </w:r>
          </w:p>
        </w:tc>
        <w:tc>
          <w:tcPr>
            <w:tcW w:type="dxa" w:w="2409"/>
          </w:tcPr>
          <w:p>
            <w:pPr>
              <w:pStyle w:val="Normalfigure-table"/>
            </w:pPr>
            <w:r/>
            <w:r>
              <w:t>Két, egymást nem ismerő forrás szétcsatolt közvetítése; a bróker átmeneti backend-kiesést is túlél</w:t>
            </w:r>
          </w:p>
        </w:tc>
      </w:tr>
    </w:tbl>
    <w:p>
      <w:pPr/>
      <w:r>
        <w:t>A 4. táblázat kapcsán három döntés érdemel magyarázatot.</w:t>
      </w:r>
    </w:p>
    <w:p>
      <w:pPr/>
      <w:r>
        <w:t xml:space="preserve">Az első, hogy egyetlen WebSocket kapcsolat szolgálja ki a kamerastátuszt, a detektált eseményeket és a riasztásokat is. Az üzenettípusonként külön végpont tisztább szeparációt adna, de háromszor annyi kapcsolatot, újracsatlakozási logikát és állapotot jelentene a kliensben, miközben a három üzenettípus együttes forgalma töredéke annak, amit egyetlen kapcsolat elbír; a szétválasztás így egyetlen </w:t>
      </w:r>
      <w:r>
        <w:rPr>
          <w:rFonts w:ascii="Consolas" w:hAnsi="Consolas"/>
          <w:sz w:val="19"/>
        </w:rPr>
        <w:t>type</w:t>
      </w:r>
      <w:r>
        <w:t xml:space="preserve"> mezővel is elvégezhető.</w:t>
      </w:r>
    </w:p>
    <w:p>
      <w:pPr/>
      <w:r>
        <w:t>A második, hogy a felderítés naplója SSE-n és nem WebSocketen halad. A felderítés egyirányú folyamat – a kliens elindítja, majd csak fogad –, és néhány tíz másodpercig tart; egy tartós, kétirányú kapcsolat felépítése ehhez fölösleges, az SSE pedig közönséges HTTP-válasz, amely minden proxyn átmegy.</w:t>
      </w:r>
    </w:p>
    <w:p>
      <w:pPr/>
      <w:r>
        <w:t>A harmadik, hogy az eseményátvitel MQTT-n történik, nem a Frigate eseményvégpontjának lekérdezésével. Az MQTT push-alapú, tehát az esemény milliszekundumokon belül eljut a backendhez, a lekérdezés viszont a periódus felével növelné az átlagos késleltetést, ráadásul üresjárati terhelést okozna. A bróker emellett szétcsatolja a két eseményforrást: a Frigate és a tűzdetektor egymásról tudomást sem véve publikál.</w:t>
      </w:r>
    </w:p>
    <w:p>
      <w:pPr/>
      <w:r>
        <w:t xml:space="preserve">Egy technikai részlet, amely a fenti csatornákat a gyakorlatban összeköti: a dashboardot kiszolgáló nginx [34] konfigurációjában kizárólag a </w:t>
      </w:r>
      <w:r>
        <w:rPr>
          <w:rFonts w:ascii="Consolas" w:hAnsi="Consolas"/>
          <w:sz w:val="19"/>
        </w:rPr>
        <w:t>/ws/</w:t>
      </w:r>
      <w:r>
        <w:t xml:space="preserve"> útvonal továbbítja a WebSocket </w:t>
      </w:r>
      <w:r>
        <w:rPr>
          <w:rFonts w:ascii="Consolas" w:hAnsi="Consolas"/>
          <w:sz w:val="19"/>
        </w:rPr>
        <w:t>Upgrade</w:t>
      </w:r>
      <w:r>
        <w:t xml:space="preserve"> fejlécet, az </w:t>
      </w:r>
      <w:r>
        <w:rPr>
          <w:rFonts w:ascii="Consolas" w:hAnsi="Consolas"/>
          <w:sz w:val="19"/>
        </w:rPr>
        <w:t>/api/</w:t>
      </w:r>
      <w:r>
        <w:t xml:space="preserve"> nem. Ezért minden WebSocket végpont – a státuszcsatorna és az élőkép-relay egyaránt – ezen az előtagon érhető el. Ez nem esztétikai kérdés: az előtag elhagyása esetén a kapcsolat közönséges HTTP-kérésként érkezne a backendhez, és azonnal lezárulna.</w:t>
      </w:r>
    </w:p>
    <w:p>
      <w:pPr>
        <w:pStyle w:val="Heading2"/>
      </w:pPr>
      <w:r>
        <w:t>Konténerizáció és üzemeltetés</w:t>
      </w:r>
    </w:p>
    <w:p>
      <w:pPr/>
      <w:r>
        <w:t>A szerveroldali infrastruktúra telepítését és izolálását a Docker Compose végzi, egyetlen parancsból induló, öt konténerből álló együttesként (5. táblázat).</w:t>
      </w:r>
    </w:p>
    <w:p>
      <w:pPr>
        <w:pStyle w:val="Caption"/>
        <w:keepNext/>
      </w:pPr>
      <w:r>
        <w:t>5. táblázat: A SwarmCam Docker-konténerei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Konténer</w:t>
            </w:r>
          </w:p>
        </w:tc>
        <w:tc>
          <w:tcPr>
            <w:tcW w:type="dxa" w:w="2409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Alap / build</w:t>
            </w:r>
          </w:p>
        </w:tc>
        <w:tc>
          <w:tcPr>
            <w:tcW w:type="dxa" w:w="2409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Hálózat</w:t>
            </w:r>
          </w:p>
        </w:tc>
        <w:tc>
          <w:tcPr>
            <w:tcW w:type="dxa" w:w="2409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Feladat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frigate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ghcr.io/blakeblackshear/frigate:stable-tensorrt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host, NVIDIA runtime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AI-alapú NVR, go2rtc restream, felvételkezelés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mosquitto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eclipse-mosquitto:2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bridge (swarmcam)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MQTT üzenetbróker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swarmcam-backend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saját build (FastAPI)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host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REST/WebSocket API, felderítés, állapotfigyelés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swarmcam-dashboard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saját build (nginx + React)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host</w:t>
            </w:r>
          </w:p>
        </w:tc>
        <w:tc>
          <w:tcPr>
            <w:tcW w:type="dxa" w:w="2409"/>
          </w:tcPr>
          <w:p>
            <w:pPr>
              <w:pStyle w:val="Normalfigure-table"/>
              <w:keepNext/>
            </w:pPr>
            <w:r/>
            <w:r>
              <w:t>A statikus frontend kiszolgálása, fordított proxy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pStyle w:val="Normalfigure-table"/>
            </w:pPr>
            <w:r/>
            <w:r>
              <w:t>swarmcam-fire-detector</w:t>
            </w:r>
          </w:p>
        </w:tc>
        <w:tc>
          <w:tcPr>
            <w:tcW w:type="dxa" w:w="2409"/>
          </w:tcPr>
          <w:p>
            <w:pPr>
              <w:pStyle w:val="Normalfigure-table"/>
            </w:pPr>
            <w:r/>
            <w:r>
              <w:t>saját build (YOLO + paho-mqtt)</w:t>
            </w:r>
          </w:p>
        </w:tc>
        <w:tc>
          <w:tcPr>
            <w:tcW w:type="dxa" w:w="2409"/>
          </w:tcPr>
          <w:p>
            <w:pPr>
              <w:pStyle w:val="Normalfigure-table"/>
            </w:pPr>
            <w:r/>
            <w:r>
              <w:t>host, NVIDIA runtime</w:t>
            </w:r>
          </w:p>
        </w:tc>
        <w:tc>
          <w:tcPr>
            <w:tcW w:type="dxa" w:w="2409"/>
          </w:tcPr>
          <w:p>
            <w:pPr>
              <w:pStyle w:val="Normalfigure-table"/>
            </w:pPr>
            <w:r/>
            <w:r>
              <w:t>Tűz- és füstdetekció</w:t>
            </w:r>
          </w:p>
        </w:tc>
      </w:tr>
    </w:tbl>
    <w:p>
      <w:pPr/>
      <w:r>
        <w:t xml:space="preserve">A táblázat két sora tervezési döntést rejt. Az egyik a </w:t>
      </w:r>
      <w:r>
        <w:rPr>
          <w:rFonts w:ascii="Consolas" w:hAnsi="Consolas"/>
          <w:sz w:val="19"/>
        </w:rPr>
        <w:t>network_mode: host</w:t>
      </w:r>
      <w:r>
        <w:t xml:space="preserve"> használata négy konténernél: a Frigate-nek a kamerák forgalmát a lehető legkisebb késleltetéssel kell feldolgoznia, a backendnek pedig a helyi hálózatot kell pásztáznia a felderítéshez – ez a Docker NAT-olt bridge hálózatán körülményes volna. Az izolációt így a hálózati névtér helyett a konténerhatár adja; a bróker marad bridge módban, mert nincs szüksége a gazdagép hálózatára.</w:t>
      </w:r>
    </w:p>
    <w:p>
      <w:pPr/>
      <w:r>
        <w:t>A másik döntés a Docker-socket (</w:t>
      </w:r>
      <w:r>
        <w:rPr>
          <w:rFonts w:ascii="Consolas" w:hAnsi="Consolas"/>
          <w:sz w:val="19"/>
        </w:rPr>
        <w:t>/var/run/docker.sock</w:t>
      </w:r>
      <w:r>
        <w:t>) becsatolása a backend konténerbe. Erre azért van szükség, mert a Frigate a konfigurációs fájlját kizárólag induláskor olvassa be: ha a felhasználó a beállítások oldalon módosít valamit, a változás csak a konténer újraindítása után lép életbe. A megoldás ára, hogy a backend a gazdagép Docker-démonjához fér hozzá – ez a helyi hálózat feltételezése mellett vállalható, internet felőli kitettség esetén viszont nem.</w:t>
      </w:r>
    </w:p>
    <w:p>
      <w:pPr/>
      <w:r>
        <w:t>A perzisztens adat három helyen él: a Frigate adatbázisa és a felvételek egy Docker-köteten, illetve a gazdagép fájlrendszerére csatolt könyvtárban; a kameraaliasok és a tűzdetektor eseménynaplója a backend melletti állományokban; a rendszer futásidejű állapota – a kameralista és az állapot-cache – pedig kizárólag a memóriában. Ez utóbbi tudatos egyszerűsítés: a kameralista minden induláskor a Frigate konfigurációjából épül újra, tehát egyetlen igazságforrás van, cserébe a rendszer nem tart fenn hosszú távú állapottörténetet.</w:t>
      </w:r>
    </w:p>
    <w:p>
      <w:pPr>
        <w:pStyle w:val="Heading2"/>
      </w:pPr>
      <w:r>
        <w:t>Implementáció</w:t>
      </w:r>
    </w:p>
    <w:p>
      <w:pPr>
        <w:pStyle w:val="Heading3"/>
      </w:pPr>
      <w:r>
        <w:t>Automatikus hálózati felderítés</w:t>
      </w:r>
    </w:p>
    <w:p>
      <w:pPr/>
      <w:r>
        <w:t xml:space="preserve">A felderítés a </w:t>
      </w:r>
      <w:r>
        <w:rPr>
          <w:rFonts w:ascii="Consolas" w:hAnsi="Consolas"/>
          <w:sz w:val="19"/>
        </w:rPr>
        <w:t>discovery/discovery.py</w:t>
      </w:r>
      <w:r>
        <w:t xml:space="preserve"> önálló szkriptben valósul meg, amelyet a backend a </w:t>
      </w:r>
      <w:r>
        <w:rPr>
          <w:rFonts w:ascii="Consolas" w:hAnsi="Consolas"/>
          <w:sz w:val="19"/>
        </w:rPr>
        <w:t>/api/discover/stream</w:t>
      </w:r>
      <w:r>
        <w:t xml:space="preserve"> végponton külön folyamatként indít el. Az önálló szkript parancssorból is tesztelhető, egy több száz párhuzamos socketet nyitó pásztázás nem terheli a backend event loopját, a szkript pedig a hibakimenetre írja az előrehaladást – ezt a backend Server-Sent Events formájában továbbítja a felületnek, így a pásztázás élőben követhető.</w:t>
      </w:r>
    </w:p>
    <w:p>
      <w:pPr/>
      <w:r>
        <w:t>Maga a felderítés kétlépcsős ujjlenyomat-vizsgálat. Az első lépcső gyors TCP-portpásztázás: a szkript a megadott – vagy a gazdagép interfészeiből automatikusan kiolvasott – alhálózat minden címén megkísérel kapcsolatot nyitni a 4444-es porton, 128 párhuzamos szálon, egy másodperces időkorláttal. Ez egy /24-es alhálózat 254 címét néhány másodperc alatt leszűri.</w:t>
      </w:r>
    </w:p>
    <w:p>
      <w:pPr/>
      <w:r>
        <w:t xml:space="preserve">A második lépcső azonosítja, hogy a nyitott port mögött valóban a keresett alkalmazás fut-e. A szkript HTTPS-en lekéri az eszköz </w:t>
      </w:r>
      <w:r>
        <w:rPr>
          <w:rFonts w:ascii="Consolas" w:hAnsi="Consolas"/>
          <w:sz w:val="19"/>
        </w:rPr>
        <w:t>/info.json</w:t>
      </w:r>
      <w:r>
        <w:t xml:space="preserve"> leíróját, és az ujjlenyomatot a válasz szerkezetére alapozza: az Android IP Camera válasza mindig tartalmazza a </w:t>
      </w:r>
      <w:r>
        <w:rPr>
          <w:rFonts w:ascii="Consolas" w:hAnsi="Consolas"/>
          <w:sz w:val="19"/>
        </w:rPr>
        <w:t>cameras</w:t>
      </w:r>
      <w:r>
        <w:t xml:space="preserve"> és a </w:t>
      </w:r>
      <w:r>
        <w:rPr>
          <w:rFonts w:ascii="Consolas" w:hAnsi="Consolas"/>
          <w:sz w:val="19"/>
        </w:rPr>
        <w:t>settings</w:t>
      </w:r>
      <w:r>
        <w:t xml:space="preserve"> kulcsot egyszerre.</w:t>
      </w:r>
    </w:p>
    <w:p>
      <w:pPr/>
      <w:r>
        <w:t>A HTTPS-kérés tanúsítványellenőrzés nélkül (</w:t>
      </w:r>
      <w:r>
        <w:rPr>
          <w:rFonts w:ascii="Consolas" w:hAnsi="Consolas"/>
          <w:sz w:val="19"/>
        </w:rPr>
        <w:t>verify=False</w:t>
      </w:r>
      <w:r>
        <w:t xml:space="preserve">) történik. A tanúsítványt az alkalmazás az első induláskor maga állítja elő, tanúsítóhatóság nem létezik, tehát az ellenőrzésnek nem lenne mit ellenőriznie – a titkosítás kikapcsolása viszont minden telefonon külön kézi lépést igényelne. A </w:t>
      </w:r>
      <w:r>
        <w:rPr>
          <w:rFonts w:ascii="Consolas" w:hAnsi="Consolas"/>
          <w:sz w:val="19"/>
        </w:rPr>
        <w:t>verify=False</w:t>
      </w:r>
      <w:r>
        <w:t xml:space="preserve"> a titkosítást nem kapcsolja ki, csak a szerveridentitás hitelesítését hagyja el, a forgalom pedig kizárólag a helyi hálózaton közlekedik.</w:t>
      </w:r>
    </w:p>
    <w:p>
      <w:pPr/>
      <w:r>
        <w:t xml:space="preserve">A leíróból a szkript kiolvassa az akkumulátorszintet, a Wi-Fi jelerősséget, az aktív kameraszenzort és annak felbontását, valamint az orientációt. A felbontás egy tanulságos hibához vezetett. A leíró a folyam méretét </w:t>
      </w:r>
      <w:r>
        <w:rPr>
          <w:rFonts w:ascii="Consolas" w:hAnsi="Consolas"/>
          <w:sz w:val="19"/>
        </w:rPr>
        <w:t>auto</w:t>
      </w:r>
      <w:r>
        <w:t xml:space="preserve"> vagy </w:t>
      </w:r>
      <w:r>
        <w:rPr>
          <w:rFonts w:ascii="Consolas" w:hAnsi="Consolas"/>
          <w:sz w:val="19"/>
        </w:rPr>
        <w:t>max</w:t>
      </w:r>
      <w:r>
        <w:t xml:space="preserve"> kulcsszóként is megadhatja; az első megvalósítás ilyenkor a szenzor legnagyobb támogatott méretét vette tartaléknak – ez azonban a legnagyobb *fényképméret*, nem a videófolyamé. A szám a Frigate detekciós méretébe került, és mivel a Frigate a mozgásdetektálást teljes detekciós felbontáson végzi, egyetlen ilyen kamera – valós, 1280×720-as folyammal – közel háromszáz százalék processzoridőt fogyasztott. A javítás: bizonytalan méret esetén a szkript nem ír detekciós méretet.</w:t>
      </w:r>
    </w:p>
    <w:p>
      <w:pPr/>
      <w:r>
        <w:t xml:space="preserve">A megtalált eszközök determinisztikus nevet kapnak: </w:t>
      </w:r>
      <w:r>
        <w:rPr>
          <w:rFonts w:ascii="Consolas" w:hAnsi="Consolas"/>
          <w:sz w:val="19"/>
        </w:rPr>
        <w:t>cam_</w:t>
      </w:r>
      <w:r>
        <w:t xml:space="preserve"> előtag után az IP-cím, pontok helyett aláhúzásjelekkel – például </w:t>
      </w:r>
      <w:r>
        <w:rPr>
          <w:rFonts w:ascii="Consolas" w:hAnsi="Consolas"/>
          <w:sz w:val="19"/>
        </w:rPr>
        <w:t>cam_192_168_1_8</w:t>
      </w:r>
      <w:r>
        <w:t>. Így ugyanaz a telefon újraindítás vagy ismételt felderítés után is ugyanazt a belső azonosítót kapja, tehát a hozzá tartozó felvételek és beállítások nem szakadnak el tőle. A névséma emiatt a kameraprotokoll cseréjét is túlélte: a felhasználó által adott, emberi olvasásra szánt nevek migráció nélkül maradtak érvényben.</w:t>
      </w:r>
    </w:p>
    <w:p>
      <w:pPr/>
      <w:r>
        <w:t xml:space="preserve">A felderítés opcionálisan a Frigate konfigurációs fájlját is frissíti: a </w:t>
      </w:r>
      <w:r>
        <w:rPr>
          <w:rFonts w:ascii="Consolas" w:hAnsi="Consolas"/>
          <w:sz w:val="19"/>
        </w:rPr>
        <w:t>cameras:</w:t>
      </w:r>
      <w:r>
        <w:t xml:space="preserve"> szekcióba a belső RTSP-forrásra hivatkozó bejegyzés kerül, a </w:t>
      </w:r>
      <w:r>
        <w:rPr>
          <w:rFonts w:ascii="Consolas" w:hAnsi="Consolas"/>
          <w:sz w:val="19"/>
        </w:rPr>
        <w:t>go2rtc.streams:</w:t>
      </w:r>
      <w:r>
        <w:t xml:space="preserve"> szekcióba pedig a telefon tényleges HTTPS-címe. A két szekció szétválasztása a 3.5.3. szakaszban tárgyalt élőkép-architektúra következménye.</w:t>
      </w:r>
    </w:p>
    <w:p>
      <w:pPr>
        <w:pStyle w:val="Normalfigure-table"/>
      </w:pPr>
      <w:r>
        <w:drawing>
          <wp:inline xmlns:a="http://schemas.openxmlformats.org/drawingml/2006/main" xmlns:pic="http://schemas.openxmlformats.org/drawingml/2006/picture">
            <wp:extent cx="5760720" cy="3420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2. ábra: Hálózati felderítés futás közben. A jobb oldali panel a felderítő szkript hibakimenetét mutatja élőben, Server-Sent Events csatornán érkezve; a bal oldali panelen a pásztázás paraméterei állíthatók.</w:t>
      </w:r>
    </w:p>
    <w:p>
      <w:pPr/>
      <w:r>
        <w:t>A 2. ábra a felderítés felületét mutatja egy befejezett pásztázás után: a napló a pásztázott alhálózatot és a megtalált node-okat jelzi, az azonnal kiolvasott állapotadatokkal együtt.</w:t>
      </w:r>
    </w:p>
    <w:p>
      <w:pPr>
        <w:pStyle w:val="Heading3"/>
      </w:pPr>
      <w:r>
        <w:t>A kamera-protokoll cseréje és annak következményei</w:t>
      </w:r>
    </w:p>
    <w:p>
      <w:pPr/>
      <w:r>
        <w:t>A rendszer eredetileg az IP Webcam alkalmazásra épült, és a fejlesztés későbbi szakaszában került át a nyílt forráskódú Android IP Camera alkalmazásra. A váltás oka nem technikai hiba volt, hanem architekturális következetlenség: egy teljes felhő- és szolgáltatófüggetlenségre törekvő rendszerben idegen elem egy zárt forrású, kizárólag a Google Play áruházból telepíthető komponens. Ez a gyakorlatban is akadályt jelentett: az áruház nem minden készüléken nyitja meg az alkalmazás oldalát, tehát nem minden kéznél lévő telefon volt bevonható.</w:t>
      </w:r>
    </w:p>
    <w:p>
      <w:pPr/>
      <w:r>
        <w:t>A csere teljes volt, nem párhuzamos támogatás: az utóbbi megduplázta volna a felderítési és állapotfigyelési kódutakat, miközben a kiváltandó probléma – a régi alkalmazás korlátozott elérhetősége – megmaradt volna. A két protokoll leképezését a 6. táblázat foglalja össze.</w:t>
      </w:r>
    </w:p>
    <w:p>
      <w:pPr>
        <w:pStyle w:val="Caption"/>
        <w:keepNext/>
      </w:pPr>
      <w:r>
        <w:t>6. táblázat: A kamera-protokoll leképezése az alkalmazáscsere során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Funkció</w:t>
            </w:r>
          </w:p>
        </w:tc>
        <w:tc>
          <w:tcPr>
            <w:tcW w:type="dxa" w:w="3212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IP Webcam (régi)</w:t>
            </w:r>
          </w:p>
        </w:tc>
        <w:tc>
          <w:tcPr>
            <w:tcW w:type="dxa" w:w="3212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Android IP Camera (új)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Alapértelmezett port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8080 (HTTP)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4444 (HTTPS, önaláírt tanúsítvány)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Ujjlenyomat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/status.json, „curvals" kulcs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/info.json, „cameras" + „settings" kulcs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MJPEG élőkép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/videofeed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/video/mjpeg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Videóforrás a rögzítéshez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Közvetlen RTSP-végpont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/video/h264 nyers folyam, go2rtc újracsomagolással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Zseblámpa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/enabletorch, /disabletorch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/?torch=on / /?torch=off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Beállításírás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Kulcsonként külön kérés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Egyetlen kérés több paraméterrel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</w:pPr>
            <w:r/>
            <w:r>
              <w:t>Licenc és terjesztés</w:t>
            </w:r>
          </w:p>
        </w:tc>
        <w:tc>
          <w:tcPr>
            <w:tcW w:type="dxa" w:w="3212"/>
          </w:tcPr>
          <w:p>
            <w:pPr>
              <w:pStyle w:val="Normalfigure-table"/>
            </w:pPr>
            <w:r/>
            <w:r>
              <w:t>Zárt forrás, csak Play áruház</w:t>
            </w:r>
          </w:p>
        </w:tc>
        <w:tc>
          <w:tcPr>
            <w:tcW w:type="dxa" w:w="3212"/>
          </w:tcPr>
          <w:p>
            <w:pPr>
              <w:pStyle w:val="Normalfigure-table"/>
            </w:pPr>
            <w:r/>
            <w:r>
              <w:t>MIT, F-Droid és forráskód</w:t>
            </w:r>
          </w:p>
        </w:tc>
      </w:tr>
    </w:tbl>
    <w:p>
      <w:pPr/>
      <w:r>
        <w:t>A csere veszteségekkel is járt. Az új alkalmazás nem szolgáltatja a JPEG-minőség és az éjjellátó mód beállítását, a szabad tárhelyre, az akkumulátor hőmérsékletére és feszültségére vonatkozó adatokat, sem az élő nézők számát; ezek a funkciók kikerültek a rendszerből. A legérzékenyebb veszteség a töltési állapot: a régi protokoll jelezte a töltő csatlakoztatását, így a rendszer figyelmeztetni tudott, ha egy folyamatosan üzemelő telefon tápellátása megszűnt.</w:t>
      </w:r>
    </w:p>
    <w:p>
      <w:pPr/>
      <w:r>
        <w:t>Cserébe az új alkalmazás visszaadja a Wi-Fi jelerősséget, támogatja a nagyítást és az expozícióállítást, a videót pedig natív, hardveres H.264 enkóderrel állítja elő. Ez utóbbi a legfontosabb: ez teszi lehetővé, hogy a videó a telefontól a böngészőig egyetlen újrakódolás nélkül jusson el.</w:t>
      </w:r>
    </w:p>
    <w:p>
      <w:pPr>
        <w:pStyle w:val="Heading3"/>
      </w:pPr>
      <w:r>
        <w:t>Élőkép: az MJPEG-proxytól a go2rtc MSE-ig</w:t>
      </w:r>
    </w:p>
    <w:p>
      <w:pPr/>
      <w:r>
        <w:t>Az élőkép megvalósítása a projekt egyik legtöbbet átdolgozott része, és jól illusztrálja, hogyan vezethet egy mérés architektúraváltáshoz. Az első megvalósítás a Frigate hibakeresési MJPEG-folyamát proxyzta a böngészőnek. Ez a megközelítés egyszerű volt és működött, de három szerkezeti problémával járt.</w:t>
      </w:r>
    </w:p>
    <w:p>
      <w:pPr/>
      <w:r>
        <w:t>Az első, hogy a Frigate ezen a végponton a *detekciós* képkockákat kódolja JPEG-be. A detekciós felbontás és képsebesség viszont szándékosan alacsony – 640×360 és 5 kép/másodperc –, így az élő nézet lényegesen rosszabb képet mutatott, mint amit a telefon 1280×720-as folyama adott. A második, hogy a JPEG-kódolás nézőnként külön processzorterhelést jelent. A harmadik, hogy az élő nézet minősége és a detekció beállításai összecsatolódtak.</w:t>
      </w:r>
    </w:p>
    <w:p>
      <w:pPr/>
      <w:r>
        <w:t>A megoldás a go2rtc MSE-csatornája. A Frigate imagejébe beágyazva futó go2rtc [14] a telefon H.264 folyamát fMP4 szegmensekké csomagolja át – újrakódolás nélkül –, és WebSocketen szolgáltatja. A backend ezt játssza át a böngészőnek, ahol a Media Source Extensions API-n [15] keresztül a natív H.264 dekóder jeleníti meg. A relay implementációja szándékosan minimális: két, egymással szemben futó továbbító feladat.</w:t>
      </w:r>
    </w:p>
    <w:p>
      <w:pPr>
        <w:keepNext/>
      </w:pPr>
      <w:r>
        <w:t>Az alábbi részlet ennek a relaynek a lényegi irányát, a go2rtc felől a böngésző felé tartó ágat mutatja. Azért került a dolgozatba, mert rajta látszik, hogy az élőkép-útvonalon a backend semmilyen videóműveletet nem végez: a kód a beérkező kereteket egyetlen ponton sem nyitja fel.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>@router.websocket("/ws/cameras/{name}/mse")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>async def camera_mse(ws: WebSocket, name: str):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 xml:space="preserve">    await ws.accept()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 xml:space="preserve">    async with websockets.connect(f"{GO2RTC_WS_URL}?src={quote(name)}",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 xml:space="preserve">                                  max_size=None) as up: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 xml:space="preserve">        async def go2rtc_to_client() -&gt; None: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 xml:space="preserve">            async for msg in up: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 xml:space="preserve">                if isinstance(msg, bytes):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 xml:space="preserve">                    await ws.send_bytes(msg)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 xml:space="preserve">                else:</w:t>
      </w:r>
    </w:p>
    <w:p>
      <w:pPr>
        <w:pStyle w:val="Normalprogramcode"/>
      </w:pPr>
      <w:r>
        <w:rPr>
          <w:rFonts w:ascii="Consolas" w:hAnsi="Consolas"/>
          <w:sz w:val="18"/>
        </w:rPr>
        <w:t xml:space="preserve">                    await ws.send_text(msg)</w:t>
      </w:r>
    </w:p>
    <w:p>
      <w:pPr/>
      <w:r>
        <w:t xml:space="preserve">A részleten két dolog a lényeges. Az egyik a </w:t>
      </w:r>
      <w:r>
        <w:rPr>
          <w:rFonts w:ascii="Consolas" w:hAnsi="Consolas"/>
          <w:sz w:val="19"/>
        </w:rPr>
        <w:t>send_bytes</w:t>
      </w:r>
      <w:r>
        <w:t xml:space="preserve"> és a </w:t>
      </w:r>
      <w:r>
        <w:rPr>
          <w:rFonts w:ascii="Consolas" w:hAnsi="Consolas"/>
          <w:sz w:val="19"/>
        </w:rPr>
        <w:t>send_text</w:t>
      </w:r>
      <w:r>
        <w:t xml:space="preserve"> szétválasztása: a go2rtc ugyanazon a kapcsolaton küldi a bináris fMP4 szegmenseket és a szöveges, JSON formátumú vezérlőüzeneteket – a kodekleírót és a lejátszásvezérlést –, a relay pedig mindkettőt a kerettípus megőrzésével adja tovább. Ha a bináris szegmens szöveges keretként érkezne meg, a böngésző MediaSource puffere azonnal hibára futna. A másik a </w:t>
      </w:r>
      <w:r>
        <w:rPr>
          <w:rFonts w:ascii="Consolas" w:hAnsi="Consolas"/>
          <w:sz w:val="19"/>
        </w:rPr>
        <w:t>max_size=None</w:t>
      </w:r>
      <w:r>
        <w:t xml:space="preserve">: a </w:t>
      </w:r>
      <w:r>
        <w:rPr>
          <w:rFonts w:ascii="Consolas" w:hAnsi="Consolas"/>
          <w:sz w:val="19"/>
        </w:rPr>
        <w:t>websockets</w:t>
      </w:r>
      <w:r>
        <w:t xml:space="preserve"> könyvtár alapértelmezett, egy megabájtos keretmérete a kulcsképkockát tartalmazó, nagyobb szegmenseket eldobná, és a lejátszás néhány másodpercenként megszakadna. A kódban nincs dekódolás, átkódolás és pufferelés – ez az oka annak, hogy az élőkép nézőnkénti költsége a korábbi MJPEG-útvonalhoz képest nagyságrenddel kisebb lett.</w:t>
      </w:r>
    </w:p>
    <w:p>
      <w:pPr/>
      <w:r>
        <w:t>A választás mellett a mérés szólt: a váltás után az élő nézet a telefon natív felbontásán fut, a végponttól végpontig mért késleltetés 0,03–0,07 másodperc, a Frigate processzorterhelése pedig nézőnként a korábbi huszonhat helyett körülbelül két százalékponttal nő. A számszerű összehasonlítást a 3.6.5. szakasz közli.</w:t>
      </w:r>
    </w:p>
    <w:p>
      <w:pPr/>
      <w:r>
        <w:t>A go2rtc a WebRTC-t is támogatja, a választás mégsem az lett. A WebRTC ICE-tárgyalást és UDP-porthasználatot igényel, ami a fordított proxy és a hitelesítési útvonal konfigurációját is érinti. Az MSE ezzel szemben ugyanazon a WebSocketen halad, amely már átmegy a meglévő nginx- és hitelesítési láncon, ugyanúgy újrakódolás nélkül továbbítja a H.264-et, és a helyi hálózaton nem mérhető késleltetéstöbbletet okoz. A WebRTC előnyei – NAT-átjárás, adaptív bitráta – itt értelmüket vesztik.</w:t>
      </w:r>
    </w:p>
    <w:p>
      <w:pPr/>
      <w:r>
        <w:t>A régi MJPEG-proxy tartalékútvonalként megmaradt: három sikertelen MSE-csatlakozási kísérlet után automatikusan átveszi a helyét, és a fókusz nézet előnézeti képeit is ez szolgálja ki. Ha a go2rtc-hez vezető út bármely okból nem járható, a felhasználó akkor is lát képet.</w:t>
      </w:r>
    </w:p>
    <w:p>
      <w:pPr>
        <w:pStyle w:val="Normalfigure-table"/>
      </w:pPr>
      <w:r>
        <w:drawing>
          <wp:inline xmlns:a="http://schemas.openxmlformats.org/drawingml/2006/main" xmlns:pic="http://schemas.openxmlformats.org/drawingml/2006/picture">
            <wp:extent cx="5577840" cy="33118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11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3. ábra: A dashboard Cameras nézete négy regisztrált node-dal. A fejlécben a „3/4 nodes up" jelző mutatja, hogy az egyik telefon éppen nem elérhető; a hozzá tartozó kártya NO SIGNAL állapotot jelez, miközben a többi node élőképe, mért képsebessége és akkumulátorszintje zavartalanul frissül.</w:t>
      </w:r>
    </w:p>
    <w:p>
      <w:pPr/>
      <w:r>
        <w:t>A 3. ábra a normál üzemi nézetet mutatja abban a – valós üzemben rendszeresen előforduló – helyzetben, amikor az egyik node nem érhető el. Ez jól szemlélteti a hibatűrési követelmény teljesülését: egyetlen node kiesése nem befolyásolja a többit, a felület pedig egyértelműen jelzi a kiesést.</w:t>
      </w:r>
    </w:p>
    <w:p>
      <w:pPr/>
      <w:r>
        <w:t>A kamerarács négyféle elrendezésben használható: automatikus, kétszer kettes, háromszor hármas és fókusz. Az utolsó (4. ábra) egyetlen kamerát nagyít fel, a többit az alsó sávban, előnézeti képként jeleníti meg – ez a folyamatos megfigyelés tipikus munkamódja. Az előnézeti képeket az MJPEG-útvonal szolgálja ki, mert egyszerre több MSE-folyam futtatása fölöslegesen terhelné a böngészőt.</w:t>
      </w:r>
    </w:p>
    <w:p>
      <w:pPr>
        <w:pStyle w:val="Normalfigure-table"/>
      </w:pPr>
      <w:r>
        <w:drawing>
          <wp:inline xmlns:a="http://schemas.openxmlformats.org/drawingml/2006/main" xmlns:pic="http://schemas.openxmlformats.org/drawingml/2006/picture">
            <wp:extent cx="5577840" cy="33118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11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4. ábra: Fókusz elrendezés. A kiválasztott kamera a teljes területet elfoglalja, a többi node az alsó sávban, előnézeti képként marad követhető; a kiemelt kamera alatt a valós, mért képsebesség és az akkumulátorszint látható.</w:t>
      </w:r>
    </w:p>
    <w:p>
      <w:pPr/>
      <w:r>
        <w:t>Egyetlen kamera teljes képernyős megjelenítése külön nézetben is elérhető (5. ábra). Ez a nézet a háttérben futó összes többi élő folyamot szünetelteti – amit a fejléc külön jelez is –, így a megjelenített kamera a rendelkezésre álló sávszélességet és dekódolási kapacitást egyedül használja.</w:t>
      </w:r>
    </w:p>
    <w:p>
      <w:pPr>
        <w:pStyle w:val="Normalfigure-table"/>
      </w:pPr>
      <w:r>
        <w:drawing>
          <wp:inline xmlns:a="http://schemas.openxmlformats.org/drawingml/2006/main" xmlns:pic="http://schemas.openxmlformats.org/drawingml/2006/picture">
            <wp:extent cx="5577840" cy="33118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11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5. ábra: Teljes képernyős kameranézet. A kép rögzített 16:9 arányban jelenik meg, így az eredeti képarány torzítás nélkül marad; a fejléc jelzi, hogy a háttérben futó élő folyamok szünetelnek, a lábléc pedig a képsebességet, az akkumulátorszintet és a Wi-Fi jelerősséget mutatja.</w:t>
      </w:r>
    </w:p>
    <w:p>
      <w:pPr>
        <w:pStyle w:val="Heading3"/>
      </w:pPr>
      <w:r>
        <w:t>A kameraforgatás megvalósítása</w:t>
      </w:r>
    </w:p>
    <w:p>
      <w:pPr/>
      <w:r>
        <w:t>A telefonok elhelyezése ritkán teszi lehetővé, hogy a kép eleve a kívánt tájolásban érkezzen. A telefon saját forgatási beállítása nem megoldás: a H.264 folyamra nincs hatással, az alkalmazás csupán lekicsinyíti a képet és fekete sávok közé illeszti – az eredmény felbontásvesztés, forgatás nélkül.</w:t>
      </w:r>
    </w:p>
    <w:p>
      <w:pPr/>
      <w:r>
        <w:t>A forgatás ezért a go2rtc feldolgozási láncába került. Forgatás nélkül a go2rtc a telefon folyamát változatlanul veszi át; forgatás esetén a lánc két tagúvá válik, egy nyers folyammal és egy abból képzett, elforgatott változattal. A forgatás így egyetlen helyen történik, és minden fogyasztó – detekció, felvétel, pillanatkép, élőkép – ugyanazt a képet kapja.</w:t>
      </w:r>
    </w:p>
    <w:p>
      <w:pPr/>
      <w:r>
        <w:t xml:space="preserve">A forgatás átkódolással jár, ez pedig processzoridőbe kerül. A terhelés az NVIDIA videómotorra terelhető: a lánc a képet a GPU dekóderével bontja ki és a </w:t>
      </w:r>
      <w:r>
        <w:rPr>
          <w:rFonts w:ascii="Consolas" w:hAnsi="Consolas"/>
          <w:sz w:val="19"/>
        </w:rPr>
        <w:t>h264_nvenc</w:t>
      </w:r>
      <w:r>
        <w:t xml:space="preserve"> kódolóval állítja elő újra, a képforgatást viszont a processzor végzi, mert a rendelkezésre álló ffmpeg-fordítás nem tartalmazza a forgatás GPU-s megfelelőjét. A mérés szerint egy 720p25-ös folyamnál a szoftveres kódolás egy processzormag 44 százalékát, a GPU-s 6 százalékát igényli, miközben a kimenet képpontra azonos (44,7 dB PSNR, 0,993 SSIM). Három forgatott kameránál ez a Frigate konténer teljes processzorhasználatában körülbelül 590 százalékról 130 százalékra esik vissza.</w:t>
      </w:r>
    </w:p>
    <w:p>
      <w:pPr/>
      <w:r>
        <w:t>Az átkódolásnak egy nem kézenfekvő mellékhatása is van: az újracsomagolt folyam elveszíti az eredeti időbélyegeket. A rögzítés ezt nem érzi meg, mert a felvételi ág a képkockákat másolja; a detekciós ág viszont képsebesség-szűrőt alkalmaz, amely az időbélyegek alapján válogat, és azok híján egyetlen képkockát sem enged tovább. A hiba kifelé alig látszik – a felvétel készül, a lemez telik –, miközben a kamera detekciós képsebessége nulla marad. A megoldás az volt, hogy a forgatott kamerák bemenete olyan ffmpeg-presetet kap, amely a hiányzó időbélyegeket a beérkezés idejéből pótolja. A bemeneti argumentumnak ilyenkor pontosan a preset nevével kell egyeznie: a Frigate csak teljes névegyezés esetén helyettesíti be, egyébként a nevet fájlnévként adja tovább az ffmpeg-nek, és minden kamera újraindulási hurokba kerül.</w:t>
      </w:r>
    </w:p>
    <w:p>
      <w:pPr/>
      <w:r>
        <w:t>A forgatás állapotát nem külön fájl, hanem maga a Frigate konfigurációjának forrásleírója tárolja, így nincs két, egymástól elcsúszható igazságforrás.</w:t>
      </w:r>
    </w:p>
    <w:p>
      <w:pPr/>
      <w:r>
        <w:t>Fontos korlát, hogy a forgatás nem javítja ki az álló tájolású telefont. Ha a készülék képernyőforgatása állóra van rögzítve, az alkalmazás álló képet illeszt a fekvő képkockába – a mérés szerint a képkocka 68 százaléka fekete sáv –, és ezt a go2rtc-oldali forgatás nem tudja visszanyerni, mert a képpontok már nem léteznek. A megoldás a telefon oldalán van: a képernyőforgatás feloldásával az alkalmazás fekvő képet ad.</w:t>
      </w:r>
    </w:p>
    <w:p>
      <w:pPr>
        <w:pStyle w:val="Heading3"/>
      </w:pPr>
      <w:r>
        <w:t>A backend és a valós idejű kommunikáció</w:t>
      </w:r>
    </w:p>
    <w:p>
      <w:pPr/>
      <w:r>
        <w:t>A backend két háttérfolyamatot futtat, amelyek a rendszer valós idejű viselkedéséért felelnek; mindkettő a FastAPI indulásakor jön létre.</w:t>
      </w:r>
    </w:p>
    <w:p>
      <w:pPr/>
      <w:r>
        <w:t xml:space="preserve">Az első az állapotfigyelő hurok: ötmásodpercenként végigmegy a nyilvántartott kamerákon, mindegyiktől lekéri a </w:t>
      </w:r>
      <w:r>
        <w:rPr>
          <w:rFonts w:ascii="Consolas" w:hAnsi="Consolas"/>
          <w:sz w:val="19"/>
        </w:rPr>
        <w:t>/info.json</w:t>
      </w:r>
      <w:r>
        <w:t xml:space="preserve"> leírót két másodperces időkorláttal, az eredményt a memóriabeli állapot-cache-be írja, és a teljes frissítést egyetlen üzenetben elküldi minden kapcsolódott WebSocket-kliensnek.</w:t>
      </w:r>
    </w:p>
    <w:p>
      <w:pPr>
        <w:keepNext/>
      </w:pPr>
      <w:r>
        <w:t xml:space="preserve">Az alábbi részlet ezt a hurkot mutatja. Két sorára érdemes figyelni: a </w:t>
      </w:r>
      <w:r>
        <w:rPr>
          <w:rFonts w:ascii="Consolas" w:hAnsi="Consolas"/>
          <w:sz w:val="19"/>
        </w:rPr>
        <w:t>for</w:t>
      </w:r>
      <w:r>
        <w:t xml:space="preserve"> ciklusra, amely a node-okat sorosan, egymás után kérdezi le, és az utolsó sorra, ahol a </w:t>
      </w:r>
      <w:r>
        <w:rPr>
          <w:rFonts w:ascii="Consolas" w:hAnsi="Consolas"/>
          <w:sz w:val="19"/>
        </w:rPr>
        <w:t>HEALTH_INTERVAL</w:t>
      </w:r>
      <w:r>
        <w:t xml:space="preserve"> szerinti várakozás nem a kör elején, hanem a teljes kör lefutása után következik.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>async def health_loop() -&gt; None: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 xml:space="preserve">    while True: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 xml:space="preserve">        updates = []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 xml:space="preserve">        for cam in state._last_cameras: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 xml:space="preserve">            status = await poll_status(cam["ip"], cam["port"])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 xml:space="preserve">            entry = {"ip": cam["ip"], "name": cam["name"],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 xml:space="preserve">                     "online": status is not None}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 xml:space="preserve">            if status: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 xml:space="preserve">                entry.update(_parse_info(status))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 xml:space="preserve">            state._health_cache[cam["ip"]] = entry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 xml:space="preserve">            updates.append(entry)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 xml:space="preserve">        if state._ws_clients and updates: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 xml:space="preserve">            msg = json.dumps({"type": "status", "cameras": updates})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 xml:space="preserve">            await broadcast(msg)</w:t>
      </w:r>
    </w:p>
    <w:p>
      <w:pPr>
        <w:pStyle w:val="Normalprogramcode"/>
      </w:pPr>
      <w:r>
        <w:rPr>
          <w:rFonts w:ascii="Consolas" w:hAnsi="Consolas"/>
          <w:sz w:val="18"/>
        </w:rPr>
        <w:t xml:space="preserve">        await asyncio.sleep(HEALTH_INTERVAL)</w:t>
      </w:r>
    </w:p>
    <w:p>
      <w:pPr/>
      <w:r>
        <w:t xml:space="preserve">Ez a két szerkezeti vonás együtt magyarázza a hurok mért viselkedését. Mivel a ciklus minden node válaszát – a nem válaszolóknál a </w:t>
      </w:r>
      <w:r>
        <w:rPr>
          <w:rFonts w:ascii="Consolas" w:hAnsi="Consolas"/>
          <w:sz w:val="19"/>
        </w:rPr>
        <w:t>poll_status</w:t>
      </w:r>
      <w:r>
        <w:t xml:space="preserve"> kétmásodperces időkorlátjának lejártát – megvárja, és az </w:t>
      </w:r>
      <w:r>
        <w:rPr>
          <w:rFonts w:ascii="Consolas" w:hAnsi="Consolas"/>
          <w:sz w:val="19"/>
        </w:rPr>
        <w:t>asyncio.sleep</w:t>
      </w:r>
      <w:r>
        <w:t xml:space="preserve"> csak ezután fut le, a tényleges periódus nem öt másodperc, hanem a névleges érték és a lekérdezési kör hosszának összege. A 3.6.4. szakaszban mért 7,84 másodperces periódus közvetlenül ebből következik. A </w:t>
      </w:r>
      <w:r>
        <w:rPr>
          <w:rFonts w:ascii="Consolas" w:hAnsi="Consolas"/>
          <w:sz w:val="19"/>
        </w:rPr>
        <w:t>state._health_cache</w:t>
      </w:r>
      <w:r>
        <w:t xml:space="preserve"> írása a küldéstől függetlenül, minden körben megtörténik: erre azért van szükség, hogy egy később csatlakozó kliens azonnal teljes állapotképet kapjon, és ne kelljen a következő körre várnia. A szórás pedig ott áll elő, hogy a kör hossza a nem válaszoló node-ok számától függ.</w:t>
      </w:r>
    </w:p>
    <w:p>
      <w:pPr/>
      <w:r>
        <w:t>Az öt másodperces periódus kompromisszum. Rövidebb periódus gyorsabb hibafelismerést adna, de feleslegesen terhelné a telefonokat – minden lekérés ébren tartja a rádiót és fogyasztja az akkumulátort –, hosszabb periódus mellett viszont egy kiesett node felismerése észrevehetően lassulna. A tényleges felismerési késleltetés a lekérdezési kör hosszának és az öt másodperces várakozásnak az összege; a mért periódust a 3.6.4. szakasz közli.</w:t>
      </w:r>
    </w:p>
    <w:p>
      <w:pPr/>
      <w:r>
        <w:t>Az állapotadatok kiolvasása nem triviális leképezés: az aktív kameraszenzor azonosítója a leíróban hol tájolási kulcsszó, hol a szenzorlista egy elemének azonosítója – a kód mindkét esetet kezeli. A tájolás pedig a felhasználó által beállított forgatásból származik, nem a szenzor fizikai beépítési szögéből.</w:t>
      </w:r>
    </w:p>
    <w:p>
      <w:pPr>
        <w:pStyle w:val="Normalfigure-table"/>
      </w:pPr>
      <w:r>
        <w:drawing>
          <wp:inline xmlns:a="http://schemas.openxmlformats.org/drawingml/2006/main" xmlns:pic="http://schemas.openxmlformats.org/drawingml/2006/picture">
            <wp:extent cx="5577840" cy="33118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11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6. ábra: A Health nézet. Az állapotfigyelő hurok által gyűjtött adatok node-onként: elérhetőség, akkumulátorszint és Wi-Fi jelerősség; a lekérésre nem válaszoló node OFFLINE állapottal, adatok nélkül jelenik meg. A táblázat a WebSocket-en érkező frissítésekkel valós időben változik.</w:t>
      </w:r>
    </w:p>
    <w:p>
      <w:pPr/>
      <w:r>
        <w:t>A 6. ábra a rendszer állapotfigyelő nézetét mutatja. A táblázat nem lekérdezésre frissül: az adatok az állapotfigyelő hurok WebSocket-üzeneteiből érkeznek, tehát a felület a böngésző beavatkozása nélkül követi a valóságot.</w:t>
      </w:r>
    </w:p>
    <w:p>
      <w:pPr/>
      <w:r>
        <w:t>A második háttérfolyamat az MQTT-hurok: egyetlen tartós kapcsolatot tart fenn a brókerrel, és két témára iratkozik fel, a Frigate objektumdetekciós eseményeire és a tűzdetektor találataira. A Frigate eseményét átalakítja a felület által várt alakra és továbbítja; a tűzeseményt viszont előbb SQLite adatbázisba menti, az annotált képkockát a fájlrendszerre írja, és csak ezután küldi tovább – felugró riasztásként és eseménylista-bejegyzésként.</w:t>
      </w:r>
    </w:p>
    <w:p>
      <w:pPr/>
      <w:r>
        <w:t>A tűzesemény önálló SQLite [33] adatbázisba kerül, nem a Frigate tárolójába. A Frigate adatbázisa belső implementációs részlet: sémáját a fejlesztők verzióról verzióra módosíthatják, és külső események beszúrására nincs dokumentált mód – egy közvetlen írás tehát nem publikus szerződéstől tenné függővé a rendszert, ráadásul írási versenyhelyzetet teremtene. A saját tábla ezzel szemben teljes ellenőrzést ad a séma felett, és feltétele annak, hogy a tűzdetektor a Frigate leállása mellett is működhessen.</w:t>
      </w:r>
    </w:p>
    <w:p>
      <w:pPr>
        <w:pStyle w:val="Heading3"/>
      </w:pPr>
      <w:r>
        <w:t>Tűz- és füstérzékelés</w:t>
      </w:r>
    </w:p>
    <w:p>
      <w:pPr/>
      <w:r>
        <w:t>A feladatkiírás előírja a rendszer kiegészítését egy olyan eseményosztály felismerésével, amelyet az alapul szolgáló NVR általános detektora nem támogat. A választott osztály a tűz és a füst: felismerésük biztonsági rendszerben nyilvánvaló értékkel bír, a Frigate alapmodelljének COCO-címkekészletében [19] viszont nem szerepel.</w:t>
      </w:r>
    </w:p>
    <w:p>
      <w:pPr/>
      <w:r>
        <w:t>A megoldás önálló mikroszolgáltatás, nem a Frigate modelljének cseréje: a Frigate egyszerre egy modellt futtat, tehát a tűzfelismerő betöltése az általános objektumdetekció elvesztésével járna. A két feladat két modellt kíván, párhuzamos futtatásukra pedig a külön folyamat a legegyszerűbb mód.</w:t>
      </w:r>
    </w:p>
    <w:p>
      <w:pPr/>
      <w:r>
        <w:t>A szolgáltatás működése egyszerű ciklus: a backendtől lekéri az aktuális kameralistát, majd minden kameráról mintát vesz. A mintavétel a telefon MJPEG-folyamából történik – a szolgáltatás megnyitja a folyamot, az első teljes JPEG-képkockát a formátum kezdő- és zárójelzői alapján olvassa ki, majd azonnal bont –, mert az alkalmazás nem kínál külön pillanatkép-végpontot.</w:t>
      </w:r>
    </w:p>
    <w:p>
      <w:pPr/>
      <w:r>
        <w:t>A kivágott képkockán YOLO-modell fut. A modell egy nyilvánosan elérhető, tűz és füst osztályokra betanított súlykészlet [10], amely három osztályt ismer: tűz, füst és egyéb. A szolgáltatás csak az első kettőt veszi figyelembe, és csak akkor publikál, ha a modell konfidenciája eléri a nyolcvan százalékos küszöböt.</w:t>
      </w:r>
    </w:p>
    <w:p>
      <w:pPr/>
      <w:r>
        <w:t>Az inferencia a szerver grafikus processzorán fut, ugyanazon az eszközön, amelyet a Frigate detektora is használ. A két modell érdemben nem versenyez: a tűzdetektor kameránként öt másodpercenként egyetlen képkockát dolgoz fel, tehát a GPU-t rövid, ritka lökésekben terheli. Ára a konténer mérete, amely a CUDA runtime miatt mintegy két gigabájtról hatra nő.</w:t>
      </w:r>
    </w:p>
    <w:p>
      <w:pPr/>
      <w:r>
        <w:t>A nyolcvan százalékos küszöb mérési tapasztalat eredménye, nem alapértelmezés: a kezdeti, ötven százalékos küszöb mellett a rendszer éjszaka gyakorlatilag használhatatlan volt. A küszöb hangolását és az azt megalapozó adatokat a 3.6.7. szakasz tárgyalja.</w:t>
      </w:r>
    </w:p>
    <w:p>
      <w:pPr>
        <w:keepNext/>
      </w:pPr>
      <w:r>
        <w:t>Az alábbi részlet a szolgáltatás döntési pontját mutatja: azt a néhány sort, amely az inferencia nyers kimenetéből eldönti, mi minősül továbbadandó eseménynek.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>results = model(img, verbose=False)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>for r in results: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 xml:space="preserve">    for box in r.boxes: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 xml:space="preserve">        conf = box.conf.item()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 xml:space="preserve">        if conf &gt;= CONFIDENCE: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 xml:space="preserve">            label = model.names[int(box.cls.item())]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 xml:space="preserve">            if label.lower() in ["fire", "smoke"]: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 xml:space="preserve">                payload = {"camera": cam_name, "label": label.lower(),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 xml:space="preserve">                           "score": round(conf, 3)}</w:t>
      </w:r>
    </w:p>
    <w:p>
      <w:pPr>
        <w:pStyle w:val="Normalprogramcode"/>
        <w:keepNext/>
      </w:pPr>
      <w:r>
        <w:rPr>
          <w:rFonts w:ascii="Consolas" w:hAnsi="Consolas"/>
          <w:sz w:val="18"/>
        </w:rPr>
        <w:t xml:space="preserve">                mqtt_c.publish(f"swarmcam/fire/{cam_name}",</w:t>
      </w:r>
    </w:p>
    <w:p>
      <w:pPr>
        <w:pStyle w:val="Normalprogramcode"/>
      </w:pPr>
      <w:r>
        <w:rPr>
          <w:rFonts w:ascii="Consolas" w:hAnsi="Consolas"/>
          <w:sz w:val="18"/>
        </w:rPr>
        <w:t xml:space="preserve">                               json.dumps(payload))</w:t>
      </w:r>
    </w:p>
    <w:p>
      <w:pPr/>
      <w:r>
        <w:t>A szűrés két lépcsős, és a lépcsők sorrendje nem közömbös. Előbb a konfidencia rostál (</w:t>
      </w:r>
      <w:r>
        <w:rPr>
          <w:rFonts w:ascii="Consolas" w:hAnsi="Consolas"/>
          <w:sz w:val="19"/>
        </w:rPr>
        <w:t>conf &gt;= CONFIDENCE</w:t>
      </w:r>
      <w:r>
        <w:t xml:space="preserve">), és csak az ezen átjutó találatoknál vizsgálja a kód a címkét; ez a </w:t>
      </w:r>
      <w:r>
        <w:rPr>
          <w:rFonts w:ascii="Consolas" w:hAnsi="Consolas"/>
          <w:sz w:val="19"/>
        </w:rPr>
        <w:t>CONFIDENCE</w:t>
      </w:r>
      <w:r>
        <w:t xml:space="preserve"> konstans az a paraméter, amelyet a 3.6.7. szakasz mérése alapján emeltem ötven százalékról nyolcvanra. A címkeszűrésre azért van szükség, mert a modell harmadik, „egyéb” osztálya a rendszer szempontjából nem esemény – enélkül gyakorlatilag minden feldolgozott képkocka riasztást generálna. A publikálás maga egyetlen MQTT-üzenet a kameránként külön témára: a szolgáltatás nem hívja a backendet, nem ír a közös adatbázisba és a felület létezéséről sem tud. A bróker az egyetlen csatolási pontja a rendszer többi része felé, és ez teszi lehetővé, hogy a Frigate leállása mellett is működjön.</w:t>
      </w:r>
    </w:p>
    <w:p>
      <w:pPr/>
      <w:r>
        <w:t>A találat mellé a szolgáltatás annotált – bounding boxokkal és konfidenciaértékkel ellátott – képkockát is generál, legfeljebb 1280 pixel szélességre kicsinyítve, base64 formában az üzenet részeként. Így a vizuális bizonyíték már a felület első megjelenítésekor rendelkezésre áll, külön lekérés nélkül.</w:t>
      </w:r>
    </w:p>
    <w:p>
      <w:pPr>
        <w:pStyle w:val="Normalfigure-table"/>
      </w:pPr>
      <w:r>
        <w:drawing>
          <wp:inline xmlns:a="http://schemas.openxmlformats.org/drawingml/2006/main" xmlns:pic="http://schemas.openxmlformats.org/drawingml/2006/picture">
            <wp:extent cx="5120640" cy="3040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7. ábra: Valós tűzdetekció eseményrészletei. A tűzdetekciós szolgáltatás 86 százalékos konfidenciával azonosította a lángot; a képen a modell által rajzolt bounding box és a hozzá tartozó pontszám látható.</w:t>
      </w:r>
    </w:p>
    <w:p>
      <w:pPr/>
      <w:r>
        <w:t>A 7. ábra egy valós, éles környezetben rögzített tűzdetekciót mutat. A találat annotált képkockája a modell által rajzolt bounding boxot és a pontszámot is tartalmazza, így az esemény utólagos ellenőrzése nem igényel külön eszközt.</w:t>
      </w:r>
    </w:p>
    <w:p>
      <w:pPr/>
      <w:r>
        <w:t>Licencjogi szempontból lényeges, hogy az inferenciát végző Ultralytics keretrendszer [6] AGPL-3.0 licenc alatt áll. Oktatási célú, nem terjesztett rendszernél ez nem akadály; kereskedelmi felhasználás licencvásárlást vagy a keretrendszer cseréjét igényelné – például a súlyok ONNX formátumba exportálásával, ami magát a modellt nem érinti.</w:t>
      </w:r>
    </w:p>
    <w:p>
      <w:pPr>
        <w:pStyle w:val="Heading3"/>
      </w:pPr>
      <w:r>
        <w:t>A kezelőfelület</w:t>
      </w:r>
    </w:p>
    <w:p>
      <w:pPr/>
      <w:r>
        <w:t>A kezelőfelület React és TypeScript alapú, Vite eszközlánccal épített egyoldalas alkalmazás; a megjelenítést Tailwind CSS és shadcn/ui komponensek adják. Útvonalválasztó könyvtárat nem használ – az aktív nézetet egyetlen állapotváltozó tárolja –, mert a dashboard helyi adminisztrációs felület, amelyhez nem tartozik megosztható hivatkozás.</w:t>
      </w:r>
    </w:p>
    <w:p>
      <w:pPr/>
      <w:r>
        <w:t>A valós idejű frissítést egyetlen, központi kapcsolatkezelő biztosítja: ez tartja fenn a WebSocket-kapcsolatot, és a beérkező üzeneteket típus szerint osztja szét – az állapotüzenetek a kamerakártyákat és a Health nézetet frissítik, az eseményüzenetek az eseményfolyamba kerülnek, a riasztások felugró értesítésként jelennek meg. A kapcsolat bontását a hook automatikusan kezeli: öt másodperc múlva újracsatlakozik.</w:t>
      </w:r>
    </w:p>
    <w:p>
      <w:pPr/>
      <w:r>
        <w:t>Az események két helyen érhetők el: az élő eseményfolyam a kamerarács mellé nyitható oldalpanelen, a történeti böngésző pedig a Frigate eseményadatbázisát kérdezi le a backend proxyján keresztül, kamerára, objektumtípusra és darabszámra szűrhetően.</w:t>
      </w:r>
    </w:p>
    <w:p>
      <w:pPr>
        <w:pStyle w:val="Normalfigure-table"/>
      </w:pPr>
      <w:r>
        <w:drawing>
          <wp:inline xmlns:a="http://schemas.openxmlformats.org/drawingml/2006/main" xmlns:pic="http://schemas.openxmlformats.org/drawingml/2006/picture">
            <wp:extent cx="5760720" cy="34204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8. ábra: Az események böngészője. A találatok között a Frigate objektumdetekciói (person, car) és a tűzdetekciós mikroszolgáltatás találatai (fire) egységes listában jelennek meg, kamerára és objektumtípusra szűrhetően; a tűztalálatok mellett a modell pontszáma is megjelenik.</w:t>
      </w:r>
    </w:p>
    <w:p>
      <w:pPr/>
      <w:r>
        <w:t>A 8. ábra a két eseményforrás egyesítését szemlélteti: a Frigate objektumdetektálásai és a saját tűzdetektor találatai ugyanabban a listában, azonos szerkezettel jelennek meg, holott két, egymást nem ismerő komponenstől származnak. A felhasználó számára a forrás különbsége nem látszik – ezt teszi lehetővé az MQTT-alapú szétcsatolás.</w:t>
      </w:r>
    </w:p>
    <w:p>
      <w:pPr/>
      <w:r>
        <w:t>Ugyanezek a detektálások a beérkezés pillanatában, a kamerarács mellé nyitható oldalpanelen is megjelennek (9. ábra). A panel nem lekérdezésből dolgozik: a bejegyzések a WebSocket-kapcsolaton érkeznek, tehát a felhasználó akkor is látja az eseményt, amikor éppen az élőképet nézi.</w:t>
      </w:r>
    </w:p>
    <w:p>
      <w:pPr>
        <w:pStyle w:val="Normalfigure-table"/>
      </w:pPr>
      <w:r>
        <w:drawing>
          <wp:inline xmlns:a="http://schemas.openxmlformats.org/drawingml/2006/main" xmlns:pic="http://schemas.openxmlformats.org/drawingml/2006/picture">
            <wp:extent cx="5577840" cy="33118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11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9. ábra: Az élő eseményfolyam a kamerarács mellett. A panel a WebSocket-en érkező detektálásokat mutatja a beérkezés sorrendjében, kamerával, objektumtípussal és a detektor pontszámával.</w:t>
      </w:r>
    </w:p>
    <w:p>
      <w:pPr/>
      <w:r>
        <w:t>A felvételek külön nézetben böngészhetők, kamerára és időtartományra szűrve (10. ábra); a lejátszás és a letöltés is a backend proxyján halad, tehát a böngésző soha nem lép közvetlen kapcsolatba a Frigate-tel.</w:t>
      </w:r>
    </w:p>
    <w:p>
      <w:pPr>
        <w:pStyle w:val="Normalfigure-table"/>
      </w:pPr>
      <w:r>
        <w:drawing>
          <wp:inline xmlns:a="http://schemas.openxmlformats.org/drawingml/2006/main" xmlns:pic="http://schemas.openxmlformats.org/drawingml/2006/picture">
            <wp:extent cx="5760720" cy="34204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10. ábra: A felvételek böngészője. A klipek kameránként és időtartományonként szűrhetők, közvetlenül lejátszhatók és letölthetők.</w:t>
      </w:r>
    </w:p>
    <w:p>
      <w:pPr/>
      <w:r>
        <w:t>A kamerabeállítások nézet (11. ábra) a kiválasztott node paramétereit módosítja: a megjelenített nevet, a tájolást, a felbontást, a képsebességet, a képtükrözést és az aktív kameraszenzort. A beállítások egy része a telefonra megy, egyetlen kérésben; a tájolás viszont a Frigate konfigurációjába kerül, a 3.5.4. szakaszban leírt okból.</w:t>
      </w:r>
    </w:p>
    <w:p>
      <w:pPr>
        <w:pStyle w:val="Normalfigure-table"/>
      </w:pPr>
      <w:r>
        <w:drawing>
          <wp:inline xmlns:a="http://schemas.openxmlformats.org/drawingml/2006/main" xmlns:pic="http://schemas.openxmlformats.org/drawingml/2006/picture">
            <wp:extent cx="5577840" cy="33118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11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11. ábra: Kamerabeállítások. A bal oldali listából kiválasztott node paraméterei élőben módosíthatók; a „Danger zone" szekció a node eltávolítását teszi lehetővé, a hozzá tartozó felvételek megtartása mellett.</w:t>
      </w:r>
    </w:p>
    <w:p>
      <w:pPr/>
      <w:r>
        <w:t>A rendszerbeállítások nézet (12. ábra) a Frigate globális konfigurációjának azon részeit teszi elérhetővé, amelyek az üzemeltetés során valóban változnak: a dekóder gyorsítási módját, az RTSP-átvitel protokollját, a detekciós képsebességet és felbontást, a követett objektumtípusokat és a felvételek megőrzési idejét. A mentés a konfigurációs fájlt írja, majd újraindítja a Frigate konténert – erre a felület külön figyelmeztet, mert az újraindítás alatt az élő folyamok megszakadnak.</w:t>
      </w:r>
    </w:p>
    <w:p>
      <w:pPr>
        <w:pStyle w:val="Normalfigure-table"/>
      </w:pPr>
      <w:r>
        <w:drawing>
          <wp:inline xmlns:a="http://schemas.openxmlformats.org/drawingml/2006/main" xmlns:pic="http://schemas.openxmlformats.org/drawingml/2006/picture">
            <wp:extent cx="5760720" cy="34204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12. ábra: Rendszerbeállítások. A felület a Frigate konfigurációjának üzemeltetés közben ténylegesen változó részeit teszi elérhetővé; a mentés a konfigurációs fájl írása után újraindítja a Frigate konténert.</w:t>
      </w:r>
    </w:p>
    <w:p>
      <w:pPr/>
      <w:r>
        <w:t>A felhasználókezelés (13. ábra) szintén proxyzott felület: a Frigate saját felhasználói adatbázisát kezeli, így a rendszernek nincs önálló felhasználónyilvántartása és nincs két, egymástól elcsúszható jogosultsági modell sem.</w:t>
      </w:r>
    </w:p>
    <w:p>
      <w:pPr>
        <w:pStyle w:val="Normalfigure-table"/>
      </w:pPr>
      <w:r>
        <w:drawing>
          <wp:inline xmlns:a="http://schemas.openxmlformats.org/drawingml/2006/main" xmlns:pic="http://schemas.openxmlformats.org/drawingml/2006/picture">
            <wp:extent cx="5577840" cy="33118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11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13. ábra: Felhasználókezelés. A rendszer nem tart fenn saját felhasználónyilvántartást: a Frigate felhasználói adatbázisát kezeli a backend proxyján keresztül.</w:t>
      </w:r>
    </w:p>
    <w:p>
      <w:pPr>
        <w:pStyle w:val="Heading3"/>
      </w:pPr>
      <w:r>
        <w:t>Mobilnézet</w:t>
      </w:r>
    </w:p>
    <w:p>
      <w:pPr/>
      <w:r>
        <w:t>A felület reszponzív: a megjelenítés a rendelkezésre álló szélesség alapján két, határozottan eltérő elrendezés között vált – ez nem csupán oszlopszám-változtatás, hanem külön navigációs modell.</w:t>
      </w:r>
    </w:p>
    <w:p>
      <w:pPr/>
      <w:r>
        <w:t>Asztali szélességen az oldalsáv állandóan látható, és a fejlécben elfér a kamerarács elrendezésválasztója, az eseménypanel kapcsolója és a felhasználói menü. Mobil szélességen az oldalsáv eltűnik: helyette rögzített fejléc és alsó fülsáv jelenik meg, amely a hat leggyakrabban használt nézetet hüvelykujjal elérhető távolságban tartja; a többi nézet egy alulról felcsúszó lapon érhető el. Az elrendezésválasztó megmarad, így a felhasználó eldöntheti, hogy több kamerát lát kisebb csempéken, vagy egyet a teljes szélességben.</w:t>
      </w:r>
    </w:p>
    <w:p>
      <w:pPr>
        <w:pStyle w:val="Normalfigure-table"/>
      </w:pPr>
      <w:r>
        <w:drawing>
          <wp:inline xmlns:a="http://schemas.openxmlformats.org/drawingml/2006/main" xmlns:pic="http://schemas.openxmlformats.org/drawingml/2006/picture">
            <wp:extent cx="2286000" cy="49471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94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14. ábra: A dashboard mobil elrendezése. Az oldalsáv helyét rögzített fejléc és a képernyő alján rögzített fülsáv veszi át; a kamerarács a rendelkezésre álló szélességhez igazodik. A </w:t>
      </w:r>
      <w:r>
        <w:rPr>
          <w:rFonts w:ascii="Consolas" w:hAnsi="Consolas"/>
          <w:sz w:val="19"/>
        </w:rPr>
        <w:t>Ricsi regi</w:t>
      </w:r>
      <w:r>
        <w:t xml:space="preserve"> és </w:t>
      </w:r>
      <w:r>
        <w:rPr>
          <w:rFonts w:ascii="Consolas" w:hAnsi="Consolas"/>
          <w:sz w:val="19"/>
        </w:rPr>
        <w:t>Ricsi uj</w:t>
      </w:r>
      <w:r>
        <w:t xml:space="preserve"> node képén a fekete sávok oka a 3.5.4. szakaszban tárgyalt korlát: az álló tájolásra rögzített telefon álló képet illeszt a fekvő képkockába, és ezt a szerveroldali forgatás már nem tudja visszanyerni.</w:t>
      </w:r>
    </w:p>
    <w:p>
      <w:pPr>
        <w:pStyle w:val="Normalfigure-table"/>
      </w:pPr>
      <w:r>
        <w:drawing>
          <wp:inline xmlns:a="http://schemas.openxmlformats.org/drawingml/2006/main" xmlns:pic="http://schemas.openxmlformats.org/drawingml/2006/picture">
            <wp:extent cx="2286000" cy="49471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94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15. ábra: Az események böngészője mobil elrendezésben. Az asztali táblázat kártyás nézetté alakul, hogy vízszintes görgetés nélkül olvasható maradjon.</w:t>
      </w:r>
    </w:p>
    <w:p>
      <w:pPr>
        <w:pStyle w:val="Normalfigure-table"/>
      </w:pPr>
      <w:r>
        <w:drawing>
          <wp:inline xmlns:a="http://schemas.openxmlformats.org/drawingml/2006/main" xmlns:pic="http://schemas.openxmlformats.org/drawingml/2006/picture">
            <wp:extent cx="3657600" cy="241026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10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16. ábra: A „More” lap mobil nézetben. A fülsávba nem férő nézetek egy alulról felcsúszó lapon érhetők el. A háttér elhomályosítása a felület része, nem a képernyőkép hibája: a felcsúszó lap mögött scrim és háttérelmosás fut, hogy a figyelem a menüre essen.</w:t>
      </w:r>
    </w:p>
    <w:p>
      <w:pPr/>
      <w:r>
        <w:t>A 14. ábra a kamerarácsot, a 15. ábra az eseményböngészőt mutatja mobil elrendezésben; utóbbin jól látszik, hogy az asztali táblázatból kártyalista lesz, mert egy hatoszlopos táblázat telefonon vízszintes görgetés nélkül olvashatatlan volna. A fülsávba nem férő nézetek a 16. ábrán látható, alulról felcsúszó lapon érhetők el.</w:t>
      </w:r>
    </w:p>
    <w:p>
      <w:pPr/>
      <w:r>
        <w:t>A mobilnézet létjogosultsága gyakorlati: egy otthoni biztonsági rendszert tipikusan telefonon néz meg a felhasználó. Az élőkép itt ugyanazon az MSE-csatornán fut, mint az asztali változatban.</w:t>
      </w:r>
    </w:p>
    <w:p>
      <w:pPr>
        <w:pStyle w:val="Heading3"/>
      </w:pPr>
      <w:r>
        <w:t>Hitelesítés és biztonsági megfontolások</w:t>
      </w:r>
    </w:p>
    <w:p>
      <w:pPr/>
      <w:r>
        <w:t>A hitelesítés a Frigate felhasználói adatbázisára épül: a bejelentkezési űrlapon (17. ábra) megadott adatokat a backend továbbítja a Frigate bejelentkezési végpontjának, majd a kapott JWT-t [28] adja vissza a felületnek. Minden további kérés ezt a tokent hordozza.</w:t>
      </w:r>
    </w:p>
    <w:p>
      <w:pPr/>
      <w:r>
        <w:t>A frontend a tokent kizárólag a React alkalmazás memóriájában tárolja, nem a böngésző tartós tárolójában. A tartós tárolóban elhelyezett token ugyanis minden, az oldalon futó szkript számára olvasható, tehát egy sikeres szkriptbeillesztéses támadás azonnal átvehető munkamenetet adna. Ára, hogy a token az oldal újratöltésekor elvész – egy helyi adminisztrációs felületen ez elfogadható.</w:t>
      </w:r>
    </w:p>
    <w:p>
      <w:pPr/>
      <w:r>
        <w:t>A backend ezen felül saját hitelesített munkamenetet is fenntart a Frigate felé, mert az állapotfigyelés, a statisztikák lekérése és a konfiguráció olvasása felhasználói beavatkozás nélkül, folyamatosan zajlik. A két munkamenet független: a felhasználói token lejárta nem érinti a háttérfolyamatokat, a háttérmunkamenet megújítása pedig a bejelentkezett felhasználót.</w:t>
      </w:r>
    </w:p>
    <w:p>
      <w:pPr/>
      <w:r>
        <w:t>A hibakezelés két státuszkódot különböztet meg élesen. A 401-es válasz – érvénytelen vagy lejárt token – kijelentkezteti a felhasználót; az 503-as – a Frigate éppen újraindul egy konfigurációmentés után – viszont nem, ilyenkor a felület hibaüzenetet mutat, de a munkamenetet megtartja. A két eset összemosása azt eredményezné, hogy minden konfigurációmentés kijelentkeztetne.</w:t>
      </w:r>
    </w:p>
    <w:p>
      <w:pPr>
        <w:pStyle w:val="Normalfigure-table"/>
      </w:pPr>
      <w:r>
        <w:drawing>
          <wp:inline xmlns:a="http://schemas.openxmlformats.org/drawingml/2006/main" xmlns:pic="http://schemas.openxmlformats.org/drawingml/2006/picture">
            <wp:extent cx="4206240" cy="344057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40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17. ábra: Bejelentkezési felület. A hitelesítés a Frigate felhasználói adatbázisára épül; a kapott JWT kizárólag az alkalmazás memóriájában él, tartós böngészőtárolóba nem kerül.</w:t>
      </w:r>
    </w:p>
    <w:p>
      <w:pPr/>
      <w:r>
        <w:t>Végül a biztonsági modell határa: a SwarmCam kizárólag megbízható, helyi hálózaton üzemelő rendszernek készült. Az MQTT-bróker névtelen hozzáférést enged, a kamerák önaláírt tanúsítványát a rendszer ellenőrzés nélkül elfogadja, a konténerek nagy része a gazdagép hálózati névterét használja, és a backend hozzáfér a Docker-sockethez. Ezek a döntések a helyi hálózat feltételezésével együtt védhetők; internet felőli kitettség esetén viszont mindegyik önálló sebezhetőséggé válna. Távoli eléréshez a helyes megoldás a rendszer elé helyezett VPN, nem a portátirányítás.</w:t>
      </w:r>
    </w:p>
    <w:p>
      <w:pPr>
        <w:pStyle w:val="Heading2"/>
      </w:pPr>
      <w:r>
        <w:t>Tesztelés és mérési eredmények</w:t>
      </w:r>
    </w:p>
    <w:p>
      <w:pPr/>
      <w:r>
        <w:t>A rendszer valós otthoni hálózati környezetben, több különböző generációjú Android eszközzel került tesztelésre, és a fejlesztés teljes ideje alatt éles, folyamatos üzemben működött. Ez a szakasz a számszerű mérések eredményeit közli.</w:t>
      </w:r>
    </w:p>
    <w:p>
      <w:pPr>
        <w:pStyle w:val="Heading3"/>
      </w:pPr>
      <w:r>
        <w:t>A mérési környezet és a módszertan</w:t>
      </w:r>
    </w:p>
    <w:p>
      <w:pPr/>
      <w:r>
        <w:t>A méréseket a 7. táblázatban leírt gépen végeztem, a teljes rendszer szokásos, konténerizált konfigurációjában.</w:t>
      </w:r>
    </w:p>
    <w:p>
      <w:pPr>
        <w:pStyle w:val="Caption"/>
        <w:keepNext/>
      </w:pPr>
      <w:r>
        <w:t>7. táblázat: A mérési környezet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8"/>
        <w:gridCol w:w="4818"/>
      </w:tblGrid>
      <w:tr>
        <w:trPr>
          <w:cantSplit/>
          <w:tblHeader/>
        </w:trPr>
        <w:tc>
          <w:tcPr>
            <w:tcW w:type="dxa" w:w="4818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Elem</w:t>
            </w:r>
          </w:p>
        </w:tc>
        <w:tc>
          <w:tcPr>
            <w:tcW w:type="dxa" w:w="4818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Érték</w:t>
            </w:r>
          </w:p>
        </w:tc>
      </w:tr>
      <w:tr>
        <w:trPr>
          <w:cantSplit/>
        </w:trPr>
        <w:tc>
          <w:tcPr>
            <w:tcW w:type="dxa" w:w="4818"/>
          </w:tcPr>
          <w:p>
            <w:pPr>
              <w:pStyle w:val="Normalfigure-table"/>
              <w:keepNext/>
            </w:pPr>
            <w:r/>
            <w:r>
              <w:t>Gép</w:t>
            </w:r>
          </w:p>
        </w:tc>
        <w:tc>
          <w:tcPr>
            <w:tcW w:type="dxa" w:w="4818"/>
          </w:tcPr>
          <w:p>
            <w:pPr>
              <w:pStyle w:val="Normalfigure-table"/>
              <w:keepNext/>
            </w:pPr>
            <w:r/>
            <w:r>
              <w:t>ASUS ROG Strix G513QM hordozható munkaállomás</w:t>
            </w:r>
          </w:p>
        </w:tc>
      </w:tr>
      <w:tr>
        <w:trPr>
          <w:cantSplit/>
        </w:trPr>
        <w:tc>
          <w:tcPr>
            <w:tcW w:type="dxa" w:w="4818"/>
          </w:tcPr>
          <w:p>
            <w:pPr>
              <w:pStyle w:val="Normalfigure-table"/>
              <w:keepNext/>
            </w:pPr>
            <w:r/>
            <w:r>
              <w:t>Processzor</w:t>
            </w:r>
          </w:p>
        </w:tc>
        <w:tc>
          <w:tcPr>
            <w:tcW w:type="dxa" w:w="4818"/>
          </w:tcPr>
          <w:p>
            <w:pPr>
              <w:pStyle w:val="Normalfigure-table"/>
              <w:keepNext/>
            </w:pPr>
            <w:r/>
            <w:r>
              <w:t>AMD Ryzen 9 5900HX, 8 mag / 16 szál</w:t>
            </w:r>
          </w:p>
        </w:tc>
      </w:tr>
      <w:tr>
        <w:trPr>
          <w:cantSplit/>
        </w:trPr>
        <w:tc>
          <w:tcPr>
            <w:tcW w:type="dxa" w:w="4818"/>
          </w:tcPr>
          <w:p>
            <w:pPr>
              <w:pStyle w:val="Normalfigure-table"/>
              <w:keepNext/>
            </w:pPr>
            <w:r/>
            <w:r>
              <w:t>Memória</w:t>
            </w:r>
          </w:p>
        </w:tc>
        <w:tc>
          <w:tcPr>
            <w:tcW w:type="dxa" w:w="4818"/>
          </w:tcPr>
          <w:p>
            <w:pPr>
              <w:pStyle w:val="Normalfigure-table"/>
              <w:keepNext/>
            </w:pPr>
            <w:r/>
            <w:r>
              <w:t>15 GiB</w:t>
            </w:r>
          </w:p>
        </w:tc>
      </w:tr>
      <w:tr>
        <w:trPr>
          <w:cantSplit/>
        </w:trPr>
        <w:tc>
          <w:tcPr>
            <w:tcW w:type="dxa" w:w="4818"/>
          </w:tcPr>
          <w:p>
            <w:pPr>
              <w:pStyle w:val="Normalfigure-table"/>
              <w:keepNext/>
            </w:pPr>
            <w:r/>
            <w:r>
              <w:t>GPU</w:t>
            </w:r>
          </w:p>
        </w:tc>
        <w:tc>
          <w:tcPr>
            <w:tcW w:type="dxa" w:w="4818"/>
          </w:tcPr>
          <w:p>
            <w:pPr>
              <w:pStyle w:val="Normalfigure-table"/>
              <w:keepNext/>
            </w:pPr>
            <w:r/>
            <w:r>
              <w:t>NVIDIA GeForce RTX 3060 Laptop, 6 GiB, 595.84 illesztőprogram</w:t>
            </w:r>
          </w:p>
        </w:tc>
      </w:tr>
      <w:tr>
        <w:trPr>
          <w:cantSplit/>
        </w:trPr>
        <w:tc>
          <w:tcPr>
            <w:tcW w:type="dxa" w:w="4818"/>
          </w:tcPr>
          <w:p>
            <w:pPr>
              <w:pStyle w:val="Normalfigure-table"/>
              <w:keepNext/>
            </w:pPr>
            <w:r/>
            <w:r>
              <w:t>Operációs rendszer</w:t>
            </w:r>
          </w:p>
        </w:tc>
        <w:tc>
          <w:tcPr>
            <w:tcW w:type="dxa" w:w="4818"/>
          </w:tcPr>
          <w:p>
            <w:pPr>
              <w:pStyle w:val="Normalfigure-table"/>
              <w:keepNext/>
            </w:pPr>
            <w:r/>
            <w:r>
              <w:t>Ubuntu 24.04.3 LTS</w:t>
            </w:r>
          </w:p>
        </w:tc>
      </w:tr>
      <w:tr>
        <w:trPr>
          <w:cantSplit/>
        </w:trPr>
        <w:tc>
          <w:tcPr>
            <w:tcW w:type="dxa" w:w="4818"/>
          </w:tcPr>
          <w:p>
            <w:pPr>
              <w:pStyle w:val="Normalfigure-table"/>
              <w:keepNext/>
            </w:pPr>
            <w:r/>
            <w:r>
              <w:t>Konténerkörnyezet</w:t>
            </w:r>
          </w:p>
        </w:tc>
        <w:tc>
          <w:tcPr>
            <w:tcW w:type="dxa" w:w="4818"/>
          </w:tcPr>
          <w:p>
            <w:pPr>
              <w:pStyle w:val="Normalfigure-table"/>
              <w:keepNext/>
            </w:pPr>
            <w:r/>
            <w:r>
              <w:t>Docker 28.5.2, Docker Compose v2</w:t>
            </w:r>
          </w:p>
        </w:tc>
      </w:tr>
      <w:tr>
        <w:trPr>
          <w:cantSplit/>
        </w:trPr>
        <w:tc>
          <w:tcPr>
            <w:tcW w:type="dxa" w:w="4818"/>
          </w:tcPr>
          <w:p>
            <w:pPr>
              <w:pStyle w:val="Normalfigure-table"/>
              <w:keepNext/>
            </w:pPr>
            <w:r/>
            <w:r>
              <w:t>Frigate</w:t>
            </w:r>
          </w:p>
        </w:tc>
        <w:tc>
          <w:tcPr>
            <w:tcW w:type="dxa" w:w="4818"/>
          </w:tcPr>
          <w:p>
            <w:pPr>
              <w:pStyle w:val="Normalfigure-table"/>
              <w:keepNext/>
            </w:pPr>
            <w:r/>
            <w:r>
              <w:t>0.17.2, stable-tensorrt image</w:t>
            </w:r>
          </w:p>
        </w:tc>
      </w:tr>
      <w:tr>
        <w:trPr>
          <w:cantSplit/>
        </w:trPr>
        <w:tc>
          <w:tcPr>
            <w:tcW w:type="dxa" w:w="4818"/>
          </w:tcPr>
          <w:p>
            <w:pPr>
              <w:pStyle w:val="Normalfigure-table"/>
              <w:keepNext/>
            </w:pPr>
            <w:r/>
            <w:r>
              <w:t>Detektor</w:t>
            </w:r>
          </w:p>
        </w:tc>
        <w:tc>
          <w:tcPr>
            <w:tcW w:type="dxa" w:w="4818"/>
          </w:tcPr>
          <w:p>
            <w:pPr>
              <w:pStyle w:val="Normalfigure-table"/>
              <w:keepNext/>
            </w:pPr>
            <w:r/>
            <w:r>
              <w:t>ONNX Runtime, yolo-generic modell, 320×320 bemenet, COCO-80 címkekészlet</w:t>
            </w:r>
          </w:p>
        </w:tc>
      </w:tr>
      <w:tr>
        <w:trPr>
          <w:cantSplit/>
        </w:trPr>
        <w:tc>
          <w:tcPr>
            <w:tcW w:type="dxa" w:w="4818"/>
          </w:tcPr>
          <w:p>
            <w:pPr>
              <w:pStyle w:val="Normalfigure-table"/>
              <w:keepNext/>
            </w:pPr>
            <w:r/>
            <w:r>
              <w:t>Backend</w:t>
            </w:r>
          </w:p>
        </w:tc>
        <w:tc>
          <w:tcPr>
            <w:tcW w:type="dxa" w:w="4818"/>
          </w:tcPr>
          <w:p>
            <w:pPr>
              <w:pStyle w:val="Normalfigure-table"/>
              <w:keepNext/>
            </w:pPr>
            <w:r/>
            <w:r>
              <w:t>Python 3.12, FastAPI 0.141</w:t>
            </w:r>
          </w:p>
        </w:tc>
      </w:tr>
      <w:tr>
        <w:trPr>
          <w:cantSplit/>
        </w:trPr>
        <w:tc>
          <w:tcPr>
            <w:tcW w:type="dxa" w:w="4818"/>
          </w:tcPr>
          <w:p>
            <w:pPr>
              <w:pStyle w:val="Normalfigure-table"/>
            </w:pPr>
            <w:r/>
            <w:r>
              <w:t>Kamera-node</w:t>
            </w:r>
          </w:p>
        </w:tc>
        <w:tc>
          <w:tcPr>
            <w:tcW w:type="dxa" w:w="4818"/>
          </w:tcPr>
          <w:p>
            <w:pPr>
              <w:pStyle w:val="Normalfigure-table"/>
            </w:pPr>
            <w:r/>
            <w:r>
              <w:t>Android IP Camera, 1280×720, H.264, HTTPS</w:t>
            </w:r>
          </w:p>
        </w:tc>
      </w:tr>
    </w:tbl>
    <w:p>
      <w:pPr/>
      <w:r>
        <w:t>A mérések során felmerült egy módszertani nehézség. A kameraszám függvényében vizsgált erőforrás-használathoz és a detektor összehasonlító méréséhez minden mérési pontban azonos bemenetre van szükség, különben a mérési pontok különbsége nem a vizsgált változóból ered. Élő telefonokkal ez nem biztosítható: a jelenet, a megvilágítás és így a képsebesség percről percre változik.</w:t>
      </w:r>
    </w:p>
    <w:p>
      <w:pPr/>
      <w:r>
        <w:t>A megoldás az volt, hogy a mérés bemenete egy korábban, ugyanezekről a telefonokról rögzített, valós H.264 felvétel: 1280×720 felbontású, 10 kép/másodperces állomány, amelyet a Frigate minden mérési pontban ugyanúgy, N különálló kameraként dolgoz fel. Így minden mérési pont pontosan azonos bemenetet kap, a mérés pedig bármikor megismételhető, éjjel-nappal, a telefonok állapotától függetlenül.</w:t>
      </w:r>
    </w:p>
    <w:p>
      <w:pPr/>
      <w:r>
        <w:t>A módszer egyetlen eltérése az éles üzemtől, hogy ebben az elrendezésben a Frigate közvetlenül olvassa a felvételt, a go2rtc újracsomagoló lépése nélkül. A go2rtc itt nem kódol újra, csak konténerformátumot vált, így a hozzájárulása kicsi és állandó.</w:t>
      </w:r>
    </w:p>
    <w:p>
      <w:pPr/>
      <w:r>
        <w:t>A mérőszkript (</w:t>
      </w:r>
      <w:r>
        <w:rPr>
          <w:rFonts w:ascii="Consolas" w:hAnsi="Consolas"/>
          <w:sz w:val="19"/>
        </w:rPr>
        <w:t>benchmark/measure.py</w:t>
      </w:r>
      <w:r>
        <w:t>) minden mérési pontban hatvan másodpercen át, kétmásodpercenként mintavételezi a konténerek erőforrás-használatát, és a minták átlagát, maximumát és darabszámát rögzíti; a mérési pontok között a rendszer hatvan másodpercet stabilizálódik.</w:t>
      </w:r>
    </w:p>
    <w:p>
      <w:pPr>
        <w:pStyle w:val="Heading3"/>
      </w:pPr>
      <w:r>
        <w:t>Erőforrás-használat a kameraszám függvényében</w:t>
      </w:r>
    </w:p>
    <w:p>
      <w:pPr/>
      <w:r>
        <w:t>Az első mérés azt vizsgálja, hogyan skálázódik a rendszer erőforrásigénye a bekötött kamerák számával. A mérés nulla kamerával indul – ez adja a rendszer alapterhelését –, majd egytől négy kameráig halad, mérési pontonként hatvan másodperces mintavétellel.</w:t>
      </w:r>
    </w:p>
    <w:p>
      <w:pPr>
        <w:pStyle w:val="Caption"/>
        <w:keepNext/>
      </w:pPr>
      <w:r>
        <w:t>8. táblázat: A konténerek erőforrás-használata a kameraszám függvényében (60 s alatt, 2 s-onként vett minták átlaga)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Kameraszám</w:t>
            </w:r>
          </w:p>
        </w:tc>
        <w:tc>
          <w:tcPr>
            <w:tcW w:type="dxa" w:w="1606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0</w:t>
            </w:r>
          </w:p>
        </w:tc>
        <w:tc>
          <w:tcPr>
            <w:tcW w:type="dxa" w:w="1606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1606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1606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1606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4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frigate — CPU (%)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1,0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11,4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20,0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32,4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43,5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frigate — memória (MiB)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851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1414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1521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1632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1725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backend — CPU (%)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0,40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0,56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0,45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0,61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0,55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backend — memória (MiB)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48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49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50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52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52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fire-detector — CPU (%)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0,40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0,27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0,36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0,33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0,32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fire-detector — memória (MiB)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131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131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131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131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131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mosquitto — CPU (%)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0,04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0,04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0,03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0,03</w:t>
            </w:r>
          </w:p>
        </w:tc>
        <w:tc>
          <w:tcPr>
            <w:tcW w:type="dxa" w:w="1606"/>
          </w:tcPr>
          <w:p>
            <w:pPr>
              <w:pStyle w:val="Normalfigure-table"/>
              <w:keepNext/>
            </w:pPr>
            <w:r/>
            <w:r>
              <w:t>0,03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pStyle w:val="Normalfigure-table"/>
            </w:pPr>
            <w:r/>
            <w:r>
              <w:t>dashboard — CPU (%)</w:t>
            </w:r>
          </w:p>
        </w:tc>
        <w:tc>
          <w:tcPr>
            <w:tcW w:type="dxa" w:w="1606"/>
          </w:tcPr>
          <w:p>
            <w:pPr>
              <w:pStyle w:val="Normalfigure-table"/>
            </w:pPr>
            <w:r/>
            <w:r>
              <w:t>0,00</w:t>
            </w:r>
          </w:p>
        </w:tc>
        <w:tc>
          <w:tcPr>
            <w:tcW w:type="dxa" w:w="1606"/>
          </w:tcPr>
          <w:p>
            <w:pPr>
              <w:pStyle w:val="Normalfigure-table"/>
            </w:pPr>
            <w:r/>
            <w:r>
              <w:t>0,01</w:t>
            </w:r>
          </w:p>
        </w:tc>
        <w:tc>
          <w:tcPr>
            <w:tcW w:type="dxa" w:w="1606"/>
          </w:tcPr>
          <w:p>
            <w:pPr>
              <w:pStyle w:val="Normalfigure-table"/>
            </w:pPr>
            <w:r/>
            <w:r>
              <w:t>0,01</w:t>
            </w:r>
          </w:p>
        </w:tc>
        <w:tc>
          <w:tcPr>
            <w:tcW w:type="dxa" w:w="1606"/>
          </w:tcPr>
          <w:p>
            <w:pPr>
              <w:pStyle w:val="Normalfigure-table"/>
            </w:pPr>
            <w:r/>
            <w:r>
              <w:t>0,01</w:t>
            </w:r>
          </w:p>
        </w:tc>
        <w:tc>
          <w:tcPr>
            <w:tcW w:type="dxa" w:w="1606"/>
          </w:tcPr>
          <w:p>
            <w:pPr>
              <w:pStyle w:val="Normalfigure-table"/>
            </w:pPr>
            <w:r/>
            <w:r>
              <w:t>0,01</w:t>
            </w:r>
          </w:p>
        </w:tc>
      </w:tr>
    </w:tbl>
    <w:p>
      <w:pPr/>
      <w:r>
        <w:t>A mért értékeket a 8. táblázat, a Frigate konténer skálázódását pedig a 18. ábra foglalja össze. Az adatokból három következtetés vonható le.</w:t>
      </w:r>
    </w:p>
    <w:p>
      <w:pPr>
        <w:pStyle w:val="Normalfigure-table"/>
      </w:pPr>
      <w:r>
        <w:drawing>
          <wp:inline xmlns:a="http://schemas.openxmlformats.org/drawingml/2006/main" xmlns:pic="http://schemas.openxmlformats.org/drawingml/2006/picture">
            <wp:extent cx="5577840" cy="204520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45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18. ábra: A Frigate konténer processzor- és memóriahasználata a bekötött kamerák számának függvényében. A processzorterhelés kameránként közel állandó értékkel nő, a memóriaigény pedig az első kamera után gyakorlatilag telítődik.</w:t>
      </w:r>
    </w:p>
    <w:p>
      <w:pPr/>
      <w:r>
        <w:t>Az első, hogy a rendszer alapterhelése elhanyagolható: kamerák nélkül a Frigate processzorhasználata 1 százalék alatt marad; ami mérhető terhelés, az szinte teljes egészében memória – a betöltött modell és a futtatókörnyezet önmagában 851 MiB-ot foglal.</w:t>
      </w:r>
    </w:p>
    <w:p>
      <w:pPr/>
      <w:r>
        <w:t>A második, hogy a processzorterhelés a kameraszámmal lényegében lineárisan nő: 1 kameránál 11,4%, kettőnél 20,0%, háromnál 32,4%, négynél 43,5%. A növekmény kameránként 10,6 százalékpont körül állandó, tehát a rendszer erőforrásigénye előre becsülhető: minden további kamera nagyjából ugyanannyiba kerül. Ez a Frigate felépítéséből következik – kameránként külön dekóder- és detekciós folyamat fut –, és egyben azt is jelzi, hogy a mérési tartományban nincs olyan közös erőforrás, amely torlódást okozna.</w:t>
      </w:r>
    </w:p>
    <w:p>
      <w:pPr/>
      <w:r>
        <w:t>A harmadik, hogy a többi konténer terhelése a kameraszámtól gyakorlatilag független: a backend processzorhasználata minden mérési pontban 1 százalék alatt marad, memóriaigénye 48–50 MiB, a bróker és a webkiszolgáló pedig mérhetetlenül keveset fogyaszt. A rendszer erőforrásigénye tehát egyetlen komponensen, a videófeldolgozáson múlik.</w:t>
      </w:r>
    </w:p>
    <w:p>
      <w:pPr/>
      <w:r>
        <w:t xml:space="preserve">A gyakorlati üzemeltetésre nézve a 43,5 százalékos érték a </w:t>
      </w:r>
      <w:r>
        <w:rPr>
          <w:rFonts w:ascii="Consolas" w:hAnsi="Consolas"/>
          <w:sz w:val="19"/>
        </w:rPr>
        <w:t>docker stats</w:t>
      </w:r>
      <w:r>
        <w:t xml:space="preserve"> konvenciója szerint egyetlen processzormag terheléséhez viszonyítva értendő, tehát négy kamera a tizenhat szálas gép kapacitásának alig 2,7 százalékát köti le. A rendszer szűk keresztmetszete ezen a ponton nem a processzor, hanem a detektor átbocsátóképessége és a lemez írási sávszélessége.</w:t>
      </w:r>
    </w:p>
    <w:p>
      <w:pPr>
        <w:pStyle w:val="Heading3"/>
      </w:pPr>
      <w:r>
        <w:t>Detektálási sebesség: GPU-gyorsítás és processzoros futtatás</w:t>
      </w:r>
    </w:p>
    <w:p>
      <w:pPr/>
      <w:r>
        <w:t>A második mérés a hardveres gyorsítás hatását vizsgálja a detektálási sebességre. Az összehasonlítás tisztaságát az biztosítja, hogy a két futtatás mindenben megegyezik – azonos modell, bemenet, kameraszám és detekciós felbontás –, és kizárólag a detektor futtatási eszköze tér el.</w:t>
      </w:r>
    </w:p>
    <w:p>
      <w:pPr/>
      <w:r>
        <w:t>A mérés egy további beavatkozást igényelt: az alapbeállítás szerinti mozgásmaszk mellett a detektor túl ritkán szólal meg ahhoz, hogy a következtetési idő megbízhatóan mérhető legyen, ezért a mérés idejére a mozgásküszöb a lehető legalacsonyabbra került, hogy a detektor gyakorlatilag minden képkockán lefusson.</w:t>
      </w:r>
    </w:p>
    <w:p>
      <w:pPr/>
      <w:r>
        <w:t>A mérést egy másik felvételrészletből épített bemenettel meg is ismételtem. A következtetési idők nagyságrendje változatlan maradt – GPU-n 7,4, processzoron 36,4 ezredmásodperc –, a két eszköz aránya viszont 4,9-szeres lett a 9. táblázatban közölt 7,8-szeres helyett, mert a telítetlen futáson a GPU-s következtetési idő volt a magasabb. A második futás bemenetén ugyanis lényegesen kevesebb mozgás volt, így a detektor nem telítődött, és a másodpercenkénti detektálásszám nem jellemezte a kapacitást. A táblázat ezért a telített futás adatait közli; mindkét futás nyers adatai megtalálhatók az elektronikus mellékletben.</w:t>
      </w:r>
    </w:p>
    <w:p>
      <w:pPr>
        <w:pStyle w:val="Caption"/>
        <w:keepNext/>
      </w:pPr>
      <w:r>
        <w:t>9. táblázat: A detektor következtetési ideje GPU-gyorsítással és processzoron (azonos modell, azonos bemenet, 3 kamera, telített detektor)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Mutató</w:t>
            </w:r>
          </w:p>
        </w:tc>
        <w:tc>
          <w:tcPr>
            <w:tcW w:type="dxa" w:w="3212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GPU (ONNX Runtime, CUDA)</w:t>
            </w:r>
          </w:p>
        </w:tc>
        <w:tc>
          <w:tcPr>
            <w:tcW w:type="dxa" w:w="3212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Processzor (ONNX Runtime, CPU)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Következtetési idő képkockánként (ms)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5,54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43,12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Legnagyobb mért következtetési idő (ms)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5,57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47,07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Összesített detekciós képsebesség (kép/s)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15,68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14,07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</w:pPr>
            <w:r/>
            <w:r>
              <w:t>Elméleti detekciós felső korlát (kép/s)</w:t>
            </w:r>
          </w:p>
        </w:tc>
        <w:tc>
          <w:tcPr>
            <w:tcW w:type="dxa" w:w="3212"/>
          </w:tcPr>
          <w:p>
            <w:pPr>
              <w:pStyle w:val="Normalfigure-table"/>
            </w:pPr>
            <w:r/>
            <w:r>
              <w:t>180,5</w:t>
            </w:r>
          </w:p>
        </w:tc>
        <w:tc>
          <w:tcPr>
            <w:tcW w:type="dxa" w:w="3212"/>
          </w:tcPr>
          <w:p>
            <w:pPr>
              <w:pStyle w:val="Normalfigure-table"/>
            </w:pPr>
            <w:r/>
            <w:r>
              <w:t>23,2</w:t>
            </w:r>
          </w:p>
        </w:tc>
      </w:tr>
    </w:tbl>
    <w:p>
      <w:pPr/>
      <w:r>
        <w:t>A 9. táblázat szerint a GPU-gyorsítás a képkockánkénti következtetési időt 43,12 ezredmásodpercről 5,54 ezredmásodpercre csökkenti – ez 7,8-szeres gyorsulás, azonos modellel és azonos bemenettel. Három értelmezési megjegyzés kívánkozik mellé.</w:t>
      </w:r>
    </w:p>
    <w:p>
      <w:pPr/>
      <w:r>
        <w:t>Az első, hogy a processzoros futtatás nem használhatatlan – csak a kiszolgálható kameraszámot korlátozza. A detektor egyetlen, sorosított erőforrás: ha egy képkocka feldolgozása n ezredmásodperc, akkor a rendszer másodpercenként legfeljebb 1000/n detektálást tud elvégezni, függetlenül attól, hány kamera kéri, és ez az érték oszlik szét a kamerák között. A mért értékekből ez processzoron 23,2, GPU-n 180,5 detektálás másodpercenként.</w:t>
      </w:r>
    </w:p>
    <w:p>
      <w:pPr/>
      <w:r>
        <w:t>A második, hogy ezt a korlátot a mérés éppen elérte, de nem lépte túl: három kamera 5 kép/másodperces detekcióval 15 detektálást igényel másodpercenként, ebből a processzoros futtatás 14,07-et, a GPU-s 15,68-at teljesített. A 23,2-es elméleti korlát azt is megmutatja, hogy a processzor négy-öt kameránál telítődne, míg a GPU ugyanezen a beállításon több mint harminc kamerát is kiszolgálna.</w:t>
      </w:r>
    </w:p>
    <w:p>
      <w:pPr/>
      <w:r>
        <w:t>A harmadik, hogy a mérési gép processzora tizenhat szálas, tehát viszonylag erős. Egy tipikus, alacsony fogyasztású mini PC-n a processzoros érték ennél lényegesen rosszabb lenne, ami a GPU – vagy alternatívaként egy Coral típusú célhardver – melletti érvet tovább erősíti.</w:t>
      </w:r>
    </w:p>
    <w:p>
      <w:pPr/>
      <w:r>
        <w:t>A mérés gyakorlati tanulsága, hogy az alapértelmezett konfiguráció szándékosan processzoros detektorral indul – az minden gépen működik –, a GPU-gyorsítás pedig a beállítások felületén, egyetlen legördülő menüből kapcsolható be.</w:t>
      </w:r>
    </w:p>
    <w:p>
      <w:pPr>
        <w:pStyle w:val="Heading3"/>
      </w:pPr>
      <w:r>
        <w:t>Eseménykésleltetés és az állapotfigyelés pontossága</w:t>
      </w:r>
    </w:p>
    <w:p>
      <w:pPr/>
      <w:r>
        <w:t>A harmadik mérés a rendszer valós idejű viselkedését vizsgálja két mutatón: az állapotfigyelő hurok periódusának tényleges szórásán, és a rendszer saját eseményátjátszási késleltetésén – azon, hogy mennyi idő telik el az esemény brókerre érkezésétől a böngészőben nyitott WebSocket-kapcsolaton történő megérkezéséig.</w:t>
      </w:r>
    </w:p>
    <w:p>
      <w:pPr/>
      <w:r>
        <w:t>A második mutató méréséhez szintetikus, a Frigate üzenetformátumával megegyező eseményeket publikáltam a brókerre. Ez fontos módszertani pont: a mért érték kizárólag a rendszer saját átjátszási láncát – bróker, backend feldolgozás, WebSocket-továbbítás – jellemzi, és nem tartalmazza a Frigate detektálási idejét. Ez a szétválasztás szándékos: a detektálási időt a 3.6.3. szakasz méri külön, az átjátszási lánc pedig az, amiért a jelen munka felelős.</w:t>
      </w:r>
    </w:p>
    <w:p>
      <w:pPr>
        <w:pStyle w:val="Caption"/>
        <w:keepNext/>
      </w:pPr>
      <w:r>
        <w:t>10. táblázat: Az állapotfigyelő hurok periódusa és az MQTT → WebSocket átjátszási késleltetés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8"/>
        <w:gridCol w:w="4818"/>
      </w:tblGrid>
      <w:tr>
        <w:trPr>
          <w:cantSplit/>
          <w:tblHeader/>
        </w:trPr>
        <w:tc>
          <w:tcPr>
            <w:tcW w:type="dxa" w:w="4818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Mutató</w:t>
            </w:r>
          </w:p>
        </w:tc>
        <w:tc>
          <w:tcPr>
            <w:tcW w:type="dxa" w:w="4818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Érték</w:t>
            </w:r>
          </w:p>
        </w:tc>
      </w:tr>
      <w:tr>
        <w:trPr>
          <w:cantSplit/>
        </w:trPr>
        <w:tc>
          <w:tcPr>
            <w:tcW w:type="dxa" w:w="4818"/>
          </w:tcPr>
          <w:p>
            <w:pPr>
              <w:pStyle w:val="Normalfigure-table"/>
              <w:keepNext/>
            </w:pPr>
            <w:r/>
            <w:r>
              <w:t>Az állapotfigyelő hurok átlagos periódusa (s)</w:t>
            </w:r>
          </w:p>
        </w:tc>
        <w:tc>
          <w:tcPr>
            <w:tcW w:type="dxa" w:w="4818"/>
          </w:tcPr>
          <w:p>
            <w:pPr>
              <w:pStyle w:val="Normalfigure-table"/>
              <w:keepNext/>
            </w:pPr>
            <w:r/>
            <w:r>
              <w:t>7,842</w:t>
            </w:r>
          </w:p>
        </w:tc>
      </w:tr>
      <w:tr>
        <w:trPr>
          <w:cantSplit/>
        </w:trPr>
        <w:tc>
          <w:tcPr>
            <w:tcW w:type="dxa" w:w="4818"/>
          </w:tcPr>
          <w:p>
            <w:pPr>
              <w:pStyle w:val="Normalfigure-table"/>
              <w:keepNext/>
            </w:pPr>
            <w:r/>
            <w:r>
              <w:t>A periódus szórása (s)</w:t>
            </w:r>
          </w:p>
        </w:tc>
        <w:tc>
          <w:tcPr>
            <w:tcW w:type="dxa" w:w="4818"/>
          </w:tcPr>
          <w:p>
            <w:pPr>
              <w:pStyle w:val="Normalfigure-table"/>
              <w:keepNext/>
            </w:pPr>
            <w:r/>
            <w:r>
              <w:t>1,945</w:t>
            </w:r>
          </w:p>
        </w:tc>
      </w:tr>
      <w:tr>
        <w:trPr>
          <w:cantSplit/>
        </w:trPr>
        <w:tc>
          <w:tcPr>
            <w:tcW w:type="dxa" w:w="4818"/>
          </w:tcPr>
          <w:p>
            <w:pPr>
              <w:pStyle w:val="Normalfigure-table"/>
              <w:keepNext/>
            </w:pPr>
            <w:r/>
            <w:r>
              <w:t>Átjátszási késleltetés — átlag (ms)</w:t>
            </w:r>
          </w:p>
        </w:tc>
        <w:tc>
          <w:tcPr>
            <w:tcW w:type="dxa" w:w="4818"/>
          </w:tcPr>
          <w:p>
            <w:pPr>
              <w:pStyle w:val="Normalfigure-table"/>
              <w:keepNext/>
            </w:pPr>
            <w:r/>
            <w:r>
              <w:t>0,7</w:t>
            </w:r>
          </w:p>
        </w:tc>
      </w:tr>
      <w:tr>
        <w:trPr>
          <w:cantSplit/>
        </w:trPr>
        <w:tc>
          <w:tcPr>
            <w:tcW w:type="dxa" w:w="4818"/>
          </w:tcPr>
          <w:p>
            <w:pPr>
              <w:pStyle w:val="Normalfigure-table"/>
              <w:keepNext/>
            </w:pPr>
            <w:r/>
            <w:r>
              <w:t>Átjátszási késleltetés — 95. percentilis (ms)</w:t>
            </w:r>
          </w:p>
        </w:tc>
        <w:tc>
          <w:tcPr>
            <w:tcW w:type="dxa" w:w="4818"/>
          </w:tcPr>
          <w:p>
            <w:pPr>
              <w:pStyle w:val="Normalfigure-table"/>
              <w:keepNext/>
            </w:pPr>
            <w:r/>
            <w:r>
              <w:t>1,2</w:t>
            </w:r>
          </w:p>
        </w:tc>
      </w:tr>
      <w:tr>
        <w:trPr>
          <w:cantSplit/>
        </w:trPr>
        <w:tc>
          <w:tcPr>
            <w:tcW w:type="dxa" w:w="4818"/>
          </w:tcPr>
          <w:p>
            <w:pPr>
              <w:pStyle w:val="Normalfigure-table"/>
              <w:keepNext/>
            </w:pPr>
            <w:r/>
            <w:r>
              <w:t>Illesztett eseménypárok száma</w:t>
            </w:r>
          </w:p>
        </w:tc>
        <w:tc>
          <w:tcPr>
            <w:tcW w:type="dxa" w:w="4818"/>
          </w:tcPr>
          <w:p>
            <w:pPr>
              <w:pStyle w:val="Normalfigure-table"/>
              <w:keepNext/>
            </w:pPr>
            <w:r/>
            <w:r>
              <w:t>29</w:t>
            </w:r>
          </w:p>
        </w:tc>
      </w:tr>
      <w:tr>
        <w:trPr>
          <w:cantSplit/>
        </w:trPr>
        <w:tc>
          <w:tcPr>
            <w:tcW w:type="dxa" w:w="4818"/>
          </w:tcPr>
          <w:p>
            <w:pPr>
              <w:pStyle w:val="Normalfigure-table"/>
            </w:pPr>
            <w:r/>
            <w:r>
              <w:t>A mérés hossza (s)</w:t>
            </w:r>
          </w:p>
        </w:tc>
        <w:tc>
          <w:tcPr>
            <w:tcW w:type="dxa" w:w="4818"/>
          </w:tcPr>
          <w:p>
            <w:pPr>
              <w:pStyle w:val="Normalfigure-table"/>
            </w:pPr>
            <w:r/>
            <w:r>
              <w:t>120</w:t>
            </w:r>
          </w:p>
        </w:tc>
      </w:tr>
    </w:tbl>
    <w:p>
      <w:pPr/>
      <w:r>
        <w:t>Az eredmény a 10. táblázatban látható. Az átjátszási lánc átlagos késleltetése 0,7 ezredmásodperc, a 95. percentilis 1,2 ezredmásodperc; a harminc publikált eseményből huszonkilenc érkezett meg a WebSocket-kliensig, az egyetlen illesztetlen esemény a mérési ablak határára esett. Ez a nagyságrend a felületen érzékelhetetlen, és visszaigazolja a push-alapú közvetítés melletti döntést: egy egy másodperces periódusú lekérdezés ugyanezt átlagosan félmásodpercre növelte volna, ráadásul üresjárati terhelés árán.</w:t>
      </w:r>
    </w:p>
    <w:p>
      <w:pPr/>
      <w:r>
        <w:t>Az állapotfigyelő hurok mért periódusa 7,84 másodperc, 1,95 másodperces szórással, négy nyilvántartott node mellett. Az öt másodperces névleges értéket tehát átlagosan 2,84 másodperccel lépi túl, ami a kamerák lekérdezési körének ideje: a hurok sorosan kérdezi le a node-okat, majd a teljes kör után vár öt másodpercet, így a tényleges periódus a névleges érték és a kör hosszának összege.</w:t>
      </w:r>
    </w:p>
    <w:p>
      <w:pPr/>
      <w:r>
        <w:t>A többlet szinte teljes egészében egyetlen forrásból származik: a mérés idején a négy node egyike nem válaszolt, és annak lekérdezése minden körben kimerítette a kétmásodperces időkorlátot, míg a három elérhető node együtt is néhány száz ezredmásodperc alatt válaszolt. Ez magyarázza a szórást is, és egyben egy tervezési korlátot tesz számszerűvé: a soros lekérdezés a nem elérhető node-ok számával rontja a hurok periódusát, tehát az állapotváltozás felismerésének késleltetése is ezzel arányosan nő. A javítás iránya a lekérdezés párhuzamosítása; a jelenlegi kameraszámnál viszont nem jelent szűk keresztmetszetet.</w:t>
      </w:r>
    </w:p>
    <w:p>
      <w:pPr>
        <w:pStyle w:val="Heading3"/>
      </w:pPr>
      <w:r>
        <w:t>Az élőkép architektúrájának mérése</w:t>
      </w:r>
    </w:p>
    <w:p>
      <w:pPr/>
      <w:r>
        <w:t>A negyedik mérés a 3.5.3. szakaszban ismertetett architektúraváltást igazolja, ugyanazon a rendszeren, ugyanazokkal a kamerákkal, egyetlen néző mellett.</w:t>
      </w:r>
    </w:p>
    <w:p>
      <w:pPr>
        <w:pStyle w:val="Caption"/>
        <w:keepNext/>
      </w:pPr>
      <w:r>
        <w:t>11. táblázat: Az élőkép két megvalósításának összehasonlítása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Szempont</w:t>
            </w:r>
          </w:p>
        </w:tc>
        <w:tc>
          <w:tcPr>
            <w:tcW w:type="dxa" w:w="3212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MJPEG-proxy (korábbi)</w:t>
            </w:r>
          </w:p>
        </w:tc>
        <w:tc>
          <w:tcPr>
            <w:tcW w:type="dxa" w:w="3212"/>
            <w:shd w:val="clear" w:color="auto" w:fill="BFBFBF"/>
          </w:tcPr>
          <w:p>
            <w:pPr>
              <w:pStyle w:val="Normalfigure-table"/>
              <w:keepNext/>
            </w:pPr>
            <w:r>
              <w:rPr>
                <w:b/>
              </w:rPr>
            </w:r>
            <w:r>
              <w:rPr>
                <w:b/>
              </w:rPr>
              <w:t>go2rtc MSE (jelenlegi)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Megjelenített felbontás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640×360 (a detekciós méret)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1280×720 (a telefon natív mérete)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Képfrissítés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3,5 kép/s (a detekciós képsebességhez kötve)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A telefon képsebessége, a detekciótól függetlenül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Frigate processzorterhelése nézőnként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+26 százalékpont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+2 százalékpont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Végponttól végpontig mért késleltetés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Nem mérve; szemmel láthatóan magasabb</w:t>
            </w:r>
          </w:p>
        </w:tc>
        <w:tc>
          <w:tcPr>
            <w:tcW w:type="dxa" w:w="3212"/>
          </w:tcPr>
          <w:p>
            <w:pPr>
              <w:pStyle w:val="Normalfigure-table"/>
              <w:keepNext/>
            </w:pPr>
            <w:r/>
            <w:r>
              <w:t>0,03–0,07 s</w:t>
            </w:r>
          </w:p>
        </w:tc>
      </w:tr>
      <w:tr>
        <w:trPr>
          <w:cantSplit/>
        </w:trPr>
        <w:tc>
          <w:tcPr>
            <w:tcW w:type="dxa" w:w="3212"/>
          </w:tcPr>
          <w:p>
            <w:pPr>
              <w:pStyle w:val="Normalfigure-table"/>
            </w:pPr>
            <w:r/>
            <w:r>
              <w:t>Szerveroldali újrakódolás</w:t>
            </w:r>
          </w:p>
        </w:tc>
        <w:tc>
          <w:tcPr>
            <w:tcW w:type="dxa" w:w="3212"/>
          </w:tcPr>
          <w:p>
            <w:pPr>
              <w:pStyle w:val="Normalfigure-table"/>
            </w:pPr>
            <w:r/>
            <w:r>
              <w:t>JPEG-kódolás nézőnként</w:t>
            </w:r>
          </w:p>
        </w:tc>
        <w:tc>
          <w:tcPr>
            <w:tcW w:type="dxa" w:w="3212"/>
          </w:tcPr>
          <w:p>
            <w:pPr>
              <w:pStyle w:val="Normalfigure-table"/>
            </w:pPr>
            <w:r/>
            <w:r>
              <w:t>Nincs, csak konténerformátum-váltás</w:t>
            </w:r>
          </w:p>
        </w:tc>
      </w:tr>
    </w:tbl>
    <w:p>
      <w:pPr/>
      <w:r>
        <w:t>A 11. táblázat legfontosabb sora a processzorterhelés: a korábbi megoldás minden egyes megnyitott kamerakártyáért egy teljes JPEG-kódolót futtatott, tehát négy egyszerre nézett kamera önmagában több mint egy processzormagnyi terhelést jelentett – ráadásul azért, hogy a felhasználó a rögzítettnél rosszabb minőségű képet lásson. A jelenlegi megoldásban a szerver nem kódol, csak továbbít, így a nézők száma gyakorlatilag nem befolyásolja a szerver terhelését.</w:t>
      </w:r>
    </w:p>
    <w:p>
      <w:pPr>
        <w:pStyle w:val="Heading3"/>
      </w:pPr>
      <w:r>
        <w:t>A képsebesség fényfüggése – a telefonoldali korlát</w:t>
      </w:r>
    </w:p>
    <w:p>
      <w:pPr/>
      <w:r>
        <w:t>Az ötödik mérés a rendszer egyik legfontosabb, ugyanakkor a legkevésbé nyilvánvaló korlátját dokumentálja. Az élőkép képsebessége nem a szervertől, nem a hálózattól és nem a beállított értéktől függ, hanem a kamera előtti megvilágítástól.</w:t>
      </w:r>
    </w:p>
    <w:p>
      <w:pPr/>
      <w:r>
        <w:t>Az Android automatikus expozíciója [29] gyenge fényben megnöveli az expozíciós időt, hogy a kép ne legyen alulexponált. A hosszabb expozíció viszont fizikai korlátot szab a másodpercenkénti képkockaszámnak: ha egy képkocka rögzítése 300 ezredmásodpercig tart, másodpercenként legfeljebb három képkocka állítható elő – függetlenül attól, mit kér a szerver.</w:t>
      </w:r>
    </w:p>
    <w:p>
      <w:pPr/>
      <w:r>
        <w:t>A jelenség egy node zseblámpájának ki- és bekapcsolásával reprodukálható, mert a rendszer a valós, mért képsebességet a kamerakártyán megjeleníti: sötétben 3,3 kép/másodperc, a zseblámpa bekapcsolása után – változatlan jelenet és szerveroldali beállítások mellett – 11,3 kép/másodperc.</w:t>
      </w:r>
    </w:p>
    <w:p>
      <w:pPr>
        <w:pStyle w:val="Normalfigure-table"/>
      </w:pPr>
      <w:r>
        <w:drawing>
          <wp:inline xmlns:a="http://schemas.openxmlformats.org/drawingml/2006/main" xmlns:pic="http://schemas.openxmlformats.org/drawingml/2006/picture">
            <wp:extent cx="5577840" cy="3751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5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19. ábra: A képsebesség fényfüggése ugyanazon a node-on. A kártya bal alsó sarkában megjelenő, ténylegesen mért képsebesség sötétben 3,3 kép/s, a zseblámpa bekapcsolása után 11,3 kép/s – a jelenet és minden szerveroldali beállítás változatlan.</w:t>
      </w:r>
    </w:p>
    <w:p>
      <w:pPr/>
      <w:r>
        <w:t>A 19. ábra ugyanazt a kamerát mutatja a zseblámpa kikapcsolt és bekapcsolt állapotában. A következtetés egyértelmű: ez a korlát szerveroldalról nem kezelhető, mert a képkockák elő sem állnak. Aki telefonalapú kamerarendszert épít, annak a megvilágításról külön kell gondoskodnia – éjszakai üzemben ez a rendszer legfontosabb gyakorlati korlátja.</w:t>
      </w:r>
    </w:p>
    <w:p>
      <w:pPr/>
      <w:r>
        <w:t>Ugyanez a hatás magyarázza, miért fontos, hogy a rendszer a *ténylegesen mért* képsebességet jelenítse meg a beállított érték helyett. A beállított érték a felhasználót félrevezetné: azt sugallná, hogy a rendszer huszonöt képet ad másodpercenként, miközben ténylegesen hármat.</w:t>
      </w:r>
    </w:p>
    <w:p>
      <w:pPr>
        <w:pStyle w:val="Heading3"/>
      </w:pPr>
      <w:r>
        <w:t>Megfigyelt hibamódok</w:t>
      </w:r>
    </w:p>
    <w:p>
      <w:pPr/>
      <w:r>
        <w:t>A folyamatos, éles üzemű tesztelés több olyan hibamódot is felszínre hozott, amelyek megléte a rendszer megbízhatóságának reális megítéléséhez tartozik.</w:t>
      </w:r>
    </w:p>
    <w:p>
      <w:pPr/>
      <w:r>
        <w:t>A leggyakoribb hibamód a kamera-node váratlan elérhetetlensége. Ez a rendszer szempontjából nem hiba, hanem üzemszerű állapot: az állapotfigyelő hurok néhány másodpercen belül észleli, a felület egyértelműen jelzi, a többi node pedig zavartalanul működik tovább.</w:t>
      </w:r>
    </w:p>
    <w:p>
      <w:pPr/>
      <w:r>
        <w:t>A második, alattomosabb hibamód a telefon videókódolójának elakadása. Ilyenkor a készülék hálózatilag elérhető marad – az állapotleíró válaszol, a node „online" –, a H.264 végpont viszont üres választ ad, és a Frigate ffmpeg-folyamata újraindulási hurokba kerül. A jelenlegi állapotfigyelés ezt nem ismeri fel, mert az elérhetőséget az állapotleíróval méri, nem a videófolyammal; a felület közvetve mégis jelzi, mert a kamerakártya képsebessége nullára esik. A megbízható felismeréshez a folyam meglétét is figyelni kellene.</w:t>
      </w:r>
    </w:p>
    <w:p>
      <w:pPr/>
      <w:r>
        <w:t>A harmadik hibamód a tűzdetektor téves riasztása gyenge fényben: a modell éjszakai, erősen zajos képeken füstöt jelez ott, ahol nincs. Az ok feltehetően az, hogy a nagy erősítéssel készült képen a szenzorzaj textúrája statisztikailag hasonlít arra, amit a modell füstként tanult meg.</w:t>
      </w:r>
    </w:p>
    <w:p>
      <w:pPr/>
      <w:r>
        <w:t>A hibamód a küszöb megemelésével kezelhető volt. A detektor eseménynaplójában rögzített találatok átnézése azt mutatta, hogy az eredeti ötven és a nyolcvan százalék közötti sávba eső detektálások lényegében kivétel nélkül tévesek voltak, míg a valódi lángra adott találatok pontszáma – a mért esetekben 82 és 86 százalék között – ezt a sávot meghaladta. A küszöb nyolcvan százalékra emelése után a téves éjszakai riasztások megszűntek, valódi találat elvesztése nélkül. Ez a küszöb a jelen telepítés kameráira illeszkedik, általános érvényűnek nem tekinthető; a robusztusabb megoldás a képfényesség alapján váltó, külön éjszakai küszöb volna.</w:t>
      </w:r>
    </w:p>
    <w:p>
      <w:pPr>
        <w:pStyle w:val="Heading2"/>
      </w:pPr>
      <w:r>
        <w:t>A megoldás korlátai</w:t>
      </w:r>
    </w:p>
    <w:p>
      <w:pPr/>
      <w:r>
        <w:t>Az alábbi korlátok mindegyike tudatosan vállalt kompromisszum vagy azonosított hiányosság, nem pedig felderítetlen hiba.</w:t>
      </w:r>
    </w:p>
    <w:p>
      <w:pPr/>
      <w:r>
        <w:t>A biztonsági modell a megbízható helyi hálózat feltételezésére épül – a 3.5.9. szakaszban felsorolt döntések mindegyike ebből ered, és a rendszer közvetlen internetes kitettsége mindegyiket sebezhetőséggé változtatná.</w:t>
      </w:r>
    </w:p>
    <w:p>
      <w:pPr/>
      <w:r>
        <w:t>A rendszer állapota a memóriában él. A kameralista minden induláskor a Frigate konfigurációjából épül újra, ami egyetlen csomópontra és kis kameraszámra megfelelő, de kizárja a többcsomópontos üzemet és a hosszabb távú állapottörténet vezetését.</w:t>
      </w:r>
    </w:p>
    <w:p>
      <w:pPr/>
      <w:r>
        <w:t>A kamera-node megbízhatósága a telefontól függ, és a rendszer csak azt látja belőle, amit a rajta futó alkalmazás megmutat: az Android energiagazdálkodása leállíthatja az alkalmazást, a videókódoló elakadhat, távoli helyreállításra nincs mód, a protokollcserével pedig a töltési állapot jelzése is elveszett.</w:t>
      </w:r>
    </w:p>
    <w:p>
      <w:pPr/>
      <w:r>
        <w:t>A tűzdetekciós modell nem saját betanítású, hanem nyilvánosan elérhető súlykészlet, tehát viselkedése nem a jelen telepítés körülményeire optimalizált – ez okozza a gyenge fényben tapasztalt téves riasztásokat.</w:t>
      </w:r>
    </w:p>
    <w:p>
      <w:pPr/>
      <w:r>
        <w:t>Végül a rendszer jelenleg a telefon szenzorai közül gyakorlatilag csak a kamerát és az akkumulátor-, illetve Wi-Fi-állapotot használja. A mikrofon, a gyorsulásmérő és a giroszkóp mint eseményforrás nincs bevonva, holott az architektúra – az MQTT-alapú, szétcsatolt eseményközvetítés miatt – ezek fogadására különösebb átalakítás nélkül alkalmas lenne.</w:t>
      </w:r>
    </w:p>
    <w:p>
      <w:pPr>
        <w:pStyle w:val="Heading2"/>
      </w:pPr>
      <w:r>
        <w:t>Tapasztalatok és tanulságok</w:t>
      </w:r>
    </w:p>
    <w:p>
      <w:pPr/>
      <w:r>
        <w:t>A rendszer minden lényeges eleme elkészült és éles üzemben működik, a fejlesztés során szerzett tapasztalatok viszont önmagukban is a munka eredményéhez tartoznak. Három olyan tanulság van, amely a következő hasonló projektemet biztosan meghatározza.</w:t>
      </w:r>
    </w:p>
    <w:p>
      <w:pPr/>
      <w:r>
        <w:t>Az első, hogy a kamera-node fekete doboz maradt. Egy kész, idegen alkalmazásra épülő node esetén nem én döntöm el, milyen adat érhető el róla és milyen formában: a protokollcserével elveszett a töltési állapot, a videókódoló elakadását pedig azért nem tudom megbízhatóan felismerni, mert az alkalmazás elérhetőnek mutatja magát akkor is, amikor már nem ad képet. A távoli újraindításra sincs mód, mert az alkalmazás nem kínál rá felületet. Ezek nem megvalósítási hibák, hanem annak a döntésnek a következményei, hogy a node-oldalt készen kaptam.</w:t>
      </w:r>
    </w:p>
    <w:p>
      <w:pPr/>
      <w:r>
        <w:t>A második, hogy minden újrakódolást végző réteg rejtett költséget hoz magával, és ez a költség jellemzően nem ott jelentkezik, ahol az ember keresi. A forgatás miatt beiktatott átkódolás az időbélyegek elvesztésén keresztül a detekciót állította le úgy, hogy közben a felvétel zavartalanul készült; a felderítésből érkező, rossz felbontásérték pedig a mozgásdetektálást skálázta fel akkora képre, hogy egyetlen kamera közel háromszáz százalék processzoridőt evett. Mindkét hiba kifelé alig látszott, és mindkettőt mérés hozta felszínre, nem szemrevételezés.</w:t>
      </w:r>
    </w:p>
    <w:p>
      <w:pPr/>
      <w:r>
        <w:t>A harmadik, hogy a mérés a tervezés része, nem az utólagos igazolásé. Az élőkép architektúrájának cseréje, a detektor GPU-ra terelése és a tűzriasztási küszöb megválasztása egyaránt olyan döntés volt, amelyet szemre nem lehetett eldönteni; a végleges értékeket minden esetben a mért adat adta.</w:t>
      </w:r>
    </w:p>
    <w:p>
      <w:pPr/>
      <w:r>
        <w:t>Ha ma kezdeném a munkát, a kamera-node oldalát magam írnám meg, és a saját alkalmazás két dolgot csinálna másképp. Egyrészt nem nyers H.264 elemi folyamot adna HTTP-n, hanem szabványos RTSP-kiszolgálót futtatna: a folyam így saját, helyes időbélyegekkel érkezne, ami egyben feleslegessé tenné az időbélyeg-pótló ffmpeg-presetet és a nyers folyam RTSP-vé csomagolását is. Másrészt a képet már a kódolás előtt, a telefon oldalán forgatná el, a rögzítési lánc részeként – ekkor a szerverre eleve a kívánt tájolású, teljes felbontású kép érkezne, és a 3.5.4. szakaszban tárgyalt teljes problémakör – a szerveroldali újrakódolás, annak processzorköltsége és az időbélyegek elvesztése – meg sem jelenne. Ehhez járulna a teljes telemetria a töltési állapottal együtt, valamint egy távolról vezérelhető felügyeleti funkció, amely a beragadt kódolót újraindítja; ez a fennmaradó hibamódok többségét is megszüntetné.</w:t>
      </w:r>
    </w:p>
    <w:p>
      <w:pPr/>
      <w:r>
        <w:t>A választás mégis tudatos volt: egy kész, nyílt forráskódú alkalmazásra építve a rendszer bármely telefonon, saját alkalmazás terjesztése és karbantartása nélkül használható, a munka súlypontja pedig a szerveroldali integráción maradhatott – és ezt az irányt szerettem volna végigvinni.</w:t>
      </w:r>
    </w:p>
    <w:p>
      <w:pPr>
        <w:pStyle w:val="Heading1"/>
        <w:numPr>
          <w:ilvl w:val="0"/>
          <w:numId w:val="1"/>
        </w:numPr>
        <w:rPr>
          <w:lang w:val="hu-HU"/>
        </w:rPr>
      </w:pPr>
      <w:bookmarkStart w:id="27" w:name="__RefHeading___Toc1071_4218380707"/>
      <w:bookmarkStart w:id="28" w:name="_Toc128138401"/>
      <w:bookmarkStart w:id="29" w:name="_Toc111040409"/>
      <w:bookmarkEnd w:id="27"/>
      <w:r>
        <w:rPr>
          <w:lang w:val="hu-HU"/>
        </w:rPr>
        <w:t>Összegzés</w:t>
      </w:r>
      <w:bookmarkEnd w:id="28"/>
      <w:bookmarkEnd w:id="29"/>
    </w:p>
    <w:p>
      <w:pPr>
        <w:pStyle w:val="Normal"/>
        <w:rPr>
          <w:lang w:val="hu-HU"/>
        </w:rPr>
      </w:pPr>
      <w:r>
        <w:rPr/>
        <w:t>A szakdolgozat célja egy felhőfüggetlen, lokális hálózaton működő, mesterséges intelligenciával támogatott kamerarendszer (SwarmCam) tervezése és megvalósítása volt, amely feleslegessé vált Android okostelefonokat integrál dedikált kamerahardver nélkül. A megvalósítás igazolta, hogy egy hálózati felderítésre, konténerizált mikroszolgáltatásokra (Frigate, saját FastAPI backend, önálló YOLO-alapú tűzdetektor) és eseményvezérelt kommunikációra (MQTT, WebSocket) épülő architektúra alkalmas ilyen heterogén, régi eszközökből álló megfigyelőhálózat kiszolgálására. A felderítés azt a lépést váltja ki, amely a hagyományos NVR-eknél kameránként kézi munkát jelent: a node címét, elérési útját és paramétereit nem kell a rögzítő konfigurációjába írni. Ez azonban nem konfigurációmentes üzemet jelent. A node-oldali beállítás – az alkalmazás telepítése, a felbontás, a képsebesség és különösen a tájolás beállítása – megmarad, és készülékenként eltérő finomhangolást kíván: a kamera orientációja nem minden telefonon kezelhető ugyanúgy, a szerveroldali forgatás pedig külön feldolgozási ágat és processzorköltséget hoz magával. A rendszer tehát a kamerák bekötésének kézi konfigurációját szünteti meg, nem a telepítés és a hangolás egészét.</w:t>
      </w:r>
    </w:p>
    <w:p>
      <w:pPr>
        <w:pStyle w:val="Normal"/>
        <w:rPr/>
      </w:pPr>
      <w:r>
        <w:rPr/>
        <w:t>A kitűzött részcélok – az automatikus felderítés, a felhőfüggetlen szerverkörnyezet, az AI-alapú detekció (objektum-, valamint tűz-/füstfelismerés), a valós idejű eseménykezelés és a kezelőfelület – megvalósultak. A rendszer moduláris felépítése (különálló Docker konténerek, jól definiált MQTT/WebSocket interfészek) lehetővé teszi az egyes komponensek önálló továbbfejlesztését anélkül, hogy a többi részt érintené.</w:t>
      </w:r>
    </w:p>
    <w:p>
      <w:pPr>
        <w:pStyle w:val="Normal"/>
        <w:rPr/>
      </w:pPr>
      <w:r>
        <w:rPr/>
        <w:t>A dolgozatban bemutatott rendszer saját hozzájárulást jelentő komponenseit – a hálózati felderítést és az ahhoz tartozó ujjlenyomat-vizsgálatot, a FastAPI backendet és annak valós idejű kommunikációs rétegét (állapotfigyelő hurok, MQTT-átjátszás, WebSocket-elosztás), az élőkép-architektúrát a go2rtc MSE-relayjével, a kameraforgatás feldolgozási láncát, a tűz-/füstdetekciós mikroszolgáltatás teljes Python-pipeline-ját, valamint a React alapú, asztali és mobil elrendezést egyaránt kiszolgáló kezelőfelületet – magam terveztem és valósítottam meg, a 3. fejezetben indokolt tervezési döntésekkel és a 3.6. szakasz mérési módszertanával együtt. A rendszer emellett több készen kapott komponensre épül: a Frigate NVR-re és a benne futó go2rtc-re, az Android IP Camera alkalmazásra, a Mosquitto brókerre, valamint a tűz-/füstdetekcióban használt, előre betanított YOLO-modellre (yolov26-fire-detection [10]) – ez utóbbit nem én tanítottam be, csak a saját pipeline-omba integráltam.</w:t>
      </w:r>
    </w:p>
    <w:p>
      <w:pPr>
        <w:pStyle w:val="Heading2"/>
        <w:numPr>
          <w:ilvl w:val="1"/>
          <w:numId w:val="1"/>
        </w:numPr>
        <w:rPr/>
      </w:pPr>
      <w:bookmarkStart w:id="30" w:name="__RefHeading___Toc1073_4218380707"/>
      <w:bookmarkEnd w:id="30"/>
      <w:r>
        <w:rPr/>
        <w:t>Jövőbeli fejlesztési lehetőségek</w:t>
      </w:r>
    </w:p>
    <w:p>
      <w:pPr>
        <w:pStyle w:val="Normal"/>
        <w:rPr/>
      </w:pPr>
      <w:r>
        <w:rPr/>
        <w:t>A jelenlegi, működő rendszer több irányban is bővíthető:</w:t>
      </w:r>
    </w:p>
    <w:p>
      <w:pPr>
        <w:pStyle w:val="ListParagraph"/>
        <w:rPr/>
      </w:pPr>
      <w:r>
        <w:rPr/>
        <w:t xml:space="preserve">– </w:t>
      </w:r>
      <w:r>
        <w:rPr/>
        <w:t>ONVIF-kompatibilis, dedikált IP kamerák (pl. PTZ funkcióval) bevonása a hálózatba, a discovery modul kiterjesztésével.</w:t>
      </w:r>
    </w:p>
    <w:p>
      <w:pPr>
        <w:pStyle w:val="ListParagraph"/>
        <w:rPr/>
      </w:pPr>
      <w:r>
        <w:rPr/>
        <w:t xml:space="preserve">– </w:t>
      </w:r>
      <w:r>
        <w:rPr/>
        <w:t>A tűz-/füstdetekciós modell további finomhangolása (transfer learning) saját gyűjtésű adathalmazon, a téves riasztások arányának csökkentésére.</w:t>
      </w:r>
    </w:p>
    <w:p>
      <w:pPr>
        <w:pStyle w:val="ListParagraph"/>
        <w:rPr/>
      </w:pPr>
      <w:r>
        <w:rPr/>
        <w:t xml:space="preserve">– </w:t>
      </w:r>
      <w:r>
        <w:rPr/>
        <w:t>Push értesítést támogató natív mobilalkalmazás fejlesztése a webes dashboard mellé, amely háttérben futva is riasztást tud küldeni.</w:t>
      </w:r>
    </w:p>
    <w:p>
      <w:pPr>
        <w:pStyle w:val="ListParagraph"/>
        <w:rPr/>
      </w:pPr>
      <w:r>
        <w:rPr/>
        <w:t xml:space="preserve">– </w:t>
      </w:r>
      <w:r>
        <w:rPr/>
        <w:t>A Google Coral TPU-alapú gyorsítás kiértékelése alternatívaként az NVIDIA GPU mellett, alacsonyabb energiafogyasztású telepítésekhez.</w:t>
      </w:r>
    </w:p>
    <w:p>
      <w:pPr>
        <w:pStyle w:val="ListParagraph"/>
        <w:rPr/>
      </w:pPr>
      <w:r>
        <w:rPr/>
        <w:t xml:space="preserve">– </w:t>
      </w:r>
      <w:r>
        <w:rPr/>
        <w:t>A telefonok további beépített szenzorainak (mikrofon, gyorsulásmérő, giroszkóp) bevonása újabb eseményforrásként, a jelenleg is felhasznált kamerakép, akkumulátorszint és Wi-Fi jelerősség mellé.</w:t>
      </w:r>
    </w:p>
    <w:p>
      <w:pPr>
        <w:pStyle w:val="ListParagraph"/>
        <w:rPr/>
      </w:pPr>
      <w:r>
        <w:rPr/>
        <w:t xml:space="preserve">– </w:t>
      </w:r>
      <w:r>
        <w:rPr/>
        <w:t>A kamera-node videókódolójának elakadását felismerő figyelőmechanizmus: a rendszer jelenleg „online” állapotúnak mutatja azt a node-ot is, amely hálózatilag válaszol, de videót már nem szolgáltat.</w:t>
      </w:r>
    </w:p>
    <w:p>
      <w:pPr>
        <w:pStyle w:val="ListParagraph"/>
        <w:rPr/>
      </w:pPr>
      <w:r>
        <w:rPr/>
        <w:t xml:space="preserve">– </w:t>
      </w:r>
      <w:r>
        <w:rPr/>
        <w:t>A tűz-/füstdetektor fényviszony-érzékeny küszöbölése, hogy az éjszakai, erősen zajos képeken tapasztalt téves füstriasztások megszűnjenek.</w:t>
      </w:r>
    </w:p>
    <w:p>
      <w:pPr>
        <w:pStyle w:val="Normal"/>
        <w:rPr/>
      </w:pPr>
      <w:r>
        <w:rPr/>
        <w:t xml:space="preserve">A dolgozatban bemutatott rendszer fejlesztése során mesterséges intelligencián alapuló eszközöket (Claude, Gemini) használtam: a forráskód egyes részeinek megfogalmazásához és átnézéséhez, a hibakereséshez, valamint a konfigurációs és üzemeltetési lépések ellenőrzéséhez.</w:t>
      </w:r>
    </w:p>
    <w:p>
      <w:pPr>
        <w:pStyle w:val="Normal"/>
        <w:rPr/>
      </w:pPr>
      <w:r>
        <w:rPr/>
        <w:t>Ugyanezeket az eszközöket a dolgozat szövegének elkészítéséhez is igénybe vettem: a szakirodalom kereséséhez és rendszerezéséhez, a szöveg nyelvi gondozásához és a fejezetszerkezet ellenőrzéséhez. Minden megoldást valós üzemi környezetben ellenőriztem; a dolgozatban szereplő tartalmak, mérési eredmények és következtetések a saját munkám eredményei, amelyekért a teljes felelősséget vállalom.</w:t>
      </w:r>
    </w:p>
    <w:p>
      <w:pPr>
        <w:pStyle w:val="Heading1nonumbering"/>
        <w:ind w:hanging="0" w:left="0"/>
        <w:rPr>
          <w:lang w:val="hu-HU" w:bidi="ar-SA"/>
        </w:rPr>
      </w:pPr>
      <w:bookmarkStart w:id="31" w:name="__RefHeading___Toc1075_4218380707"/>
      <w:bookmarkStart w:id="32" w:name="_Toc128138402"/>
      <w:bookmarkStart w:id="33" w:name="_Toc1439310270"/>
      <w:bookmarkEnd w:id="31"/>
      <w:r>
        <w:rPr>
          <w:lang w:val="hu-HU" w:bidi="ar-SA"/>
        </w:rPr>
        <w:t>Irodalom</w:t>
      </w:r>
      <w:bookmarkEnd w:id="32"/>
      <w:bookmarkEnd w:id="33"/>
    </w:p>
    <w:p>
      <w:pPr>
        <w:pStyle w:val="Bibliography"/>
        <w:rPr/>
      </w:pPr>
      <w:r>
        <w:rPr/>
        <w:t>[1] Frigate NVR – Documentation. [Online]. Elérhető: https://docs.frigate.video/</w:t>
      </w:r>
    </w:p>
    <w:p>
      <w:pPr>
        <w:pStyle w:val="Bibliography"/>
        <w:rPr/>
      </w:pPr>
      <w:r>
        <w:rPr/>
        <w:t>[2] OASIS, MQTT Version 5.0 – OASIS Standard. [Online]. Elérhető: https://docs.oasis-open.org/mqtt/mqtt/v5.0/mqtt-v5.0.html</w:t>
      </w:r>
    </w:p>
    <w:p>
      <w:pPr>
        <w:pStyle w:val="Bibliography"/>
        <w:rPr/>
      </w:pPr>
      <w:r>
        <w:rPr/>
        <w:t>[3] ONVIF, ONVIF Core Specification. [Online]. Elérhető: https://www.onvif.org/specs/</w:t>
      </w:r>
    </w:p>
    <w:p>
      <w:pPr>
        <w:pStyle w:val="Bibliography"/>
        <w:rPr/>
      </w:pPr>
      <w:r>
        <w:rPr/>
        <w:t>[4] P. Khlebovich, IP Webcam. [Mobilalkalmazás]. Google Play Áruház.</w:t>
      </w:r>
    </w:p>
    <w:p>
      <w:pPr>
        <w:pStyle w:val="Bibliography"/>
        <w:rPr/>
      </w:pPr>
      <w:r>
        <w:rPr/>
        <w:t>[5] I. Goodfellow, Y. Bengio, A. Courville, Deep Learning. Cambridge, MA: MIT Press, 2016.</w:t>
      </w:r>
    </w:p>
    <w:p>
      <w:pPr>
        <w:pStyle w:val="Bibliography"/>
        <w:rPr/>
      </w:pPr>
      <w:r>
        <w:rPr/>
        <w:t>[6] Ultralytics, YOLO Docs. [Online]. Elérhető: https://docs.ultralytics.com/</w:t>
      </w:r>
    </w:p>
    <w:p>
      <w:pPr>
        <w:pStyle w:val="Bibliography"/>
        <w:rPr/>
      </w:pPr>
      <w:r>
        <w:rPr/>
        <w:t>[7] V. Forti, C. P. Baldé, R. Kuehr, G. Bel, The Global E-waste Monitor 2020. Bonn/Geneva/Rotterdam: United Nations University/UNITAR, ITU, ISWA, 2020.</w:t>
      </w:r>
    </w:p>
    <w:p>
      <w:pPr>
        <w:pStyle w:val="Bibliography"/>
        <w:rPr/>
      </w:pPr>
      <w:r>
        <w:rPr/>
        <w:t>[8] FastAPI – Documentation. [Online]. Elérhető: https://fastapi.tiangolo.com/</w:t>
      </w:r>
    </w:p>
    <w:p>
      <w:pPr>
        <w:pStyle w:val="Bibliography"/>
        <w:rPr/>
      </w:pPr>
      <w:r>
        <w:rPr/>
        <w:t>[9] Docker, Docker Compose – Documentation. [Online]. Elérhető: https://docs.docker.com/compose/</w:t>
      </w:r>
    </w:p>
    <w:p>
      <w:pPr>
        <w:pStyle w:val="Bibliography"/>
        <w:rPr/>
      </w:pPr>
      <w:r>
        <w:rPr/>
        <w:t>[10] S. Al-Haismawi, yolov26-fire-detection [Betanított modell]. Hugging Face. [Online]. Elérhető: https://huggingface.co/SalahALHaismawi/yolov26-fire-detection</w:t>
      </w:r>
    </w:p>
    <w:p>
      <w:pPr>
        <w:pStyle w:val="Bibliography"/>
        <w:rPr/>
      </w:pPr>
      <w:r>
        <w:rPr/>
        <w:t>[11] React – Documentation. [Online]. Elérhető: https://react.dev/</w:t>
      </w:r>
    </w:p>
    <w:p>
      <w:pPr>
        <w:pStyle w:val="Bibliography"/>
        <w:rPr/>
      </w:pPr>
      <w:r>
        <w:rPr/>
        <w:t>[12] DigitallyRefined, Android IP Camera. [Mobilalkalmazás]. F-Droid. [Online]. Elérhető: https://github.com/DigitallyRefined/android-ip-camera</w:t>
      </w:r>
    </w:p>
    <w:p>
      <w:pPr>
        <w:pStyle w:val="Bibliography"/>
        <w:rPr/>
      </w:pPr>
      <w:r>
        <w:rPr/>
        <w:t>[13] Microsoft, ONNX Runtime – Documentation. [Online]. Elérhető: https://onnxruntime.ai/docs/</w:t>
      </w:r>
    </w:p>
    <w:p>
      <w:pPr>
        <w:pStyle w:val="Bibliography"/>
        <w:rPr/>
      </w:pPr>
      <w:r>
        <w:rPr/>
        <w:t>[14] A. Ivanov, go2rtc – Ultimate camera streaming application. [Online]. Elérhető: https://github.com/AlexxIT/go2rtc</w:t>
      </w:r>
    </w:p>
    <w:p>
      <w:pPr>
        <w:pStyle w:val="Bibliography"/>
        <w:rPr/>
      </w:pPr>
      <w:r>
        <w:rPr/>
        <w:t>[15] MDN Web Docs, Media Source Extensions API. [Online]. Elérhető: https://developer.mozilla.org/en-US/docs/Web/API/Media_Source_Extensions_API</w:t>
      </w:r>
    </w:p>
    <w:p>
      <w:pPr>
        <w:pStyle w:val="Bibliography"/>
        <w:rPr/>
      </w:pPr>
      <w:r>
        <w:rPr/>
        <w:t>[16] J. Redmon, S. Divvala, R. Girshick, A. Farhadi, „You Only Look Once: Unified, Real-Time Object Detection”, in Proc. IEEE Conf. on Computer Vision and Pattern Recognition (CVPR), Las Vegas, NV, 2016, pp. 779–788.</w:t>
      </w:r>
    </w:p>
    <w:p>
      <w:pPr>
        <w:pStyle w:val="Bibliography"/>
        <w:rPr/>
      </w:pPr>
      <w:r>
        <w:rPr/>
        <w:t>[17] S. Ren, K. He, R. Girshick, J. Sun, „Faster R-CNN: Towards Real-Time Object Detection with Region Proposal Networks”, in Advances in Neural Information Processing Systems 28 (NIPS), Montréal, 2015, pp. 91–99.</w:t>
      </w:r>
    </w:p>
    <w:p>
      <w:pPr>
        <w:pStyle w:val="Bibliography"/>
        <w:rPr/>
      </w:pPr>
      <w:r>
        <w:rPr/>
        <w:t>[18] W. Liu, D. Anguelov, D. Erhan, C. Szegedy, S. Reed, C.-Y. Fu, A. C. Berg, „SSD: Single Shot MultiBox Detector”, in Proc. European Conf. on Computer Vision (ECCV), Amsterdam, 2016, pp. 21–37.</w:t>
      </w:r>
    </w:p>
    <w:p>
      <w:pPr>
        <w:pStyle w:val="Bibliography"/>
        <w:rPr/>
      </w:pPr>
      <w:r>
        <w:rPr/>
        <w:t>[19] T.-Y. Lin, M. Maire, S. Belongie, J. Hays, P. Perona, D. Ramanan, P. Dollár, C. L. Zitnick, „Microsoft COCO: Common Objects in Context”, in Proc. European Conf. on Computer Vision (ECCV), Zürich, 2014, pp. 740–755.</w:t>
      </w:r>
    </w:p>
    <w:p>
      <w:pPr>
        <w:pStyle w:val="Bibliography"/>
        <w:rPr/>
      </w:pPr>
      <w:r>
        <w:rPr/>
        <w:t>[20] Z. Zivkovic, „Improved Adaptive Gaussian Mixture Model for Background Subtraction”, in Proc. 17th Int. Conf. on Pattern Recognition (ICPR), Cambridge, 2004, vol. 2, pp. 28–31.</w:t>
      </w:r>
    </w:p>
    <w:p>
      <w:pPr>
        <w:pStyle w:val="Bibliography"/>
        <w:rPr/>
      </w:pPr>
      <w:r>
        <w:rPr/>
        <w:t>[21] H. Schulzrinne, A. Rao, R. Lanphier, Real Time Streaming Protocol (RTSP), RFC 2326, IETF, 1998. [Online]. Elérhető: https://www.rfc-editor.org/rfc/rfc2326</w:t>
      </w:r>
    </w:p>
    <w:p>
      <w:pPr>
        <w:pStyle w:val="Bibliography"/>
        <w:rPr/>
      </w:pPr>
      <w:r>
        <w:rPr/>
        <w:t>[22] H. Schulzrinne, S. Casner, R. Frederick, V. Jacobson, RTP: A Transport Protocol for Real-Time Applications, RFC 3550, IETF, 2003. [Online]. Elérhető: https://www.rfc-editor.org/rfc/rfc3550</w:t>
      </w:r>
    </w:p>
    <w:p>
      <w:pPr>
        <w:pStyle w:val="Bibliography"/>
        <w:rPr/>
      </w:pPr>
      <w:r>
        <w:rPr/>
        <w:t>[23] M. Handley, V. Jacobson, C. Perkins, SDP: Session Description Protocol, RFC 4566, IETF, 2006. [Online]. Elérhető: https://www.rfc-editor.org/rfc/rfc4566</w:t>
      </w:r>
    </w:p>
    <w:p>
      <w:pPr>
        <w:pStyle w:val="Bibliography"/>
        <w:rPr/>
      </w:pPr>
      <w:r>
        <w:rPr/>
        <w:t>[24] I. Fette, A. Melnikov, The WebSocket Protocol, RFC 6455, IETF, 2011. [Online]. Elérhető: https://www.rfc-editor.org/rfc/rfc6455</w:t>
      </w:r>
    </w:p>
    <w:p>
      <w:pPr>
        <w:pStyle w:val="Bibliography"/>
        <w:rPr/>
      </w:pPr>
      <w:r>
        <w:rPr/>
        <w:t>[25] WHATWG, HTML Living Standard – Server-sent events. [Online]. Elérhető: https://html.spec.whatwg.org/multipage/server-sent-events.html</w:t>
      </w:r>
    </w:p>
    <w:p>
      <w:pPr>
        <w:pStyle w:val="Bibliography"/>
        <w:rPr/>
      </w:pPr>
      <w:r>
        <w:rPr/>
        <w:t>[26] R. T. Fielding, Architectural Styles and the Design of Network-based Software Architectures. PhD értekezés, University of California, Irvine, 2000.</w:t>
      </w:r>
    </w:p>
    <w:p>
      <w:pPr>
        <w:pStyle w:val="Bibliography"/>
        <w:rPr/>
      </w:pPr>
      <w:r>
        <w:rPr/>
        <w:t>[27] ITU-T Recommendation H.264, Advanced video coding for generic audiovisual services. International Telecommunication Union, 2003 (és későbbi kiadásai).</w:t>
      </w:r>
    </w:p>
    <w:p>
      <w:pPr>
        <w:pStyle w:val="Bibliography"/>
        <w:rPr/>
      </w:pPr>
      <w:r>
        <w:rPr/>
        <w:t>[28] M. Jones, J. Bradley, N. Sakimura, JSON Web Token (JWT), RFC 7519, IETF, 2015. [Online]. Elérhető: https://www.rfc-editor.org/rfc/rfc7519</w:t>
      </w:r>
    </w:p>
    <w:p>
      <w:pPr>
        <w:pStyle w:val="Bibliography"/>
        <w:rPr/>
      </w:pPr>
      <w:r>
        <w:rPr/>
        <w:t>[29] Android Developers, Camera2 API – Documentation. [Online]. Elérhető: https://developer.android.com/reference/android/hardware/camera2/package-summary</w:t>
      </w:r>
    </w:p>
    <w:p>
      <w:pPr>
        <w:pStyle w:val="Bibliography"/>
        <w:rPr/>
      </w:pPr>
      <w:r>
        <w:rPr/>
        <w:t>[30] Eclipse Foundation, Eclipse Mosquitto – Documentation. [Online]. Elérhető: https://mosquitto.org/documentation/</w:t>
      </w:r>
    </w:p>
    <w:p>
      <w:pPr>
        <w:pStyle w:val="Bibliography"/>
        <w:rPr/>
      </w:pPr>
      <w:r>
        <w:rPr/>
        <w:t>[31] NVIDIA, TensorRT – Documentation. [Online]. Elérhető: https://docs.nvidia.com/deeplearning/tensorrt/</w:t>
      </w:r>
    </w:p>
    <w:p>
      <w:pPr>
        <w:pStyle w:val="Bibliography"/>
        <w:rPr/>
      </w:pPr>
      <w:r>
        <w:rPr/>
        <w:t>[32] Google, Coral Edge TPU – Documentation. [Online]. Elérhető: https://coral.ai/docs/</w:t>
      </w:r>
    </w:p>
    <w:p>
      <w:pPr>
        <w:pStyle w:val="Bibliography"/>
        <w:rPr/>
      </w:pPr>
      <w:r>
        <w:rPr/>
        <w:t>[33] SQLite Consortium, SQLite – Documentation. [Online]. Elérhető: https://www.sqlite.org/docs.html</w:t>
      </w:r>
    </w:p>
    <w:p>
      <w:pPr>
        <w:pStyle w:val="Bibliography"/>
        <w:rPr/>
      </w:pPr>
      <w:r>
        <w:rPr/>
        <w:t>[34] F5/NGINX, nginx – Documentation. [Online]. Elérhető: https://nginx.org/en/docs/</w:t>
      </w:r>
    </w:p>
    <w:p>
      <w:pPr>
        <w:pStyle w:val="Heading1"/>
        <w:numPr>
          <w:ilvl w:val="0"/>
          <w:numId w:val="1"/>
        </w:numPr>
        <w:rPr>
          <w:lang w:val="hu-HU"/>
        </w:rPr>
      </w:pPr>
      <w:bookmarkStart w:id="34" w:name="__RefHeading___Toc1077_4218380707"/>
      <w:bookmarkStart w:id="35" w:name="_Toc128138403"/>
      <w:bookmarkStart w:id="36" w:name="_Toc136054171"/>
      <w:bookmarkEnd w:id="34"/>
      <w:r>
        <w:rPr>
          <w:lang w:val="hu-HU"/>
        </w:rPr>
        <w:t>Mellékletek</w:t>
      </w:r>
      <w:bookmarkEnd w:id="35"/>
      <w:bookmarkEnd w:id="36"/>
    </w:p>
    <w:p>
      <w:pPr>
        <w:pStyle w:val="Normal"/>
        <w:rPr>
          <w:rFonts w:eastAsia="Calibri" w:cs="Calibri"/>
          <w:color w:themeColor="text1" w:val="000000"/>
          <w:lang w:val="hu-HU"/>
        </w:rPr>
      </w:pPr>
      <w:r>
        <w:rPr/>
        <w:t>A mellékletek a dolgozat fő fejezeteit feleslegesen terhelő kiegészítő anyagokat tartalmazzák.</w:t>
      </w:r>
    </w:p>
    <w:p>
      <w:pPr>
        <w:pStyle w:val="Normal"/>
        <w:rPr>
          <w:lang w:val="hu-HU" w:bidi="ar-SA"/>
        </w:rPr>
      </w:pPr>
      <w:r>
        <w:rPr>
          <w:lang w:val="hu-HU" w:bidi="ar-SA"/>
        </w:rPr>
      </w:r>
    </w:p>
    <w:p>
      <w:pPr>
        <w:pStyle w:val="Heading2"/>
        <w:numPr>
          <w:ilvl w:val="1"/>
          <w:numId w:val="1"/>
        </w:numPr>
        <w:rPr>
          <w:lang w:val="hu-HU"/>
        </w:rPr>
      </w:pPr>
      <w:bookmarkStart w:id="37" w:name="__RefHeading___Toc1079_4218380707"/>
      <w:bookmarkStart w:id="38" w:name="_Toc128138404"/>
      <w:bookmarkStart w:id="39" w:name="_Toc368844426"/>
      <w:bookmarkEnd w:id="37"/>
      <w:r>
        <w:rPr>
          <w:lang w:val="hu-HU"/>
        </w:rPr>
        <w:t>Nyomtatott mellékletek</w:t>
      </w:r>
      <w:bookmarkEnd w:id="38"/>
      <w:bookmarkEnd w:id="39"/>
    </w:p>
    <w:p>
      <w:pPr>
        <w:pStyle w:val="Normal"/>
        <w:rPr>
          <w:lang w:val="hu-HU"/>
        </w:rPr>
      </w:pPr>
      <w:r>
        <w:rPr/>
        <w:t>Jelen szakdolgozathoz különálló nyomtatott melléklet nem tartozik; az ábrák és táblázatok a dolgozat szövegében szerepelnek.</w:t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Heading2"/>
        <w:numPr>
          <w:ilvl w:val="1"/>
          <w:numId w:val="1"/>
        </w:numPr>
        <w:rPr>
          <w:lang w:val="hu-HU"/>
        </w:rPr>
      </w:pPr>
      <w:bookmarkStart w:id="40" w:name="__RefHeading___Toc1081_4218380707"/>
      <w:bookmarkStart w:id="41" w:name="_Toc128138405"/>
      <w:bookmarkStart w:id="42" w:name="_Toc760154779"/>
      <w:bookmarkStart w:id="43" w:name="_Toc1789687829"/>
      <w:bookmarkStart w:id="44" w:name="_Toc778057456"/>
      <w:bookmarkStart w:id="45" w:name="_Toc621944696"/>
      <w:bookmarkEnd w:id="40"/>
      <w:r>
        <w:rPr>
          <w:lang w:val="hu-HU"/>
        </w:rPr>
        <w:t>Elektronikus mellékletek</w:t>
      </w:r>
      <w:bookmarkEnd w:id="41"/>
      <w:bookmarkEnd w:id="42"/>
      <w:bookmarkEnd w:id="43"/>
      <w:bookmarkEnd w:id="44"/>
      <w:bookmarkEnd w:id="45"/>
    </w:p>
    <w:p>
      <w:pPr>
        <w:pStyle w:val="Normal"/>
        <w:rPr>
          <w:lang w:val="hu-HU"/>
        </w:rPr>
      </w:pPr>
      <w:r>
        <w:rPr/>
        <w:t>DVD, mely tartalmazza a teljes szakdolgozatot *.docx és *.pdf formátumban, valamint azt a prezentációt (*.pptx), melyet a hallgató a szakdolgozata védése során használ. A lemezre a SwarmCam rendszer teljes forráskódja is felkerül; a forráskód nyilvános tárolóban is elérhető, a dolgozat leadásakori állapotában: https://github.com/RiscyX/swarmcam</w:t>
      </w:r>
    </w:p>
    <w:sectPr>
      <w:headerReference w:type="even" r:id="rId21"/>
      <w:headerReference w:type="default" r:id="rId22"/>
      <w:headerReference w:type="first" r:id="rId23"/>
      <w:footerReference w:type="even" r:id="rId24"/>
      <w:footerReference w:type="default" r:id="rId25"/>
      <w:footerReference w:type="first" r:id="rId26"/>
      <w:type w:val="nextPage"/>
      <w:pgSz w:w="11906" w:h="16838"/>
      <w:pgMar w:left="1418" w:right="851" w:gutter="0" w:header="567" w:top="1418" w:footer="567" w:bottom="141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6745"/>
      <w:gridCol w:w="2891"/>
    </w:tblGrid>
    <w:tr>
      <w:trPr>
        <w:trHeight w:val="360" w:hRule="atLeast"/>
      </w:trPr>
      <w:tc>
        <w:tcPr>
          <w:tcW w:w="6745" w:type="dxa"/>
          <w:tcBorders>
            <w:top w:val="single" w:sz="4" w:space="0" w:color="000000"/>
          </w:tcBorders>
          <w:vAlign w:val="center"/>
        </w:tcPr>
        <w:p>
          <w:pPr>
            <w:pStyle w:val="Footer"/>
            <w:spacing w:before="60" w:after="0"/>
            <w:rPr>
              <w:lang w:val="sr-CS"/>
            </w:rPr>
          </w:pPr>
          <w:r>
            <w:rPr>
              <w:lang w:val="sr-CS"/>
            </w:rPr>
          </w:r>
        </w:p>
      </w:tc>
      <w:tc>
        <w:tcPr>
          <w:tcW w:w="2891" w:type="dxa"/>
          <w:tcBorders>
            <w:top w:val="single" w:sz="4" w:space="0" w:color="000000"/>
          </w:tcBorders>
          <w:shd w:color="auto" w:fill="auto" w:val="clear"/>
          <w:vAlign w:val="center"/>
        </w:tcPr>
        <w:p>
          <w:pPr>
            <w:pStyle w:val="Footer"/>
            <w:spacing w:before="60" w:after="0"/>
            <w:jc w:val="right"/>
            <w:rPr/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5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60" w:after="0"/>
      <w:jc w:val="lef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6745"/>
      <w:gridCol w:w="2891"/>
    </w:tblGrid>
    <w:tr>
      <w:trPr>
        <w:trHeight w:val="360" w:hRule="atLeast"/>
      </w:trPr>
      <w:tc>
        <w:tcPr>
          <w:tcW w:w="6745" w:type="dxa"/>
          <w:tcBorders>
            <w:bottom w:val="single" w:sz="4" w:space="0" w:color="000000"/>
          </w:tcBorders>
          <w:vAlign w:val="center"/>
        </w:tcPr>
        <w:p>
          <w:pPr>
            <w:pStyle w:val="Header"/>
            <w:spacing w:lineRule="auto" w:line="240" w:before="60" w:after="0"/>
            <w:jc w:val="left"/>
            <w:rPr/>
          </w:pPr>
          <w:r>
            <w:rPr/>
            <w:t>VISOKA TEHNIČKA ŠKOLA STRUKOVNIH STUDIJA U SUBOTICI</w:t>
            <w:br/>
            <w:t>SZABADKAI MŰSZAKI SZAKFŐISKOLA SZABADKA</w:t>
            <w:br/>
            <w:t>SUBOTICA TECH – COLLEGE OF APPLIED SCIENCES</w:t>
          </w:r>
        </w:p>
      </w:tc>
      <w:tc>
        <w:tcPr>
          <w:tcW w:w="2891" w:type="dxa"/>
          <w:tcBorders>
            <w:bottom w:val="single" w:sz="4" w:space="0" w:color="000000"/>
          </w:tcBorders>
          <w:shd w:color="auto" w:fill="auto" w:val="clear"/>
          <w:vAlign w:val="center"/>
        </w:tcPr>
        <w:p>
          <w:pPr>
            <w:pStyle w:val="Header"/>
            <w:spacing w:before="60" w:after="0"/>
            <w:jc w:val="right"/>
            <w:rPr/>
          </w:pPr>
          <w:r>
            <w:rPr/>
            <w:drawing>
              <wp:inline distT="0" distB="0" distL="0" distR="0">
                <wp:extent cx="769620" cy="426720"/>
                <wp:effectExtent l="0" t="0" r="0" b="0"/>
                <wp:docPr id="20" name="Image3" descr="vts plavo 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3" descr="vts plavo 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biLevel thresh="50000"/>
                        </a:blip>
                        <a:srcRect l="0" t="0" r="0" b="2088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9620" cy="426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680"/>
        <w:tab w:val="clear" w:pos="9360"/>
        <w:tab w:val="left" w:pos="2693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6745"/>
      <w:gridCol w:w="2891"/>
    </w:tblGrid>
    <w:tr>
      <w:trPr>
        <w:trHeight w:val="360" w:hRule="atLeast"/>
      </w:trPr>
      <w:tc>
        <w:tcPr>
          <w:tcW w:w="6745" w:type="dxa"/>
          <w:tcBorders/>
          <w:vAlign w:val="center"/>
        </w:tcPr>
        <w:p>
          <w:pPr>
            <w:pStyle w:val="Header"/>
            <w:spacing w:lineRule="auto" w:line="240" w:before="60" w:after="0"/>
            <w:jc w:val="left"/>
            <w:rPr/>
          </w:pPr>
          <w:r>
            <w:rPr/>
            <w:t>VISOKA TEHNIČKA ŠKOLA STRUKOVNIH STUDIJA U SUBOTICI</w:t>
            <w:br/>
            <w:t>SZABADKAI MŰSZAKI SZAKFŐISKOLA SZABADKA</w:t>
            <w:br/>
            <w:t>SUBOTICA TECH – COLLEGE OF APPLIED SCIENCES</w:t>
          </w:r>
        </w:p>
      </w:tc>
      <w:tc>
        <w:tcPr>
          <w:tcW w:w="2891" w:type="dxa"/>
          <w:tcBorders/>
          <w:shd w:color="auto" w:fill="auto" w:val="clear"/>
          <w:vAlign w:val="center"/>
        </w:tcPr>
        <w:p>
          <w:pPr>
            <w:pStyle w:val="Footer"/>
            <w:spacing w:before="60" w:after="0"/>
            <w:jc w:val="right"/>
            <w:rPr/>
          </w:pPr>
          <w:r>
            <w:rPr/>
            <w:drawing>
              <wp:inline distT="0" distB="0" distL="0" distR="0">
                <wp:extent cx="769620" cy="426720"/>
                <wp:effectExtent l="0" t="0" r="0" b="0"/>
                <wp:docPr id="21" name="Image4" descr="vts plavo 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Image4" descr="vts plavo 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biLevel thresh="50000"/>
                        </a:blip>
                        <a:srcRect l="0" t="0" r="0" b="2088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9620" cy="426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8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"/>
  <w:docVars>
    <w:docVar w:name="__Grammarly_42____i" w:val="H4sIAAAAAAAEAKtWckksSQxILCpxzi/NK1GyMqwFAAEhoTITAAAA"/>
    <w:docVar w:name="__Grammarly_42___1" w:val="H4sIAAAAAAAEAKtWcslP9kxRslIyNDaysDC0MLOwNDUwtTQzMbdU0lEKTi0uzszPAykwqQUAYk90AywAAAA="/>
  </w:docVars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209c2"/>
    <w:pPr>
      <w:widowControl/>
      <w:suppressAutoHyphens w:val="true"/>
      <w:bidi w:val="0"/>
      <w:spacing w:lineRule="auto" w:line="276" w:before="60" w:after="0"/>
      <w:jc w:val="both"/>
    </w:pPr>
    <w:rPr>
      <w:rFonts w:ascii="Calibri" w:hAnsi="Calibri" w:eastAsia="Times New Roman" w:cs="Times New Roman"/>
      <w:color w:val="auto"/>
      <w:kern w:val="0"/>
      <w:sz w:val="22"/>
      <w:szCs w:val="22"/>
      <w:lang w:val="sr-Latn-CS"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09c2"/>
    <w:pPr>
      <w:keepNext w:val="true"/>
      <w:keepLines/>
      <w:pageBreakBefore/>
      <w:numPr>
        <w:ilvl w:val="0"/>
        <w:numId w:val="1"/>
      </w:numPr>
      <w:spacing w:before="840" w:after="0"/>
      <w:contextualSpacing/>
      <w:jc w:val="left"/>
      <w:outlineLvl w:val="0"/>
    </w:pPr>
    <w:rPr>
      <w:rFonts w:ascii="Cambria" w:hAnsi="Cambria"/>
      <w:b/>
      <w:bCs/>
      <w:sz w:val="28"/>
      <w:szCs w:val="28"/>
      <w:lang w:bidi="ar-SA"/>
    </w:rPr>
  </w:style>
  <w:style w:type="paragraph" w:styleId="Heading2">
    <w:name w:val="Heading 2"/>
    <w:basedOn w:val="Normal"/>
    <w:next w:val="Normal"/>
    <w:link w:val="Heading2Char"/>
    <w:uiPriority w:val="9"/>
    <w:qFormat/>
    <w:rsid w:val="00b209c2"/>
    <w:pPr>
      <w:keepNext w:val="true"/>
      <w:keepLines/>
      <w:numPr>
        <w:ilvl w:val="1"/>
        <w:numId w:val="1"/>
      </w:numPr>
      <w:spacing w:before="200" w:after="0"/>
      <w:jc w:val="left"/>
      <w:outlineLvl w:val="1"/>
    </w:pPr>
    <w:rPr>
      <w:rFonts w:ascii="Cambria" w:hAnsi="Cambria"/>
      <w:b/>
      <w:bCs/>
      <w:sz w:val="26"/>
      <w:szCs w:val="26"/>
      <w:lang w:bidi="ar-SA"/>
    </w:rPr>
  </w:style>
  <w:style w:type="paragraph" w:styleId="Heading3">
    <w:name w:val="Heading 3"/>
    <w:basedOn w:val="Normal"/>
    <w:next w:val="Normal"/>
    <w:link w:val="Heading3Char"/>
    <w:uiPriority w:val="9"/>
    <w:qFormat/>
    <w:rsid w:val="00b209c2"/>
    <w:pPr>
      <w:keepNext w:val="true"/>
      <w:keepLines/>
      <w:numPr>
        <w:ilvl w:val="2"/>
        <w:numId w:val="1"/>
      </w:numPr>
      <w:spacing w:lineRule="auto" w:line="271" w:before="200" w:after="0"/>
      <w:jc w:val="left"/>
      <w:outlineLvl w:val="2"/>
    </w:pPr>
    <w:rPr>
      <w:rFonts w:ascii="Cambria" w:hAnsi="Cambria"/>
      <w:b/>
      <w:bCs/>
      <w:sz w:val="20"/>
      <w:szCs w:val="20"/>
      <w:lang w:bidi="ar-SA"/>
    </w:rPr>
  </w:style>
  <w:style w:type="paragraph" w:styleId="Heading4">
    <w:name w:val="Heading 4"/>
    <w:basedOn w:val="Normal"/>
    <w:next w:val="Normal"/>
    <w:link w:val="Heading4Char"/>
    <w:uiPriority w:val="9"/>
    <w:qFormat/>
    <w:rsid w:val="00b209c2"/>
    <w:pPr>
      <w:keepNext w:val="true"/>
      <w:keepLines/>
      <w:numPr>
        <w:ilvl w:val="3"/>
        <w:numId w:val="1"/>
      </w:numPr>
      <w:spacing w:before="200" w:after="0"/>
      <w:jc w:val="left"/>
      <w:outlineLvl w:val="3"/>
    </w:pPr>
    <w:rPr>
      <w:rFonts w:ascii="Cambria" w:hAnsi="Cambria"/>
      <w:b/>
      <w:bCs/>
      <w:i/>
      <w:iCs/>
      <w:sz w:val="20"/>
      <w:szCs w:val="20"/>
      <w:lang w:bidi="ar-SA"/>
    </w:rPr>
  </w:style>
  <w:style w:type="paragraph" w:styleId="Heading5">
    <w:name w:val="Heading 5"/>
    <w:basedOn w:val="Normal"/>
    <w:next w:val="Normal"/>
    <w:link w:val="Heading5Char"/>
    <w:uiPriority w:val="9"/>
    <w:qFormat/>
    <w:rsid w:val="00b209c2"/>
    <w:pPr>
      <w:spacing w:before="200" w:after="0"/>
      <w:outlineLvl w:val="4"/>
    </w:pPr>
    <w:rPr>
      <w:rFonts w:ascii="Cambria" w:hAnsi="Cambria"/>
      <w:b/>
      <w:bCs/>
      <w:color w:val="7F7F7F"/>
      <w:sz w:val="20"/>
      <w:szCs w:val="20"/>
      <w:lang w:val="en-US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b209c2"/>
    <w:pPr>
      <w:spacing w:lineRule="auto" w:line="271"/>
      <w:outlineLvl w:val="5"/>
    </w:pPr>
    <w:rPr>
      <w:rFonts w:ascii="Cambria" w:hAnsi="Cambria"/>
      <w:b/>
      <w:bCs/>
      <w:i/>
      <w:iCs/>
      <w:color w:val="7F7F7F"/>
      <w:sz w:val="20"/>
      <w:szCs w:val="20"/>
      <w:lang w:val="en-US" w:bidi="ar-SA"/>
    </w:rPr>
  </w:style>
  <w:style w:type="paragraph" w:styleId="Heading7">
    <w:name w:val="Heading 7"/>
    <w:basedOn w:val="Normal"/>
    <w:next w:val="Normal"/>
    <w:link w:val="Heading7Char"/>
    <w:uiPriority w:val="9"/>
    <w:qFormat/>
    <w:rsid w:val="00b209c2"/>
    <w:pPr>
      <w:outlineLvl w:val="6"/>
    </w:pPr>
    <w:rPr>
      <w:rFonts w:ascii="Cambria" w:hAnsi="Cambria"/>
      <w:i/>
      <w:iCs/>
      <w:sz w:val="20"/>
      <w:szCs w:val="20"/>
      <w:lang w:val="en-US" w:bidi="ar-SA"/>
    </w:rPr>
  </w:style>
  <w:style w:type="paragraph" w:styleId="Heading8">
    <w:name w:val="Heading 8"/>
    <w:basedOn w:val="Normal"/>
    <w:next w:val="Normal"/>
    <w:link w:val="Heading8Char"/>
    <w:uiPriority w:val="9"/>
    <w:qFormat/>
    <w:rsid w:val="00b209c2"/>
    <w:pPr>
      <w:outlineLvl w:val="7"/>
    </w:pPr>
    <w:rPr>
      <w:rFonts w:ascii="Cambria" w:hAnsi="Cambria"/>
      <w:sz w:val="20"/>
      <w:szCs w:val="20"/>
      <w:lang w:val="en-US" w:bidi="ar-SA"/>
    </w:rPr>
  </w:style>
  <w:style w:type="paragraph" w:styleId="Heading9">
    <w:name w:val="Heading 9"/>
    <w:basedOn w:val="Normal"/>
    <w:next w:val="Normal"/>
    <w:link w:val="Heading9Char"/>
    <w:uiPriority w:val="9"/>
    <w:qFormat/>
    <w:rsid w:val="00b209c2"/>
    <w:pPr>
      <w:outlineLvl w:val="8"/>
    </w:pPr>
    <w:rPr>
      <w:rFonts w:ascii="Cambria" w:hAnsi="Cambria"/>
      <w:i/>
      <w:iCs/>
      <w:spacing w:val="5"/>
      <w:sz w:val="20"/>
      <w:szCs w:val="20"/>
      <w:lang w:val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link w:val="Header"/>
    <w:uiPriority w:val="99"/>
    <w:qFormat/>
    <w:rsid w:val="005460f2"/>
    <w:rPr>
      <w:lang w:val="sr-Latn-CS"/>
    </w:rPr>
  </w:style>
  <w:style w:type="character" w:styleId="FooterChar" w:customStyle="1">
    <w:name w:val="Footer Char"/>
    <w:link w:val="Footer"/>
    <w:uiPriority w:val="99"/>
    <w:qFormat/>
    <w:rsid w:val="005460f2"/>
    <w:rPr>
      <w:lang w:val="sr-Latn-CS"/>
    </w:rPr>
  </w:style>
  <w:style w:type="character" w:styleId="PlaceholderText">
    <w:name w:val="Placeholder Text"/>
    <w:uiPriority w:val="99"/>
    <w:semiHidden/>
    <w:qFormat/>
    <w:rsid w:val="001e2163"/>
    <w:rPr>
      <w:color w:val="808080"/>
    </w:rPr>
  </w:style>
  <w:style w:type="character" w:styleId="BalloonTextChar" w:customStyle="1">
    <w:name w:val="Balloon Text Char"/>
    <w:link w:val="BalloonText"/>
    <w:uiPriority w:val="99"/>
    <w:semiHidden/>
    <w:qFormat/>
    <w:rsid w:val="001e2163"/>
    <w:rPr>
      <w:rFonts w:ascii="Tahoma" w:hAnsi="Tahoma" w:cs="Tahoma"/>
      <w:sz w:val="16"/>
      <w:szCs w:val="16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b209c2"/>
    <w:rPr/>
  </w:style>
  <w:style w:type="character" w:styleId="Heading3Char" w:customStyle="1">
    <w:name w:val="Heading 3 Char"/>
    <w:link w:val="Heading3"/>
    <w:uiPriority w:val="9"/>
    <w:qFormat/>
    <w:rsid w:val="00b209c2"/>
    <w:rPr>
      <w:rFonts w:ascii="Cambria" w:hAnsi="Cambria" w:eastAsia="Times New Roman" w:cs="Times New Roman"/>
      <w:b/>
      <w:bCs/>
      <w:lang w:val="sr-Latn-CS"/>
    </w:rPr>
  </w:style>
  <w:style w:type="character" w:styleId="TitleChar" w:customStyle="1">
    <w:name w:val="Title Char"/>
    <w:link w:val="Title"/>
    <w:uiPriority w:val="10"/>
    <w:qFormat/>
    <w:rsid w:val="00b209c2"/>
    <w:rPr>
      <w:rFonts w:ascii="Cambria" w:hAnsi="Cambria" w:eastAsia="Times New Roman" w:cs="Times New Roman"/>
      <w:caps/>
      <w:spacing w:val="5"/>
      <w:sz w:val="52"/>
      <w:szCs w:val="52"/>
      <w:lang w:val="sr-Latn-CS"/>
    </w:rPr>
  </w:style>
  <w:style w:type="character" w:styleId="Heading1Char" w:customStyle="1">
    <w:name w:val="Heading 1 Char"/>
    <w:link w:val="Heading1"/>
    <w:uiPriority w:val="9"/>
    <w:qFormat/>
    <w:rsid w:val="00b209c2"/>
    <w:rPr>
      <w:rFonts w:ascii="Cambria" w:hAnsi="Cambria" w:eastAsia="Times New Roman" w:cs="Times New Roman"/>
      <w:b/>
      <w:bCs/>
      <w:sz w:val="28"/>
      <w:szCs w:val="28"/>
      <w:lang w:val="sr-Latn-CS"/>
    </w:rPr>
  </w:style>
  <w:style w:type="character" w:styleId="Heading2Char" w:customStyle="1">
    <w:name w:val="Heading 2 Char"/>
    <w:link w:val="Heading2"/>
    <w:uiPriority w:val="9"/>
    <w:qFormat/>
    <w:rsid w:val="00b209c2"/>
    <w:rPr>
      <w:rFonts w:ascii="Cambria" w:hAnsi="Cambria" w:eastAsia="Times New Roman" w:cs="Times New Roman"/>
      <w:b/>
      <w:bCs/>
      <w:sz w:val="26"/>
      <w:szCs w:val="26"/>
      <w:lang w:val="sr-Latn-CS"/>
    </w:rPr>
  </w:style>
  <w:style w:type="character" w:styleId="Heading4Char" w:customStyle="1">
    <w:name w:val="Heading 4 Char"/>
    <w:link w:val="Heading4"/>
    <w:uiPriority w:val="9"/>
    <w:qFormat/>
    <w:rsid w:val="00b209c2"/>
    <w:rPr>
      <w:rFonts w:ascii="Cambria" w:hAnsi="Cambria" w:eastAsia="Times New Roman" w:cs="Times New Roman"/>
      <w:b/>
      <w:bCs/>
      <w:i/>
      <w:iCs/>
      <w:lang w:val="sr-Latn-CS"/>
    </w:rPr>
  </w:style>
  <w:style w:type="character" w:styleId="Heading5Char" w:customStyle="1">
    <w:name w:val="Heading 5 Char"/>
    <w:link w:val="Heading5"/>
    <w:uiPriority w:val="9"/>
    <w:qFormat/>
    <w:rsid w:val="00b209c2"/>
    <w:rPr>
      <w:rFonts w:ascii="Cambria" w:hAnsi="Cambria" w:eastAsia="Times New Roman" w:cs="Times New Roman"/>
      <w:b/>
      <w:bCs/>
      <w:color w:val="7F7F7F"/>
    </w:rPr>
  </w:style>
  <w:style w:type="character" w:styleId="Heading6Char" w:customStyle="1">
    <w:name w:val="Heading 6 Char"/>
    <w:link w:val="Heading6"/>
    <w:uiPriority w:val="9"/>
    <w:qFormat/>
    <w:rsid w:val="00b209c2"/>
    <w:rPr>
      <w:rFonts w:ascii="Cambria" w:hAnsi="Cambria" w:eastAsia="Times New Roman" w:cs="Times New Roman"/>
      <w:b/>
      <w:bCs/>
      <w:i/>
      <w:iCs/>
      <w:color w:val="7F7F7F"/>
    </w:rPr>
  </w:style>
  <w:style w:type="character" w:styleId="Heading7Char" w:customStyle="1">
    <w:name w:val="Heading 7 Char"/>
    <w:link w:val="Heading7"/>
    <w:uiPriority w:val="9"/>
    <w:qFormat/>
    <w:rsid w:val="00b209c2"/>
    <w:rPr>
      <w:rFonts w:ascii="Cambria" w:hAnsi="Cambria" w:eastAsia="Times New Roman" w:cs="Times New Roman"/>
      <w:i/>
      <w:iCs/>
    </w:rPr>
  </w:style>
  <w:style w:type="character" w:styleId="Heading8Char" w:customStyle="1">
    <w:name w:val="Heading 8 Char"/>
    <w:link w:val="Heading8"/>
    <w:uiPriority w:val="9"/>
    <w:qFormat/>
    <w:rsid w:val="00b209c2"/>
    <w:rPr>
      <w:rFonts w:ascii="Cambria" w:hAnsi="Cambria" w:eastAsia="Times New Roman" w:cs="Times New Roman"/>
    </w:rPr>
  </w:style>
  <w:style w:type="character" w:styleId="Heading9Char" w:customStyle="1">
    <w:name w:val="Heading 9 Char"/>
    <w:link w:val="Heading9"/>
    <w:uiPriority w:val="9"/>
    <w:qFormat/>
    <w:rsid w:val="00b209c2"/>
    <w:rPr>
      <w:rFonts w:ascii="Cambria" w:hAnsi="Cambria" w:eastAsia="Times New Roman" w:cs="Times New Roman"/>
      <w:i/>
      <w:iCs/>
      <w:spacing w:val="5"/>
    </w:rPr>
  </w:style>
  <w:style w:type="character" w:styleId="SubtitleChar" w:customStyle="1">
    <w:name w:val="Subtitle Char"/>
    <w:link w:val="Subtitle"/>
    <w:uiPriority w:val="11"/>
    <w:qFormat/>
    <w:rsid w:val="00b209c2"/>
    <w:rPr>
      <w:rFonts w:ascii="Cambria" w:hAnsi="Cambria" w:eastAsia="Times New Roman" w:cs="Times New Roman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b209c2"/>
    <w:rPr>
      <w:b/>
      <w:bCs/>
    </w:rPr>
  </w:style>
  <w:style w:type="character" w:styleId="Emphasis">
    <w:name w:val="Emphasis"/>
    <w:uiPriority w:val="20"/>
    <w:qFormat/>
    <w:rsid w:val="00b209c2"/>
    <w:rPr>
      <w:b/>
      <w:bCs/>
      <w:i/>
      <w:iCs/>
      <w:spacing w:val="10"/>
      <w:shd w:fill="auto" w:val="clear"/>
    </w:rPr>
  </w:style>
  <w:style w:type="character" w:styleId="QuoteChar" w:customStyle="1">
    <w:name w:val="Quote Char"/>
    <w:link w:val="Quote"/>
    <w:uiPriority w:val="29"/>
    <w:qFormat/>
    <w:rsid w:val="00b209c2"/>
    <w:rPr>
      <w:i/>
      <w:iCs/>
    </w:rPr>
  </w:style>
  <w:style w:type="character" w:styleId="IntenseQuoteChar" w:customStyle="1">
    <w:name w:val="Intense Quote Char"/>
    <w:link w:val="IntenseQuote"/>
    <w:uiPriority w:val="30"/>
    <w:qFormat/>
    <w:rsid w:val="00b209c2"/>
    <w:rPr>
      <w:b/>
      <w:bCs/>
      <w:i/>
      <w:iCs/>
    </w:rPr>
  </w:style>
  <w:style w:type="character" w:styleId="SubtleEmphasis">
    <w:name w:val="Subtle Emphasis"/>
    <w:uiPriority w:val="19"/>
    <w:qFormat/>
    <w:rsid w:val="00b209c2"/>
    <w:rPr>
      <w:i/>
      <w:iCs/>
    </w:rPr>
  </w:style>
  <w:style w:type="character" w:styleId="IntenseEmphasis">
    <w:name w:val="Intense Emphasis"/>
    <w:uiPriority w:val="21"/>
    <w:qFormat/>
    <w:rsid w:val="00b209c2"/>
    <w:rPr>
      <w:b/>
      <w:bCs/>
    </w:rPr>
  </w:style>
  <w:style w:type="character" w:styleId="SubtleReference">
    <w:name w:val="Subtle Reference"/>
    <w:uiPriority w:val="31"/>
    <w:qFormat/>
    <w:rsid w:val="00b209c2"/>
    <w:rPr>
      <w:smallCaps/>
    </w:rPr>
  </w:style>
  <w:style w:type="character" w:styleId="IntenseReference">
    <w:name w:val="Intense Reference"/>
    <w:uiPriority w:val="32"/>
    <w:qFormat/>
    <w:rsid w:val="00b209c2"/>
    <w:rPr>
      <w:smallCaps/>
      <w:spacing w:val="5"/>
      <w:u w:val="single"/>
    </w:rPr>
  </w:style>
  <w:style w:type="character" w:styleId="BookTitle">
    <w:name w:val="Book Title"/>
    <w:uiPriority w:val="33"/>
    <w:qFormat/>
    <w:rsid w:val="00b209c2"/>
    <w:rPr>
      <w:i/>
      <w:iCs/>
      <w:smallCaps/>
      <w:spacing w:val="5"/>
    </w:rPr>
  </w:style>
  <w:style w:type="character" w:styleId="Hyperlink">
    <w:name w:val="Hyperlink"/>
    <w:uiPriority w:val="99"/>
    <w:unhideWhenUsed/>
    <w:rsid w:val="00d20442"/>
    <w:rPr>
      <w:color w:val="0000FF"/>
      <w:u w:val="single"/>
    </w:rPr>
  </w:style>
  <w:style w:type="character" w:styleId="FootnoteTextChar" w:customStyle="1">
    <w:name w:val="Footnote Text Char"/>
    <w:link w:val="FootnoteText"/>
    <w:uiPriority w:val="99"/>
    <w:semiHidden/>
    <w:qFormat/>
    <w:rsid w:val="0073164f"/>
    <w:rPr>
      <w:sz w:val="20"/>
      <w:szCs w:val="20"/>
      <w:lang w:val="sr-Latn-CS"/>
    </w:rPr>
  </w:style>
  <w:style w:type="character" w:styleId="FootnoteCharacters">
    <w:name w:val="Footnote Characters"/>
    <w:uiPriority w:val="99"/>
    <w:semiHidden/>
    <w:unhideWhenUsed/>
    <w:qFormat/>
    <w:rsid w:val="0073164f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PageNumber">
    <w:name w:val="Page Number"/>
    <w:basedOn w:val="DefaultParagraphFont"/>
    <w:rsid w:val="00a40342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e7436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qFormat/>
    <w:rsid w:val="002e7436"/>
    <w:rPr>
      <w:lang w:val="sr-Latn-CS" w:bidi="en-US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2e7436"/>
    <w:rPr>
      <w:b/>
      <w:bCs/>
      <w:lang w:val="sr-Latn-CS" w:bidi="en-US"/>
    </w:rPr>
  </w:style>
  <w:style w:type="character" w:styleId="markedcontent" w:customStyle="1">
    <w:name w:val="markedcontent"/>
    <w:basedOn w:val="DefaultParagraphFont"/>
    <w:qFormat/>
    <w:rsid w:val="00583158"/>
    <w:rPr/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9d755c"/>
    <w:rPr>
      <w:color w:val="605E5C"/>
      <w:shd w:fill="E1DFDD" w:val="clear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1e4b2e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qFormat/>
    <w:rsid w:val="001e4b2e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1e4b2e"/>
    <w:rPr/>
  </w:style>
  <w:style w:type="character" w:styleId="hljs-string" w:customStyle="1">
    <w:name w:val="hljs-string"/>
    <w:basedOn w:val="DefaultParagraphFont"/>
    <w:qFormat/>
    <w:rsid w:val="001e4b2e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881b69"/>
    <w:rPr>
      <w:color w:val="605E5C"/>
      <w:shd w:fill="E1DFDD" w:val="clear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qFormat/>
    <w:rsid w:val="00b209c2"/>
    <w:pPr>
      <w:spacing w:lineRule="auto" w:line="240" w:before="0" w:after="200"/>
      <w:jc w:val="center"/>
    </w:pPr>
    <w:rPr>
      <w:b/>
      <w:bCs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460f2"/>
    <w:pPr>
      <w:tabs>
        <w:tab w:val="clear" w:pos="720"/>
        <w:tab w:val="center" w:pos="4680" w:leader="none"/>
        <w:tab w:val="right" w:pos="9360" w:leader="none"/>
      </w:tabs>
      <w:spacing w:lineRule="auto" w:line="240"/>
      <w:jc w:val="left"/>
    </w:pPr>
    <w:rPr/>
  </w:style>
  <w:style w:type="paragraph" w:styleId="Footer">
    <w:name w:val="Footer"/>
    <w:basedOn w:val="Normal"/>
    <w:link w:val="FooterChar"/>
    <w:uiPriority w:val="99"/>
    <w:unhideWhenUsed/>
    <w:rsid w:val="005460f2"/>
    <w:pPr>
      <w:tabs>
        <w:tab w:val="clear" w:pos="720"/>
        <w:tab w:val="center" w:pos="4680" w:leader="none"/>
        <w:tab w:val="right" w:pos="9360" w:leader="none"/>
      </w:tabs>
      <w:spacing w:lineRule="auto" w:line="240"/>
      <w:jc w:val="left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e2163"/>
    <w:pPr>
      <w:spacing w:lineRule="auto" w:line="240"/>
    </w:pPr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b209c2"/>
    <w:pPr>
      <w:spacing w:lineRule="auto" w:line="240"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b209c2"/>
    <w:pPr>
      <w:pBdr>
        <w:bottom w:val="single" w:sz="4" w:space="1" w:color="000000"/>
      </w:pBdr>
      <w:spacing w:lineRule="auto" w:line="240" w:before="60" w:after="0"/>
      <w:contextualSpacing/>
      <w:jc w:val="center"/>
    </w:pPr>
    <w:rPr>
      <w:rFonts w:ascii="Cambria" w:hAnsi="Cambria"/>
      <w:caps/>
      <w:spacing w:val="5"/>
      <w:sz w:val="52"/>
      <w:szCs w:val="52"/>
      <w:lang w:bidi="ar-SA"/>
    </w:rPr>
  </w:style>
  <w:style w:type="paragraph" w:styleId="NormalImeiPrezime" w:customStyle="1">
    <w:name w:val="Normal Ime i Prezime"/>
    <w:basedOn w:val="Normal"/>
    <w:next w:val="Normal"/>
    <w:qFormat/>
    <w:rsid w:val="00b209c2"/>
    <w:pPr>
      <w:spacing w:lineRule="auto" w:line="240"/>
      <w:jc w:val="center"/>
    </w:pPr>
    <w:rPr>
      <w:caps/>
      <w:sz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9c2"/>
    <w:pPr>
      <w:spacing w:before="60" w:after="600"/>
    </w:pPr>
    <w:rPr>
      <w:rFonts w:ascii="Cambria" w:hAnsi="Cambria"/>
      <w:i/>
      <w:iCs/>
      <w:spacing w:val="13"/>
      <w:sz w:val="24"/>
      <w:szCs w:val="24"/>
      <w:lang w:val="en-US" w:bidi="ar-SA"/>
    </w:rPr>
  </w:style>
  <w:style w:type="paragraph" w:styleId="ListParagraph">
    <w:name w:val="List Paragraph"/>
    <w:basedOn w:val="Normal"/>
    <w:next w:val="Normal"/>
    <w:uiPriority w:val="34"/>
    <w:qFormat/>
    <w:rsid w:val="00b209c2"/>
    <w:pPr>
      <w:spacing w:before="60" w:after="0"/>
      <w:ind w:left="72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qFormat/>
    <w:rsid w:val="00b209c2"/>
    <w:pPr>
      <w:spacing w:before="200" w:after="0"/>
      <w:ind w:left="360" w:right="360"/>
    </w:pPr>
    <w:rPr>
      <w:i/>
      <w:iCs/>
      <w:sz w:val="20"/>
      <w:szCs w:val="20"/>
      <w:lang w:val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9c2"/>
    <w:pPr>
      <w:pBdr>
        <w:bottom w:val="single" w:sz="4" w:space="1" w:color="000000"/>
      </w:pBdr>
      <w:spacing w:before="200" w:after="280"/>
      <w:ind w:left="1008" w:right="1152"/>
    </w:pPr>
    <w:rPr>
      <w:b/>
      <w:bCs/>
      <w:i/>
      <w:iCs/>
      <w:sz w:val="20"/>
      <w:szCs w:val="20"/>
      <w:lang w:val="en-US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qFormat/>
    <w:rsid w:val="00b209c2"/>
    <w:pPr>
      <w:numPr>
        <w:ilvl w:val="0"/>
        <w:numId w:val="0"/>
      </w:numPr>
      <w:outlineLvl w:val="9"/>
    </w:pPr>
    <w:rPr>
      <w:lang w:bidi="en-US"/>
    </w:rPr>
  </w:style>
  <w:style w:type="paragraph" w:styleId="Heading1nonumbering" w:customStyle="1">
    <w:name w:val="Heading 1 no numbering"/>
    <w:basedOn w:val="Heading1"/>
    <w:next w:val="Normal"/>
    <w:qFormat/>
    <w:rsid w:val="00b209c2"/>
    <w:pPr>
      <w:numPr>
        <w:ilvl w:val="0"/>
        <w:numId w:val="0"/>
      </w:numPr>
    </w:pPr>
    <w:rPr>
      <w:lang w:bidi="en-US"/>
    </w:rPr>
  </w:style>
  <w:style w:type="paragraph" w:styleId="TOC1">
    <w:name w:val="TOC 1"/>
    <w:basedOn w:val="Normal"/>
    <w:next w:val="Normal"/>
    <w:autoRedefine/>
    <w:uiPriority w:val="39"/>
    <w:unhideWhenUsed/>
    <w:rsid w:val="009d38e6"/>
    <w:pPr>
      <w:tabs>
        <w:tab w:val="clear" w:pos="720"/>
        <w:tab w:val="right" w:pos="9628" w:leader="dot"/>
      </w:tabs>
      <w:spacing w:before="60" w:after="10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rsid w:val="0073164f"/>
    <w:pPr>
      <w:spacing w:lineRule="auto" w:line="240"/>
    </w:pPr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c11fe"/>
    <w:pPr>
      <w:spacing w:before="6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0c11fe"/>
    <w:pPr>
      <w:spacing w:before="60" w:after="100"/>
      <w:ind w:left="440"/>
    </w:pPr>
    <w:rPr/>
  </w:style>
  <w:style w:type="paragraph" w:styleId="Bibliography">
    <w:name w:val="Bibliography"/>
    <w:basedOn w:val="Normal"/>
    <w:next w:val="Normal"/>
    <w:uiPriority w:val="37"/>
    <w:unhideWhenUsed/>
    <w:qFormat/>
    <w:rsid w:val="0002413d"/>
    <w:pPr>
      <w:ind w:hanging="720" w:left="720"/>
      <w:jc w:val="left"/>
    </w:pPr>
    <w:rPr/>
  </w:style>
  <w:style w:type="paragraph" w:styleId="Normalfigure-table" w:customStyle="1">
    <w:name w:val="Normal figure-table"/>
    <w:basedOn w:val="Normal"/>
    <w:next w:val="Normal"/>
    <w:qFormat/>
    <w:rsid w:val="00b209c2"/>
    <w:pPr>
      <w:jc w:val="center"/>
    </w:pPr>
    <w:rPr>
      <w:lang w:bidi="ar-SA"/>
    </w:rPr>
  </w:style>
  <w:style w:type="paragraph" w:styleId="Normalprogramcode" w:customStyle="1">
    <w:name w:val="Normal program code"/>
    <w:basedOn w:val="Normal"/>
    <w:qFormat/>
    <w:rsid w:val="00b209c2"/>
    <w:pPr>
      <w:spacing w:lineRule="auto" w:line="240" w:before="0" w:after="0"/>
      <w:ind w:left="567" w:right="567"/>
      <w:jc w:val="left"/>
    </w:pPr>
    <w:rPr>
      <w:rFonts w:ascii="Courier New" w:hAnsi="Courier New"/>
      <w:sz w:val="18"/>
      <w:lang w:bidi="ar-SA"/>
    </w:rPr>
  </w:style>
  <w:style w:type="paragraph" w:styleId="Normalprogramcodeframed" w:customStyle="1">
    <w:name w:val="Normal program code framed"/>
    <w:basedOn w:val="Normalprogramcode"/>
    <w:qFormat/>
    <w:rsid w:val="00b209c2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</w:pPr>
    <w:rPr/>
  </w:style>
  <w:style w:type="paragraph" w:styleId="AnnotationText">
    <w:name w:val="Annotation Text"/>
    <w:basedOn w:val="Normal"/>
    <w:link w:val="CommentTextChar"/>
    <w:uiPriority w:val="99"/>
    <w:unhideWhenUsed/>
    <w:rsid w:val="002e7436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2e7436"/>
    <w:pPr/>
    <w:rPr>
      <w:b/>
      <w:bCs/>
    </w:rPr>
  </w:style>
  <w:style w:type="paragraph" w:styleId="Revision">
    <w:name w:val="Revision"/>
    <w:uiPriority w:val="99"/>
    <w:semiHidden/>
    <w:qFormat/>
    <w:rsid w:val="00c51f07"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sr-Latn-CS" w:eastAsia="en-US" w:bidi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1e4b2e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jc w:val="left"/>
    </w:pPr>
    <w:rPr>
      <w:rFonts w:ascii="Courier New" w:hAnsi="Courier New" w:cs="Courier New"/>
      <w:sz w:val="20"/>
      <w:szCs w:val="20"/>
      <w:lang w:val="en-US" w:bidi="ar-SA"/>
    </w:rPr>
  </w:style>
  <w:style w:type="paragraph" w:styleId="TOC4">
    <w:name w:val="TOC 4"/>
    <w:basedOn w:val="Index"/>
    <w:pPr/>
    <w:rPr/>
  </w:style>
  <w:style w:type="paragraph" w:styleId="TOC5">
    <w:name w:val="TOC 5"/>
    <w:basedOn w:val="Index"/>
    <w:pPr/>
    <w:rPr/>
  </w:style>
  <w:style w:type="paragraph" w:styleId="TOC6">
    <w:name w:val="TOC 6"/>
    <w:basedOn w:val="Index"/>
    <w:pPr/>
    <w:rPr/>
  </w:style>
  <w:style w:type="paragraph" w:styleId="TOC7">
    <w:name w:val="TOC 7"/>
    <w:basedOn w:val="Index"/>
    <w:pPr/>
    <w:rPr/>
  </w:style>
  <w:style w:type="paragraph" w:styleId="TOC8">
    <w:name w:val="TOC 8"/>
    <w:basedOn w:val="Index"/>
    <w:pPr/>
    <w:rPr/>
  </w:style>
  <w:style w:type="paragraph" w:styleId="TOC9">
    <w:name w:val="TOC 9"/>
    <w:basedOn w:val="Index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815da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LightList1">
    <w:name w:val="Light List1"/>
    <w:basedOn w:val="TableNormal"/>
    <w:uiPriority w:val="61"/>
    <w:rsid w:val="00ad715d"/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1" Type="http://schemas.openxmlformats.org/officeDocument/2006/relationships/header" Target="header1.xml"/><Relationship Id="rId22" Type="http://schemas.openxmlformats.org/officeDocument/2006/relationships/header" Target="header2.xml"/><Relationship Id="rId23" Type="http://schemas.openxmlformats.org/officeDocument/2006/relationships/header" Target="header3.xm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oter" Target="footer3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<Relationship Id="rId31" Type="http://schemas.openxmlformats.org/officeDocument/2006/relationships/customXml" Target="../customXml/item1.xml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jpg"/><Relationship Id="rId36" Type="http://schemas.openxmlformats.org/officeDocument/2006/relationships/image" Target="media/image25.jpg"/><Relationship Id="rId37" Type="http://schemas.openxmlformats.org/officeDocument/2006/relationships/image" Target="media/image26.jpg"/><Relationship Id="rId38" Type="http://schemas.openxmlformats.org/officeDocument/2006/relationships/image" Target="media/image27.png"/><Relationship Id="rId39" Type="http://schemas.openxmlformats.org/officeDocument/2006/relationships/image" Target="media/image28.jpg"/><Relationship Id="rId40" Type="http://schemas.openxmlformats.org/officeDocument/2006/relationships/image" Target="media/image29.jpg"/><Relationship Id="rId41" Type="http://schemas.openxmlformats.org/officeDocument/2006/relationships/image" Target="media/image30.jp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jp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1" Type="http://schemas.openxmlformats.org/officeDocument/2006/relationships/image" Target="media/image40.jpg"/><Relationship Id="rId2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0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939D5-7819-4972-BA85-78E63724B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zavrsni rad</Template>
  <TotalTime>60</TotalTime>
  <Application>LibreOffice/24.2.7.2$Linux_X86_64 LibreOffice_project/420$Build-2</Application>
  <AppVersion>15.0000</AppVersion>
  <Pages>58</Pages>
  <Words>12092</Words>
  <Characters>82390</Characters>
  <CharactersWithSpaces>94275</CharactersWithSpaces>
  <Paragraphs>781</Paragraphs>
  <Company>VTS Subotica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Szakdolgozat</cp:category>
  <dcterms:created xsi:type="dcterms:W3CDTF">2023-02-10T08:52:00Z</dcterms:created>
  <dc:creator>Vass Richárd</dc:creator>
  <dc:description>Szabadkai Műszaki Szakfőiskola — Informatika szak</dc:description>
  <cp:keywords>Android; e-hulladék; FastAPI; konténerizáció; objektumdetekció</cp:keywords>
  <dc:language>en-US</dc:language>
  <cp:lastModifiedBy>Vass Richárd</cp:lastModifiedBy>
  <cp:lastPrinted>2023-02-24T15:08:00Z</cp:lastPrinted>
  <dcterms:modified xsi:type="dcterms:W3CDTF">2026-09-04T17:29:19Z</dcterms:modified>
  <cp:revision>17</cp:revision>
  <dc:subject>SwarmCam — elosztott, felhőfüggetlen biztonsági kamerarendszer</dc:subject>
  <dc:title>Újrahasznosított mobiltelefonokon alapuló biztonsági rendszer megvalósítása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