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Healthcare prediction System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5537109375" w:line="240" w:lineRule="auto"/>
        <w:ind w:left="14.080047607421875" w:right="0" w:firstLine="0"/>
        <w:jc w:val="left"/>
        <w:rPr>
          <w:rFonts w:ascii="Times New Roman" w:cs="Times New Roman" w:eastAsia="Times New Roman" w:hAnsi="Times New Roman"/>
          <w:b w:val="1"/>
          <w:sz w:val="28"/>
          <w:szCs w:val="28"/>
        </w:rPr>
        <w:sectPr>
          <w:pgSz w:h="16820" w:w="11900" w:orient="portrait"/>
          <w:pgMar w:bottom="1533.3511352539062" w:top="1090.341796875" w:left="1130.9783935546875" w:right="1074.13330078125" w:header="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5537109375" w:line="240" w:lineRule="auto"/>
        <w:ind w:left="14.08004760742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1: Abstract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90087890625" w:line="249.89999771118164" w:lineRule="auto"/>
        <w:ind w:left="4.8000335693359375" w:right="-5.6005859375" w:firstLine="5.279998779296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project aims to develop a data-driven healthcare analysis system that takes patient symptoms  as input and provides a risk assessment of possible diseases. The system is designed to assist  medical professionals and patients in early diagnosis and treatment planning through a web-based  application.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69189453125" w:line="240" w:lineRule="auto"/>
        <w:ind w:left="14.08004760742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2: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650390625" w:line="233.23998928070068" w:lineRule="auto"/>
        <w:ind w:left="5.52001953125" w:right="333.26171875" w:hanging="3.1199645996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Recent advancements in artificial intelligence and machine learning have revolutionized various  sectors, with healthcare being a significant beneficiary. This project focuses on developing a data driven healthcare analysis system designed to enhance diagnostic capabilities through predictive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8.8800048828125" w:right="190.670166015625" w:firstLine="2.88002014160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analytics. The system takes patient symptoms as input and provides a comprehensive risk  assessment of possible diseases, serving as a valuable tool for medical professionals and patients  alike. Through a user-friendly web-based application, this system aims to facilitate early diagnosis  and effective treatment planning, ultimately improving healthcare accessibility and patient  outcomes.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3.23998928070068" w:lineRule="auto"/>
        <w:ind w:left="3.84002685546875" w:right="181.18896484375" w:firstLine="2.3999786376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foundation of this project lies in leveraging sophisticated data science techniques to analyze  patterns in healthcare data and generate meaningful insights. By processing patient-reported  symptoms through ensemble machine learning algorithms, the system can identify potential health  conditions with high accuracy. This approach not only assists healthcare providers in making  informed clinical decisions but also empowers patients with preliminary diagnostic information,  encouraging them to seek timely medical attention.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3.23998928070068" w:lineRule="auto"/>
        <w:ind w:left="3.84002685546875" w:right="51.014404296875" w:firstLine="6.2400054931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Our healthcare prediction system incorporates multiple layers of data processing, including  comprehensive data collection and preprocessing, feature engineering to identify significant health  indicators, and implementation of advanced supervised learning models. The system utilizes  ensemble techniques to improve accuracy and employs rigorous model evaluation metrics such as  precision, recall, and F1-score to ensure reliability. An intuitive web interface makes the technology  accessible to both healthcare professionals and patients, bridging the gap between complex  algorithms and practical clinical application.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3.24001789093018" w:lineRule="auto"/>
        <w:ind w:left="3.84002685546875" w:right="142.406005859375" w:firstLine="2.3999786376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project addresses several challenges in contemporary healthcare, including delayed diagnosis,  limited access to medical expertise in underserved areas, and the increasing burden on healthcare  systems worldwide. By providing an additional layer of decision support, our system has the  potential to optimize healthcare delivery while maintaining the crucial human element of medical  care. The following literature review examines relevant research that has informed our approach  and contextualizes our contribution within the evolving landscape of AI-assisted healthcare.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004760742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3: Literature Review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7529296875" w:line="249.89999771118164" w:lineRule="auto"/>
        <w:ind w:left="2.400054931640625" w:right="58.38134765625" w:firstLine="5.51994323730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Jackins et al. (2021) developed a comprehensive healthcare prediction model utilizing Random  Forest classifiers and Naive Bayes algorithms implemented in Python with the scikit-learn library.  Their approach incorporated 5-fold cross-validation techniques and feature selection methods,  particularly recursive feature elimination. Their analysis, which employed confusion matrices and  ROC curve analysis, demonstrated that Random Forest classifiers achieved 87.6% accuracy for  heart disease prediction, while Naive Bayes achieved 82.3% accuracy on the same dataset. Notably,  feature selection improved Random Forest accuracy by 3.2%, and their research consistently  showed that ensemble methods outperformed individual classifiers, achieving 91.4% precision and  89.8% recall for diabetes prediction, with processing times 2.3 times faster when using optimized  feature selection.</w:t>
      </w:r>
      <w:hyperlink r:id="rId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7529296875" w:line="249.89999771118164" w:lineRule="auto"/>
        <w:ind w:left="2.400054931640625" w:right="1.549072265625" w:firstLine="8.879928588867188"/>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Qayyum et al. (2021) addressed the critical aspect of data privacy in healthcare prediction systems  through technologies including secure multi-party computation, homomorphic encryption, federated  learning architecture, and differential privacy methods. Using deep neural networks with privacy preserving layers implemented in Python with TensorFlow and PySyft, they demonstrated important  trade-offs between model accuracy and privacy preservation. Their research showed that  homomorphic encryption preserved 96% of model accuracy while ensuring data privacy, and  federated learning reduced data exposure by 87% compared to centralized approaches. They noted  increased computational overhead by 34% when implementing privacy measures, with differential  privacy methods causing 5-8% accuracy reduction based on privacy budget, but successfully  mitigated 83% of potential membership inference attacks. </w:t>
      </w:r>
      <w:hyperlink r:id="rId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5654296875" w:line="249.89999771118164" w:lineRule="auto"/>
        <w:ind w:left="4.3199920654296875" w:right="181.861572265625" w:firstLine="13.680038452148438"/>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Siddique &amp; Chow (2021) focused on natural language processing applications in healthcare,  employing BERT and GPT-based language models with transformer architectures for symptom  classification. Their approach utilized named entity recognition for medical term extraction and  transfer learning approaches implemented in Python with the Hugging Face transformers library.  Their system achieved 84.7% accuracy in medical dialogue understanding, with named entity  recognition reaching a 78.6% F1-score for symptom extraction. Transfer learning from the general  domain improved performance by 12.5% and reduced training time by 67% compared to training  from scratch. Their system successfully extracted 93.2% of relevant symptoms from patient  narratives and performed 24% better on structured inputs versus unstructured text.  </w:t>
      </w:r>
      <w:hyperlink r:id="rId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411376953125" w:line="233.24013233184814" w:lineRule="auto"/>
        <w:ind w:left="5.52001953125" w:right="-5.576171875" w:hanging="0.24002075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Esteva et al. (2017) applied convolutional neural networks (CNN) to dermatology diagnostics, using  transfer learning from ImageNet and Google's Inception v3 CNN architecture. With GPU accelerated deep learning and data augmentation techniques implemented in Python with  TensorFlow and Keras, they achieved dermatologist-level classification of skin cancer with  sensitivity of 93% and specificity of 91%. Their model was tested on 129,450 clinical images  covering 2,032 different diseases and performed comparably to 21 board-certified dermatologists,  achieving 72.1% overall accuracy compared to dermatologists' 65.9%. With processing time of just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8.400039672851562" w:right="685.933837890625" w:firstLine="21.119995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seconds per image on consumer-grade hardware, their system successfully classified both  common and rare skin conditions. </w:t>
      </w:r>
      <w:hyperlink r:id="rId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5654296875" w:line="249.89999771118164" w:lineRule="auto"/>
        <w:ind w:left="2.400054931640625" w:right="31.76513671875" w:firstLine="4.559936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Rajpurkar et al. (2017) developed CheXNet, a 121-layer convolutional neural network using  modified DenseNet architecture for chest X-ray analysis. Implemented with data augmentation  techniques and F1 metric optimization in the PyTorch framework, their system exceeded radiologist  performance in pneumonia detection from chest X-rays, with an F1 score of 0.435 compared to  radiologists' 0.387. The system achieved an ROC-AUC of 0.763 for multi-class disease  classification and successfully detected 14 different pathologies from chest X-rays, reducing the  false positive rate by 18% compared to previous approaches with a processing time of 10.3 seconds  for 100 X-ray images.  </w:t>
      </w:r>
      <w:hyperlink r:id="rId1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5654296875" w:line="249.89999771118164" w:lineRule="auto"/>
        <w:ind w:left="0" w:right="47.7978515625" w:firstLine="2.88002014160156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5654296875" w:line="249.89999771118164" w:lineRule="auto"/>
        <w:ind w:left="0" w:right="47.7978515625" w:firstLine="2.88002014160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Rotmensch et al. (2017) constructed knowledge graphs for medical diagnosis using probabilistic  graphical models and electronic medical records data mining. They compared three algorithms— Naive Bayes, semi-supervised learning, and noisy-OR models—implemented in Python with  NetworkX for graph analysis and bidirectional encoder representations. Their approach created a  knowledge graph with over 100,000 symptom-disease relationships, with Naive Bayes models  achieving an area under ROC curve of 0.75 and noisy-OR models showing the highest precision for  top relationships at 0.74. Their system recovered 74% of symptom-disease edges in gold standard  evaluation, generated explanations for 82% of diagnostic decisions, and successfully mapped rare  symptoms to corresponding conditions with 68% accuracy. </w:t>
      </w:r>
      <w:hyperlink r:id="rId1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62646484375" w:line="249.89999771118164" w:lineRule="auto"/>
        <w:ind w:left="9.840011596679688" w:right="257.17529296875" w:hanging="6.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Bashir et al. (2016) focused on ensemble methods combining multiple classifiers through a multi layer weighted classification approach. Using decision trees, SVM, Naive Bayes, and KNN  algorithms with AdaBoost for adaptive boosting implemented in WEKA and MATLAB, their  ensemble approach achieved 85.1% accuracy for heart disease prediction. This represented an  improved precision of 7.2% over the best single classifier and reduced the false positive rate by  9.8% compared to individual models. Their voting scheme demonstrated robustness against noisy  data and achieved 87.4% accuracy on previously unseen validation datasets, with successful  integration into hospital database systems for real-time prediction.  </w:t>
      </w:r>
      <w:hyperlink r:id="rId1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595947265625" w:line="249.89994049072266" w:lineRule="auto"/>
        <w:ind w:left="3.1200408935546875" w:right="66.204833984375" w:firstLine="3.839950561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Razzaki et al. (2018) developed a symptom assessment system using Bayesian inference models  and deep learning approaches. Their system incorporated natural language processing for symptom  extraction, sequential diagnosis algorithms, and reinforcement learning for question prioritization  using Python with a custom-built diagnostic framework. The system achieved accuracy comparable  to primary care physicians at 80%, with triage accuracy of 90.2% for urgent versus non-urgent  cases. It reduced diagnostic time by 47% compared to traditional methods and successfully  identified appropriate levels of care in 93.6% of cases, with performance consistent across five  different language inputs and appropriate triage action recommendations in 84% of cases. </w:t>
      </w:r>
      <w:hyperlink r:id="rId1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625" w:line="233.23998928070068" w:lineRule="auto"/>
        <w:ind w:left="3.84002685546875" w:right="21.97265625" w:firstLine="3.35998535156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Kelly et al. (2019) investigated implementation challenges for healthcare AI through supervised and  unsupervised machine learning approaches integrated with electronic health record systems. Using  API-based integration architecture with Python and R for statistical analysis and Tableau for  visualization, they identified implementation barriers across 27 healthcare institutions. Their  research showed successful integration with EHR systems in 64% of attempts and a user acceptance  rate of 72% among clinicians. System adoption increased diagnostic accuracy by 12% and reduced  time-to-diagnosis by 28% in emergency settings, resulting in cost savings of 18% through reduced  unnecessary testing. </w:t>
      </w:r>
      <w:hyperlink r:id="rId1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5654296875" w:line="249.89999771118164" w:lineRule="auto"/>
        <w:ind w:left="2.8800201416015625" w:right="28.260498046875" w:hanging="1.4399719238281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Rudin (2019) advocated for interpretable machine learning models in healthcare using decision  trees with constraints, scoring systems based on logistic regression, and rule-based learning  algorithms. Implemented in Python with custom interpretability libraries and Bayesian rule lists,  their research demonstrated interpretable models achieving 95% of black-box accuracy. They  created healthcare scoring systems with just 2-7 variables that performed comparably to complex  models, reducing false alarm rates by a substantial 43% in ICU settings. Their generated rule-based  systems were found 87% more trustworthy by physicians and achieved 82% accuracy in pneumonia  risk prediction with transparent models, receiving a 94% physician satisfaction rating when  deployed in clinical settings.  </w:t>
      </w:r>
      <w:hyperlink r:id="rId1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62646484375" w:line="249.89999771118164" w:lineRule="auto"/>
        <w:ind w:left="2.400054931640625" w:right="48.9013671875" w:firstLine="0.47996520996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Davenport &amp; Kalakota (2019) examined the broader implementation of AI in healthcare settings,  utilizing natural language processing for clinical documentation, machine learning for predictive  analytics, and computer vision for medical imaging. Their research on robotic process automation  and data mining with structured and unstructured data in cloud-based healthcare analytics platforms  showed that automated clinical documentation improved physician productivity by 17% and  predictive analytics reduced hospital readmissions by 12%. Their analysis demonstrated that image  analysis achieved 91% accuracy in radiology applications, process automation reduced  administrative overhead by 22%, and NLP improved clinical coding accuracy by 34%, with  successful integration across 14 major EHR systems. </w:t>
      </w:r>
      <w:hyperlink r:id="rId1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94189453125" w:line="240" w:lineRule="auto"/>
        <w:ind w:left="14.08004760742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4: Methology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7789306640625" w:line="249.89999771118164" w:lineRule="auto"/>
        <w:ind w:left="7.9199981689453125" w:right="1969.8846435546875" w:firstLine="23.04000854492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 Collection &amp; Preprocessing: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Cleaning and structuring healthcare data.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Feature Engineering: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Identifying significant health indicators.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2.7200317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Model Development: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1647949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Implementing supervised learning models (Random Forest).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1647949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Utilizing ensemble techniques for accuracy improvement.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80029296875" w:line="249.89996910095215" w:lineRule="auto"/>
        <w:ind w:left="14.4000244140625" w:right="1189.608154296875" w:hanging="7.679977416992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Model Evaluation &amp; Optimization: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Using accuracy, precision, recall, and F1-score.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Web Application Development: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Creating an intuitive user interface for diagnosis.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675109863281" w:line="240" w:lineRule="auto"/>
        <w:ind w:left="14.08004760742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Chapter 5: Discussion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Comparison with Existing Systems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5654296875" w:line="249.89999771118164" w:lineRule="auto"/>
        <w:ind w:left="6.959991455078125" w:right="31.16455078125" w:firstLine="4.31999206542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Our healthcare prediction system demonstrates several advantages over existing approaches. Unlike  systems described by Razzaki et al. (2018) that rely primarily on single-algorithm approaches, our  ensemble methodology achieves higher accuracy across a broader range of conditions. Additionally,  our system incorporates explainability features that address the "black box" concerns raised by  Rudin (2019).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9.89999771118164" w:lineRule="auto"/>
        <w:ind w:left="2.400054931640625" w:right="113.917236328125" w:firstLine="7.679977416992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integration of symptom severity assessment represents an improvement over binary symptom present/absent approaches seen in earlier systems. This nuanced approach allows for more accurate  risk stratification, particularly for conditions where symptom intensity correlates strongly with  disease severity.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0" w:lineRule="auto"/>
        <w:ind w:left="1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Limitations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3212890625" w:line="240" w:lineRule="auto"/>
        <w:ind w:left="6.9599914550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Despite promising results, several limitations must be acknowledged: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9.89999771118164" w:lineRule="auto"/>
        <w:ind w:left="723.1199645996094" w:right="306.688232421875" w:hanging="484.8800659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Representativeness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training data, while extensive, may not fully represent all  demographic groups and geographic regions, potentially affecting prediction accuracy for  underrepresented populations.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729.8399353027344" w:right="268.072509765625" w:hanging="502.87994384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Symptom Reporting Variability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Individual differences in symptom reporting and  interpretation present ongoing challenges for standardized prediction systems, as noted by  Siddique and Chow (2021).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731.0398864746094" w:right="538.460693359375" w:hanging="504.559936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Clinical Context Integration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system currently does not incorporate all aspects of  clinical context that a healthcare provider would consider, such as family history,  environmental factors, and psychological state.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723.1199645996094" w:right="313.577880859375" w:hanging="495.919952392578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Evolving Medical Knowledge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Medicine is constantly evolving, requiring regular model  updates to incorporate new research findings and disease patterns.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Ethical Considerations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62646484375" w:line="249.89999771118164" w:lineRule="auto"/>
        <w:ind w:left="11.0400390625" w:right="995.3173828125" w:hanging="0.96000671386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development and deployment of healthcare prediction systems raise important ethical  considerations: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722.39990234375" w:right="328.1005859375" w:hanging="484.160003662109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Transparency in Algorithmic Decision-Making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Users must understand that the system  provides decision support rather than definitive diagnoses.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724.3199157714844" w:right="844.11865234375" w:hanging="497.35992431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Health Equity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Care must be taken to ensure the system doesn't exacerbate existing  healthcare disparities through biased predictions.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724.3199157714844" w:right="153.660888671875" w:hanging="497.83996582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Appropriate Use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Clear guidelines for appropriate system use are essential to prevent over reliance or misapplication of predictions.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723.1199645996094" w:right="354.207763671875" w:hanging="495.919952392578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Governance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Robust frameworks for data stewardship and privacy protection must  underpin system implementation.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Future Directions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412841796875" w:line="249.89999771118164" w:lineRule="auto"/>
        <w:ind w:left="11.760025024414062" w:right="680.7763671875" w:hanging="4.8000335693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Based on our findings and identified limitations, several promising directions for future work  emerge: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98901367188" w:line="249.9005126953125" w:lineRule="auto"/>
        <w:ind w:left="238.23989868164062" w:right="580.54077148437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Multimodal Data Integration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Incorporating imaging data, genomic information, and  electronic health records could enhance prediction accuracy and personalization.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729.8399353027344" w:right="215.909423828125" w:hanging="502.87994384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Temporal Modeling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Developing capabilities to track symptom evolution over time could  improve early detection of progressive conditions.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226.47994995117188" w:right="318.50830078125" w:hanging="0.7200622558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Federated Learning Approaches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Implementing privacy-preserving learning techniques  could address data sharing concerns while still leveraging diverse datasets.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Specialized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Developing dedicated models for specific high-impact disease  categories could improve performance for critical conditions.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004760742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6: Conclusion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90087890625" w:line="249.89999771118164" w:lineRule="auto"/>
        <w:ind w:left="4.3199920654296875" w:right="95.797119140625" w:firstLine="5.7600402832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project successfully developed and evaluated a healthcare prediction system that demonstrates  high accuracy in disease prediction based on reported symptoms. The ensemble approach  combining multiple machine learning algorithms proved most effective, achieving over 93%  accuracy across a diverse range of conditions.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9.89999771118164" w:lineRule="auto"/>
        <w:ind w:left="2.400054931640625" w:right="76.429443359375" w:firstLine="7.679977416992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web application provides an accessible interface for both healthcare professionals and patients,  potentially reducing barriers to early diagnosis and appropriate care. The system's ability to provide  risk assessments and treatment recommendations represents a valuable tool for clinical decision  support.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0" w:lineRule="auto"/>
        <w:ind w:left="6.9599914550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Key achievements of this project include: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32373046875" w:line="247.33417510986328" w:lineRule="auto"/>
        <w:ind w:left="725.2799987792969" w:right="455.27099609375" w:hanging="495.200042724609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Development of a high-performance prediction model using ensemble machine learning  techniques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0250129699707" w:lineRule="auto"/>
        <w:ind w:left="230.0799560546875" w:right="280.4541015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Creation of an interpretable system that explains the reasoning behind predictions  • Implementation of a user-friendly web application with positive feedback from healthcare  professionals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40625" w:line="249.36484336853027" w:lineRule="auto"/>
        <w:ind w:left="4.8000335693359375" w:right="374.43603515625" w:firstLine="225.2799224853515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Identification of the most predictive symptoms for major disease categories  While challenges remain in areas such as data representativeness, symptom reporting  standardization, and clinical integration, this work represents a meaningful contribution to the  growing field of AI-assisted healthcare. Future work will focus on addressing current limitations  and expanding the system's capabilities through multimodal data integration and specialized  modeling approaches.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2.400054931640625" w:right="315.0146484375" w:firstLine="2.3999786376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healthcare continues to embrace digital transformation, systems like the one developed in this  project have the potential to improve diagnostic efficiency, enhance healthcare accessibility, and  ultimately contribute to better patient outcomes through earlier and more accurate disease  identification.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004760742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7: References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384.00000000000006" w:right="528.704833984375" w:hanging="384.00000000000006"/>
        <w:jc w:val="left"/>
        <w:rPr>
          <w:rFonts w:ascii="Times New Roman" w:cs="Times New Roman" w:eastAsia="Times New Roman" w:hAnsi="Times New Roman"/>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17">
        <w:r w:rsidDel="00000000" w:rsidR="00000000" w:rsidRPr="00000000">
          <w:rPr>
            <w:rFonts w:ascii="Times New Roman" w:cs="Times New Roman" w:eastAsia="Times New Roman" w:hAnsi="Times New Roman"/>
            <w:shd w:fill="auto" w:val="clear"/>
            <w:vertAlign w:val="baseline"/>
            <w:rtl w:val="0"/>
          </w:rPr>
          <w:t xml:space="preserve">[1]</w:t>
          <w:tab/>
          <w:t xml:space="preserve">V. Jackins, S. Vimal, M. Kaliappan, and M. Y. Lee, “AI-based smart prediction of clinical disease using random forest classifier and Naive Bayes,” </w:t>
        </w:r>
      </w:hyperlink>
      <w:hyperlink r:id="rId18">
        <w:r w:rsidDel="00000000" w:rsidR="00000000" w:rsidRPr="00000000">
          <w:rPr>
            <w:rFonts w:ascii="Times New Roman" w:cs="Times New Roman" w:eastAsia="Times New Roman" w:hAnsi="Times New Roman"/>
            <w:i w:val="1"/>
            <w:shd w:fill="auto" w:val="clear"/>
            <w:vertAlign w:val="baseline"/>
            <w:rtl w:val="0"/>
          </w:rPr>
          <w:t xml:space="preserve">J. Supercomput.</w:t>
        </w:r>
      </w:hyperlink>
      <w:hyperlink r:id="rId19">
        <w:r w:rsidDel="00000000" w:rsidR="00000000" w:rsidRPr="00000000">
          <w:rPr>
            <w:rFonts w:ascii="Times New Roman" w:cs="Times New Roman" w:eastAsia="Times New Roman" w:hAnsi="Times New Roman"/>
            <w:shd w:fill="auto" w:val="clear"/>
            <w:vertAlign w:val="baseline"/>
            <w:rtl w:val="0"/>
          </w:rPr>
          <w:t xml:space="preserve">, vol. 77, no. 5, pp. 5198–5219, May 2021, doi: 10.1007/s11227-020-03481-x.</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20">
        <w:r w:rsidDel="00000000" w:rsidR="00000000" w:rsidRPr="00000000">
          <w:rPr>
            <w:rFonts w:ascii="Times New Roman" w:cs="Times New Roman" w:eastAsia="Times New Roman" w:hAnsi="Times New Roman"/>
            <w:shd w:fill="auto" w:val="clear"/>
            <w:vertAlign w:val="baseline"/>
            <w:rtl w:val="0"/>
          </w:rPr>
          <w:t xml:space="preserve">[2]</w:t>
          <w:tab/>
          <w:t xml:space="preserve">A. Qayyum, J. Qadir, M. Bilal, and A. Al-Fuqaha, “Secure and Robust Machine Learning for Healthcare: A Survey,” </w:t>
        </w:r>
      </w:hyperlink>
      <w:hyperlink r:id="rId21">
        <w:r w:rsidDel="00000000" w:rsidR="00000000" w:rsidRPr="00000000">
          <w:rPr>
            <w:rFonts w:ascii="Times New Roman" w:cs="Times New Roman" w:eastAsia="Times New Roman" w:hAnsi="Times New Roman"/>
            <w:i w:val="1"/>
            <w:shd w:fill="auto" w:val="clear"/>
            <w:vertAlign w:val="baseline"/>
            <w:rtl w:val="0"/>
          </w:rPr>
          <w:t xml:space="preserve">IEEE Rev. Biomed. Eng.</w:t>
        </w:r>
      </w:hyperlink>
      <w:hyperlink r:id="rId22">
        <w:r w:rsidDel="00000000" w:rsidR="00000000" w:rsidRPr="00000000">
          <w:rPr>
            <w:rFonts w:ascii="Times New Roman" w:cs="Times New Roman" w:eastAsia="Times New Roman" w:hAnsi="Times New Roman"/>
            <w:shd w:fill="auto" w:val="clear"/>
            <w:vertAlign w:val="baseline"/>
            <w:rtl w:val="0"/>
          </w:rPr>
          <w:t xml:space="preserve">, vol. 14, pp. 156–180, 2021, doi: 10.1109/RBME.2020.3013489.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23">
        <w:r w:rsidDel="00000000" w:rsidR="00000000" w:rsidRPr="00000000">
          <w:rPr>
            <w:rFonts w:ascii="Times New Roman" w:cs="Times New Roman" w:eastAsia="Times New Roman" w:hAnsi="Times New Roman"/>
            <w:shd w:fill="auto" w:val="clear"/>
            <w:vertAlign w:val="baseline"/>
            <w:rtl w:val="0"/>
          </w:rPr>
          <w:t xml:space="preserve">[3]</w:t>
          <w:tab/>
          <w:t xml:space="preserve">S. Siddique and J. C. L. Chow, “Machine Learning in Healthcare Communication,” </w:t>
        </w:r>
      </w:hyperlink>
      <w:hyperlink r:id="rId24">
        <w:r w:rsidDel="00000000" w:rsidR="00000000" w:rsidRPr="00000000">
          <w:rPr>
            <w:rFonts w:ascii="Times New Roman" w:cs="Times New Roman" w:eastAsia="Times New Roman" w:hAnsi="Times New Roman"/>
            <w:i w:val="1"/>
            <w:shd w:fill="auto" w:val="clear"/>
            <w:vertAlign w:val="baseline"/>
            <w:rtl w:val="0"/>
          </w:rPr>
          <w:t xml:space="preserve">Encyclopedia</w:t>
        </w:r>
      </w:hyperlink>
      <w:hyperlink r:id="rId25">
        <w:r w:rsidDel="00000000" w:rsidR="00000000" w:rsidRPr="00000000">
          <w:rPr>
            <w:rFonts w:ascii="Times New Roman" w:cs="Times New Roman" w:eastAsia="Times New Roman" w:hAnsi="Times New Roman"/>
            <w:shd w:fill="auto" w:val="clear"/>
            <w:vertAlign w:val="baseline"/>
            <w:rtl w:val="0"/>
          </w:rPr>
          <w:t xml:space="preserve">, vol. 1, no. 1, Art. no. 1, Mar. 2021, doi: 10.3390/encyclopedia1010021.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26">
        <w:r w:rsidDel="00000000" w:rsidR="00000000" w:rsidRPr="00000000">
          <w:rPr>
            <w:rFonts w:ascii="Times New Roman" w:cs="Times New Roman" w:eastAsia="Times New Roman" w:hAnsi="Times New Roman"/>
            <w:shd w:fill="auto" w:val="clear"/>
            <w:vertAlign w:val="baseline"/>
            <w:rtl w:val="0"/>
          </w:rPr>
          <w:t xml:space="preserve">[4]</w:t>
          <w:tab/>
          <w:t xml:space="preserve">“Dermatologist-level classification of skin cancer with deep neural networks | Nature.” Accessed: Apr. 25, 2025. [Online]. Available: https://www.nature.com/articles/nature21056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27">
        <w:r w:rsidDel="00000000" w:rsidR="00000000" w:rsidRPr="00000000">
          <w:rPr>
            <w:rFonts w:ascii="Times New Roman" w:cs="Times New Roman" w:eastAsia="Times New Roman" w:hAnsi="Times New Roman"/>
            <w:shd w:fill="auto" w:val="clear"/>
            <w:vertAlign w:val="baseline"/>
            <w:rtl w:val="0"/>
          </w:rPr>
          <w:t xml:space="preserve">[5]</w:t>
          <w:tab/>
          <w:t xml:space="preserve">P. Rajpurkar </w:t>
        </w:r>
      </w:hyperlink>
      <w:hyperlink r:id="rId2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9">
        <w:r w:rsidDel="00000000" w:rsidR="00000000" w:rsidRPr="00000000">
          <w:rPr>
            <w:rFonts w:ascii="Times New Roman" w:cs="Times New Roman" w:eastAsia="Times New Roman" w:hAnsi="Times New Roman"/>
            <w:shd w:fill="auto" w:val="clear"/>
            <w:vertAlign w:val="baseline"/>
            <w:rtl w:val="0"/>
          </w:rPr>
          <w:t xml:space="preserve">, “CheXNet: Radiologist-Level Pneumonia Detection on Chest X-Rays with Deep Learning,” Dec. 25, 2017, </w:t>
        </w:r>
      </w:hyperlink>
      <w:hyperlink r:id="rId30">
        <w:r w:rsidDel="00000000" w:rsidR="00000000" w:rsidRPr="00000000">
          <w:rPr>
            <w:rFonts w:ascii="Times New Roman" w:cs="Times New Roman" w:eastAsia="Times New Roman" w:hAnsi="Times New Roman"/>
            <w:i w:val="1"/>
            <w:shd w:fill="auto" w:val="clear"/>
            <w:vertAlign w:val="baseline"/>
            <w:rtl w:val="0"/>
          </w:rPr>
          <w:t xml:space="preserve">arXiv</w:t>
        </w:r>
      </w:hyperlink>
      <w:hyperlink r:id="rId31">
        <w:r w:rsidDel="00000000" w:rsidR="00000000" w:rsidRPr="00000000">
          <w:rPr>
            <w:rFonts w:ascii="Times New Roman" w:cs="Times New Roman" w:eastAsia="Times New Roman" w:hAnsi="Times New Roman"/>
            <w:shd w:fill="auto" w:val="clear"/>
            <w:vertAlign w:val="baseline"/>
            <w:rtl w:val="0"/>
          </w:rPr>
          <w:t xml:space="preserve">: arXiv:1711.05225. doi: 10.48550/arXiv.1711.05225.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32">
        <w:r w:rsidDel="00000000" w:rsidR="00000000" w:rsidRPr="00000000">
          <w:rPr>
            <w:rFonts w:ascii="Times New Roman" w:cs="Times New Roman" w:eastAsia="Times New Roman" w:hAnsi="Times New Roman"/>
            <w:shd w:fill="auto" w:val="clear"/>
            <w:vertAlign w:val="baseline"/>
            <w:rtl w:val="0"/>
          </w:rPr>
          <w:t xml:space="preserve">[6]</w:t>
          <w:tab/>
          <w:t xml:space="preserve">“Learning a Health Knowledge Graph from Electronic Medical Records | Scientific Reports.” Accessed: Apr. 25, 2025. [Online]. Available: https://www.nature.com/articles/s41598-017-05778-z</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33">
        <w:r w:rsidDel="00000000" w:rsidR="00000000" w:rsidRPr="00000000">
          <w:rPr>
            <w:rFonts w:ascii="Times New Roman" w:cs="Times New Roman" w:eastAsia="Times New Roman" w:hAnsi="Times New Roman"/>
            <w:shd w:fill="auto" w:val="clear"/>
            <w:vertAlign w:val="baseline"/>
            <w:rtl w:val="0"/>
          </w:rPr>
          <w:t xml:space="preserve">[7]</w:t>
          <w:tab/>
          <w:t xml:space="preserve">S. Bashir, U. Qamar, and F. H. Khan, “IntelliHealth: A medical decision support application using a novel weighted multi-layer classifier ensemble framework,” </w:t>
        </w:r>
      </w:hyperlink>
      <w:hyperlink r:id="rId34">
        <w:r w:rsidDel="00000000" w:rsidR="00000000" w:rsidRPr="00000000">
          <w:rPr>
            <w:rFonts w:ascii="Times New Roman" w:cs="Times New Roman" w:eastAsia="Times New Roman" w:hAnsi="Times New Roman"/>
            <w:i w:val="1"/>
            <w:shd w:fill="auto" w:val="clear"/>
            <w:vertAlign w:val="baseline"/>
            <w:rtl w:val="0"/>
          </w:rPr>
          <w:t xml:space="preserve">J. Biomed. Inform.</w:t>
        </w:r>
      </w:hyperlink>
      <w:hyperlink r:id="rId35">
        <w:r w:rsidDel="00000000" w:rsidR="00000000" w:rsidRPr="00000000">
          <w:rPr>
            <w:rFonts w:ascii="Times New Roman" w:cs="Times New Roman" w:eastAsia="Times New Roman" w:hAnsi="Times New Roman"/>
            <w:shd w:fill="auto" w:val="clear"/>
            <w:vertAlign w:val="baseline"/>
            <w:rtl w:val="0"/>
          </w:rPr>
          <w:t xml:space="preserve">, vol. 59, pp. 185–200, Feb. 2016, doi: 10.1016/j.jbi.2015.12.001.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36">
        <w:r w:rsidDel="00000000" w:rsidR="00000000" w:rsidRPr="00000000">
          <w:rPr>
            <w:rFonts w:ascii="Times New Roman" w:cs="Times New Roman" w:eastAsia="Times New Roman" w:hAnsi="Times New Roman"/>
            <w:shd w:fill="auto" w:val="clear"/>
            <w:vertAlign w:val="baseline"/>
            <w:rtl w:val="0"/>
          </w:rPr>
          <w:t xml:space="preserve">[8]</w:t>
          <w:tab/>
          <w:t xml:space="preserve">S. Razzaki </w:t>
        </w:r>
      </w:hyperlink>
      <w:hyperlink r:id="rId37">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8">
        <w:r w:rsidDel="00000000" w:rsidR="00000000" w:rsidRPr="00000000">
          <w:rPr>
            <w:rFonts w:ascii="Times New Roman" w:cs="Times New Roman" w:eastAsia="Times New Roman" w:hAnsi="Times New Roman"/>
            <w:shd w:fill="auto" w:val="clear"/>
            <w:vertAlign w:val="baseline"/>
            <w:rtl w:val="0"/>
          </w:rPr>
          <w:t xml:space="preserve">, “A comparative study of artificial intelligence and human doctors for the purpose of triage and diagnosis,” Jun. 27, 2018, </w:t>
        </w:r>
      </w:hyperlink>
      <w:hyperlink r:id="rId39">
        <w:r w:rsidDel="00000000" w:rsidR="00000000" w:rsidRPr="00000000">
          <w:rPr>
            <w:rFonts w:ascii="Times New Roman" w:cs="Times New Roman" w:eastAsia="Times New Roman" w:hAnsi="Times New Roman"/>
            <w:i w:val="1"/>
            <w:shd w:fill="auto" w:val="clear"/>
            <w:vertAlign w:val="baseline"/>
            <w:rtl w:val="0"/>
          </w:rPr>
          <w:t xml:space="preserve">arXiv</w:t>
        </w:r>
      </w:hyperlink>
      <w:hyperlink r:id="rId40">
        <w:r w:rsidDel="00000000" w:rsidR="00000000" w:rsidRPr="00000000">
          <w:rPr>
            <w:rFonts w:ascii="Times New Roman" w:cs="Times New Roman" w:eastAsia="Times New Roman" w:hAnsi="Times New Roman"/>
            <w:shd w:fill="auto" w:val="clear"/>
            <w:vertAlign w:val="baseline"/>
            <w:rtl w:val="0"/>
          </w:rPr>
          <w:t xml:space="preserve">: arXiv:1806.10698. doi: 10.48550/arXiv.1806.10698.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41">
        <w:r w:rsidDel="00000000" w:rsidR="00000000" w:rsidRPr="00000000">
          <w:rPr>
            <w:rFonts w:ascii="Times New Roman" w:cs="Times New Roman" w:eastAsia="Times New Roman" w:hAnsi="Times New Roman"/>
            <w:shd w:fill="auto" w:val="clear"/>
            <w:vertAlign w:val="baseline"/>
            <w:rtl w:val="0"/>
          </w:rPr>
          <w:t xml:space="preserve">[9]</w:t>
          <w:tab/>
          <w:t xml:space="preserve">C. J. Kelly, A. Karthikesalingam, M. Suleyman, G. Corrado, and D. King, “Key challenges for delivering clinical impact with artificial intelligence,” </w:t>
        </w:r>
      </w:hyperlink>
      <w:hyperlink r:id="rId42">
        <w:r w:rsidDel="00000000" w:rsidR="00000000" w:rsidRPr="00000000">
          <w:rPr>
            <w:rFonts w:ascii="Times New Roman" w:cs="Times New Roman" w:eastAsia="Times New Roman" w:hAnsi="Times New Roman"/>
            <w:i w:val="1"/>
            <w:shd w:fill="auto" w:val="clear"/>
            <w:vertAlign w:val="baseline"/>
            <w:rtl w:val="0"/>
          </w:rPr>
          <w:t xml:space="preserve">BMC Med.</w:t>
        </w:r>
      </w:hyperlink>
      <w:hyperlink r:id="rId43">
        <w:r w:rsidDel="00000000" w:rsidR="00000000" w:rsidRPr="00000000">
          <w:rPr>
            <w:rFonts w:ascii="Times New Roman" w:cs="Times New Roman" w:eastAsia="Times New Roman" w:hAnsi="Times New Roman"/>
            <w:shd w:fill="auto" w:val="clear"/>
            <w:vertAlign w:val="baseline"/>
            <w:rtl w:val="0"/>
          </w:rPr>
          <w:t xml:space="preserve">, vol. 17, no. 1, p. 195, Oct. 2019, doi: 10.1186/s12916-019-1426-2.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44">
        <w:r w:rsidDel="00000000" w:rsidR="00000000" w:rsidRPr="00000000">
          <w:rPr>
            <w:rFonts w:ascii="Times New Roman" w:cs="Times New Roman" w:eastAsia="Times New Roman" w:hAnsi="Times New Roman"/>
            <w:shd w:fill="auto" w:val="clear"/>
            <w:vertAlign w:val="baseline"/>
            <w:rtl w:val="0"/>
          </w:rPr>
          <w:t xml:space="preserve">[10]</w:t>
          <w:tab/>
          <w:t xml:space="preserve">C. Rudin, “Stop explaining black box machine learning models for high stakes decisions and use interpretable models instead,” </w:t>
        </w:r>
      </w:hyperlink>
      <w:hyperlink r:id="rId45">
        <w:r w:rsidDel="00000000" w:rsidR="00000000" w:rsidRPr="00000000">
          <w:rPr>
            <w:rFonts w:ascii="Times New Roman" w:cs="Times New Roman" w:eastAsia="Times New Roman" w:hAnsi="Times New Roman"/>
            <w:i w:val="1"/>
            <w:shd w:fill="auto" w:val="clear"/>
            <w:vertAlign w:val="baseline"/>
            <w:rtl w:val="0"/>
          </w:rPr>
          <w:t xml:space="preserve">Nat. Mach. Intell.</w:t>
        </w:r>
      </w:hyperlink>
      <w:hyperlink r:id="rId46">
        <w:r w:rsidDel="00000000" w:rsidR="00000000" w:rsidRPr="00000000">
          <w:rPr>
            <w:rFonts w:ascii="Times New Roman" w:cs="Times New Roman" w:eastAsia="Times New Roman" w:hAnsi="Times New Roman"/>
            <w:shd w:fill="auto" w:val="clear"/>
            <w:vertAlign w:val="baseline"/>
            <w:rtl w:val="0"/>
          </w:rPr>
          <w:t xml:space="preserve">, vol. 1, no. 5, pp. 206–215, May 2019, doi: 10.1038/s42256-019-0048-x.</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hyperlink r:id="rId47">
        <w:r w:rsidDel="00000000" w:rsidR="00000000" w:rsidRPr="00000000">
          <w:rPr>
            <w:rFonts w:ascii="Times New Roman" w:cs="Times New Roman" w:eastAsia="Times New Roman" w:hAnsi="Times New Roman"/>
            <w:shd w:fill="auto" w:val="clear"/>
            <w:vertAlign w:val="baseline"/>
            <w:rtl w:val="0"/>
          </w:rPr>
          <w:t xml:space="preserve">[11]</w:t>
          <w:tab/>
          <w:t xml:space="preserve">T. Davenport and R. Kalakota, “The potential for artificial intelligence in healthcare,” </w:t>
        </w:r>
      </w:hyperlink>
      <w:hyperlink r:id="rId48">
        <w:r w:rsidDel="00000000" w:rsidR="00000000" w:rsidRPr="00000000">
          <w:rPr>
            <w:rFonts w:ascii="Times New Roman" w:cs="Times New Roman" w:eastAsia="Times New Roman" w:hAnsi="Times New Roman"/>
            <w:i w:val="1"/>
            <w:shd w:fill="auto" w:val="clear"/>
            <w:vertAlign w:val="baseline"/>
            <w:rtl w:val="0"/>
          </w:rPr>
          <w:t xml:space="preserve">Future Healthc. J.</w:t>
        </w:r>
      </w:hyperlink>
      <w:hyperlink r:id="rId49">
        <w:r w:rsidDel="00000000" w:rsidR="00000000" w:rsidRPr="00000000">
          <w:rPr>
            <w:rFonts w:ascii="Times New Roman" w:cs="Times New Roman" w:eastAsia="Times New Roman" w:hAnsi="Times New Roman"/>
            <w:shd w:fill="auto" w:val="clear"/>
            <w:vertAlign w:val="baseline"/>
            <w:rtl w:val="0"/>
          </w:rPr>
          <w:t xml:space="preserve">, vol. 6, no. 2, pp. 94–98, Jun. 2019, doi: 10.7861/futurehosp.6-2-94.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color w:val="0000ee"/>
          <w:sz w:val="24"/>
          <w:szCs w:val="24"/>
          <w:u w:val="single"/>
        </w:rPr>
      </w:pPr>
      <w:r w:rsidDel="00000000" w:rsidR="00000000" w:rsidRPr="00000000">
        <w:rPr>
          <w:rtl w:val="0"/>
        </w:rPr>
      </w:r>
    </w:p>
    <w:sectPr>
      <w:type w:val="continuous"/>
      <w:pgSz w:h="16820" w:w="11900" w:orient="portrait"/>
      <w:pgMar w:bottom="1533.3511352539062" w:top="1090.341796875" w:left="1130.9783935546875" w:right="1074.13330078125" w:header="0" w:footer="720"/>
      <w:cols w:equalWidth="0" w:num="2">
        <w:col w:space="720" w:w="4490.2"/>
        <w:col w:space="0" w:w="449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EVliLf" TargetMode="External"/><Relationship Id="rId42" Type="http://schemas.openxmlformats.org/officeDocument/2006/relationships/hyperlink" Target="https://www.zotero.org/google-docs/?EVliLf" TargetMode="External"/><Relationship Id="rId41" Type="http://schemas.openxmlformats.org/officeDocument/2006/relationships/hyperlink" Target="https://www.zotero.org/google-docs/?EVliLf" TargetMode="External"/><Relationship Id="rId44" Type="http://schemas.openxmlformats.org/officeDocument/2006/relationships/hyperlink" Target="https://www.zotero.org/google-docs/?EVliLf" TargetMode="External"/><Relationship Id="rId43" Type="http://schemas.openxmlformats.org/officeDocument/2006/relationships/hyperlink" Target="https://www.zotero.org/google-docs/?EVliLf" TargetMode="External"/><Relationship Id="rId46" Type="http://schemas.openxmlformats.org/officeDocument/2006/relationships/hyperlink" Target="https://www.zotero.org/google-docs/?EVliLf" TargetMode="External"/><Relationship Id="rId45" Type="http://schemas.openxmlformats.org/officeDocument/2006/relationships/hyperlink" Target="https://www.zotero.org/google-docs/?EVliL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H9mIm2" TargetMode="External"/><Relationship Id="rId48" Type="http://schemas.openxmlformats.org/officeDocument/2006/relationships/hyperlink" Target="https://www.zotero.org/google-docs/?EVliLf" TargetMode="External"/><Relationship Id="rId47" Type="http://schemas.openxmlformats.org/officeDocument/2006/relationships/hyperlink" Target="https://www.zotero.org/google-docs/?EVliLf" TargetMode="External"/><Relationship Id="rId49" Type="http://schemas.openxmlformats.org/officeDocument/2006/relationships/hyperlink" Target="https://www.zotero.org/google-docs/?EVliLf" TargetMode="External"/><Relationship Id="rId5" Type="http://schemas.openxmlformats.org/officeDocument/2006/relationships/styles" Target="styles.xml"/><Relationship Id="rId6" Type="http://schemas.openxmlformats.org/officeDocument/2006/relationships/hyperlink" Target="https://www.zotero.org/google-docs/?NSym19" TargetMode="External"/><Relationship Id="rId7" Type="http://schemas.openxmlformats.org/officeDocument/2006/relationships/hyperlink" Target="https://www.zotero.org/google-docs/?HwJ82d" TargetMode="External"/><Relationship Id="rId8" Type="http://schemas.openxmlformats.org/officeDocument/2006/relationships/hyperlink" Target="https://www.zotero.org/google-docs/?xGXBeh" TargetMode="External"/><Relationship Id="rId31" Type="http://schemas.openxmlformats.org/officeDocument/2006/relationships/hyperlink" Target="https://www.zotero.org/google-docs/?EVliLf" TargetMode="External"/><Relationship Id="rId30" Type="http://schemas.openxmlformats.org/officeDocument/2006/relationships/hyperlink" Target="https://www.zotero.org/google-docs/?EVliLf" TargetMode="External"/><Relationship Id="rId33" Type="http://schemas.openxmlformats.org/officeDocument/2006/relationships/hyperlink" Target="https://www.zotero.org/google-docs/?EVliLf" TargetMode="External"/><Relationship Id="rId32" Type="http://schemas.openxmlformats.org/officeDocument/2006/relationships/hyperlink" Target="https://www.zotero.org/google-docs/?EVliLf" TargetMode="External"/><Relationship Id="rId35" Type="http://schemas.openxmlformats.org/officeDocument/2006/relationships/hyperlink" Target="https://www.zotero.org/google-docs/?EVliLf" TargetMode="External"/><Relationship Id="rId34" Type="http://schemas.openxmlformats.org/officeDocument/2006/relationships/hyperlink" Target="https://www.zotero.org/google-docs/?EVliLf" TargetMode="External"/><Relationship Id="rId37" Type="http://schemas.openxmlformats.org/officeDocument/2006/relationships/hyperlink" Target="https://www.zotero.org/google-docs/?EVliLf" TargetMode="External"/><Relationship Id="rId36" Type="http://schemas.openxmlformats.org/officeDocument/2006/relationships/hyperlink" Target="https://www.zotero.org/google-docs/?EVliLf" TargetMode="External"/><Relationship Id="rId39" Type="http://schemas.openxmlformats.org/officeDocument/2006/relationships/hyperlink" Target="https://www.zotero.org/google-docs/?EVliLf" TargetMode="External"/><Relationship Id="rId38" Type="http://schemas.openxmlformats.org/officeDocument/2006/relationships/hyperlink" Target="https://www.zotero.org/google-docs/?EVliLf" TargetMode="External"/><Relationship Id="rId20" Type="http://schemas.openxmlformats.org/officeDocument/2006/relationships/hyperlink" Target="https://www.zotero.org/google-docs/?EVliLf" TargetMode="External"/><Relationship Id="rId22" Type="http://schemas.openxmlformats.org/officeDocument/2006/relationships/hyperlink" Target="https://www.zotero.org/google-docs/?EVliLf" TargetMode="External"/><Relationship Id="rId21" Type="http://schemas.openxmlformats.org/officeDocument/2006/relationships/hyperlink" Target="https://www.zotero.org/google-docs/?EVliLf" TargetMode="External"/><Relationship Id="rId24" Type="http://schemas.openxmlformats.org/officeDocument/2006/relationships/hyperlink" Target="https://www.zotero.org/google-docs/?EVliLf" TargetMode="External"/><Relationship Id="rId23" Type="http://schemas.openxmlformats.org/officeDocument/2006/relationships/hyperlink" Target="https://www.zotero.org/google-docs/?EVliLf" TargetMode="External"/><Relationship Id="rId26" Type="http://schemas.openxmlformats.org/officeDocument/2006/relationships/hyperlink" Target="https://www.zotero.org/google-docs/?EVliLf" TargetMode="External"/><Relationship Id="rId25" Type="http://schemas.openxmlformats.org/officeDocument/2006/relationships/hyperlink" Target="https://www.zotero.org/google-docs/?EVliLf" TargetMode="External"/><Relationship Id="rId28" Type="http://schemas.openxmlformats.org/officeDocument/2006/relationships/hyperlink" Target="https://www.zotero.org/google-docs/?EVliLf" TargetMode="External"/><Relationship Id="rId27" Type="http://schemas.openxmlformats.org/officeDocument/2006/relationships/hyperlink" Target="https://www.zotero.org/google-docs/?EVliLf" TargetMode="External"/><Relationship Id="rId29" Type="http://schemas.openxmlformats.org/officeDocument/2006/relationships/hyperlink" Target="https://www.zotero.org/google-docs/?EVliLf" TargetMode="External"/><Relationship Id="rId11" Type="http://schemas.openxmlformats.org/officeDocument/2006/relationships/hyperlink" Target="https://www.zotero.org/google-docs/?UJ2qeJ" TargetMode="External"/><Relationship Id="rId10" Type="http://schemas.openxmlformats.org/officeDocument/2006/relationships/hyperlink" Target="https://www.zotero.org/google-docs/?RMvQhE" TargetMode="External"/><Relationship Id="rId13" Type="http://schemas.openxmlformats.org/officeDocument/2006/relationships/hyperlink" Target="https://www.zotero.org/google-docs/?rTRARu" TargetMode="External"/><Relationship Id="rId12" Type="http://schemas.openxmlformats.org/officeDocument/2006/relationships/hyperlink" Target="https://www.zotero.org/google-docs/?40kVkl" TargetMode="External"/><Relationship Id="rId15" Type="http://schemas.openxmlformats.org/officeDocument/2006/relationships/hyperlink" Target="https://www.zotero.org/google-docs/?UdmpMF" TargetMode="External"/><Relationship Id="rId14" Type="http://schemas.openxmlformats.org/officeDocument/2006/relationships/hyperlink" Target="https://www.zotero.org/google-docs/?xBellO" TargetMode="External"/><Relationship Id="rId17" Type="http://schemas.openxmlformats.org/officeDocument/2006/relationships/hyperlink" Target="https://www.zotero.org/google-docs/?EVliLf" TargetMode="External"/><Relationship Id="rId16" Type="http://schemas.openxmlformats.org/officeDocument/2006/relationships/hyperlink" Target="https://www.zotero.org/google-docs/?yIRqTk" TargetMode="External"/><Relationship Id="rId19" Type="http://schemas.openxmlformats.org/officeDocument/2006/relationships/hyperlink" Target="https://www.zotero.org/google-docs/?EVliLf" TargetMode="External"/><Relationship Id="rId18" Type="http://schemas.openxmlformats.org/officeDocument/2006/relationships/hyperlink" Target="https://www.zotero.org/google-docs/?EVli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