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Genome Variant Analysis Report</w:t>
      </w:r>
    </w:p>
    <w:p>
      <w:pPr>
        <w:pStyle w:val="Heading1"/>
      </w:pPr>
      <w:r>
        <w:t>Patient Information</w:t>
      </w:r>
    </w:p>
    <w:p>
      <w:r>
        <w:t>Name: {d.patient.name}</w:t>
      </w:r>
    </w:p>
    <w:p>
      <w:r>
        <w:t>Sex/Age: {d.patient.gender} / {d.patient.age}</w:t>
      </w:r>
    </w:p>
    <w:p>
      <w:r>
        <w:t>Date Received: {d.patient.date_received}</w:t>
      </w:r>
    </w:p>
    <w:p>
      <w:r>
        <w:t>Indication: {d.indication}</w:t>
      </w:r>
    </w:p>
    <w:p>
      <w:pPr>
        <w:pStyle w:val="Heading1"/>
      </w:pPr>
      <w:r>
        <w:t>Whole Exome Sequencing on the Illumina Novaseq 6000 NGS Platform</w:t>
      </w:r>
    </w:p>
    <w:p>
      <w:r>
        <w:t>Clinical Indication: {d.clinical_indication}</w:t>
      </w:r>
    </w:p>
    <w:p>
      <w:pPr>
        <w:pStyle w:val="Heading2"/>
      </w:pPr>
      <w:r>
        <w:t>Interpretation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Gene &amp; Transcript</w:t>
            </w:r>
          </w:p>
        </w:tc>
        <w:tc>
          <w:tcPr>
            <w:tcW w:type="dxa" w:w="1728"/>
          </w:tcPr>
          <w:p>
            <w:r>
              <w:t>Location</w:t>
            </w:r>
          </w:p>
        </w:tc>
        <w:tc>
          <w:tcPr>
            <w:tcW w:type="dxa" w:w="1728"/>
          </w:tcPr>
          <w:p>
            <w:r>
              <w:t>Variant</w:t>
            </w:r>
          </w:p>
        </w:tc>
        <w:tc>
          <w:tcPr>
            <w:tcW w:type="dxa" w:w="1728"/>
          </w:tcPr>
          <w:p>
            <w:r>
              <w:t>Zygosity/Inheritance</w:t>
            </w:r>
          </w:p>
        </w:tc>
        <w:tc>
          <w:tcPr>
            <w:tcW w:type="dxa" w:w="1728"/>
          </w:tcPr>
          <w:p>
            <w:r>
              <w:t>Clinical Significance</w:t>
            </w:r>
          </w:p>
        </w:tc>
      </w:tr>
      <w:tr>
        <w:tc>
          <w:tcPr>
            <w:tcW w:type="dxa" w:w="1728"/>
          </w:tcPr>
          <w:p>
            <w:r>
              <w:t>{d.variants[i].gene}</w:t>
            </w:r>
          </w:p>
        </w:tc>
        <w:tc>
          <w:tcPr>
            <w:tcW w:type="dxa" w:w="1728"/>
          </w:tcPr>
          <w:p>
            <w:r>
              <w:t>{d.variants[i].location}</w:t>
            </w:r>
          </w:p>
        </w:tc>
        <w:tc>
          <w:tcPr>
            <w:tcW w:type="dxa" w:w="1728"/>
          </w:tcPr>
          <w:p>
            <w:r>
              <w:t>{d.variants[i].variant}</w:t>
            </w:r>
          </w:p>
        </w:tc>
        <w:tc>
          <w:tcPr>
            <w:tcW w:type="dxa" w:w="1728"/>
          </w:tcPr>
          <w:p>
            <w:r>
              <w:t>{d.variants[i].zygosity}</w:t>
            </w:r>
          </w:p>
        </w:tc>
        <w:tc>
          <w:tcPr>
            <w:tcW w:type="dxa" w:w="1728"/>
          </w:tcPr>
          <w:p>
            <w:r>
              <w:t>{d.variants[i].clinical_significance}</w:t>
            </w:r>
          </w:p>
        </w:tc>
      </w:tr>
    </w:tbl>
    <w:p>
      <w:r>
        <w:t>*Genetic test results are reported based on the recommendations of American College of Medical Genetics</w:t>
      </w:r>
    </w:p>
    <w:p>
      <w:pPr>
        <w:pStyle w:val="Heading2"/>
      </w:pPr>
      <w:r>
        <w:t>Interpretation</w:t>
      </w:r>
    </w:p>
    <w:p>
      <w:r>
        <w:t>{d.interpretation}</w:t>
      </w:r>
    </w:p>
    <w:p>
      <w:pPr>
        <w:pStyle w:val="Heading2"/>
      </w:pPr>
      <w:r>
        <w:t>Variant Evidence</w:t>
      </w:r>
    </w:p>
    <w:p>
      <w:r>
        <w:t>Chromosome: {d.chromosome}</w:t>
      </w:r>
    </w:p>
    <w:p>
      <w:r>
        <w:t>Position: {d.Position}</w:t>
      </w:r>
    </w:p>
    <w:p>
      <w:r>
        <w:t>Allele: {d.allele}</w:t>
      </w:r>
    </w:p>
    <w:p>
      <w:r>
        <w:t>Depth (DP): {d.DP}</w:t>
      </w:r>
    </w:p>
    <w:p>
      <w:r>
        <w:t>Percentage: {d.%}</w:t>
      </w:r>
    </w:p>
    <w:p>
      <w:r>
        <w:t>Genotype: {d.heterozygous}</w:t>
      </w:r>
    </w:p>
    <w:p>
      <w:r>
        <w:t>Phred Quality Score: {d.phredscore}</w:t>
      </w:r>
    </w:p>
    <w:p>
      <w:pPr>
        <w:pStyle w:val="Heading2"/>
      </w:pPr>
      <w:r>
        <w:t>Gene Impact</w:t>
      </w:r>
    </w:p>
    <w:p>
      <w:r>
        <w:t>Transcript: {d.Transcript}</w:t>
      </w:r>
    </w:p>
    <w:p>
      <w:r>
        <w:t>Protein: {d.protein}</w:t>
      </w:r>
    </w:p>
    <w:p>
      <w:r>
        <w:t>Coding: {d.coding}</w:t>
      </w:r>
    </w:p>
    <w:p>
      <w:r>
        <w:t>Based on above evidence, this variant {d.FLCN} is classified as Likely pathogenic variant.</w:t>
      </w:r>
    </w:p>
    <w:p>
      <w:pPr>
        <w:pStyle w:val="Heading2"/>
      </w:pPr>
      <w:r>
        <w:t>OMIM Phenotype</w:t>
      </w:r>
    </w:p>
    <w:p>
      <w:r>
        <w:t>{d.OMIM Phenotype description}</w:t>
      </w:r>
    </w:p>
    <w:p>
      <w:pPr>
        <w:pStyle w:val="Heading2"/>
      </w:pPr>
      <w:r>
        <w:t>Case Specific Recommendations</w:t>
      </w:r>
    </w:p>
    <w:p>
      <w:r>
        <w:t>{d.case_specific_recommendations}</w:t>
      </w:r>
    </w:p>
    <w:p>
      <w:r>
        <w:t>{d.recommendations}</w:t>
      </w:r>
    </w:p>
    <w:p>
      <w:pPr>
        <w:pStyle w:val="Heading2"/>
      </w:pPr>
      <w:r>
        <w:t>Methodology</w:t>
      </w:r>
    </w:p>
    <w:p>
      <w:r>
        <w:t>{d.methodology}</w:t>
      </w:r>
    </w:p>
    <w:p>
      <w:pPr>
        <w:pStyle w:val="Heading2"/>
      </w:pPr>
      <w:r>
        <w:t>Limitations/Disclaimer</w:t>
      </w:r>
    </w:p>
    <w:p>
      <w:r>
        <w:t>{d.Limitations}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