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{d.dynamic.clinicalSummary.data} 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{d.dynamic.result.data}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{d.dynamic.interpretation.data}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{d.dynamic.variantInfo.data.rowData[0][1]}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{d.dynamic.variantInfo.data.rowData[0][2]}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65"/>
              <w:gridCol w:w="1215"/>
              <w:gridCol w:w="1380"/>
              <w:tblGridChange w:id="0">
                <w:tblGrid>
                  <w:gridCol w:w="1365"/>
                  <w:gridCol w:w="1215"/>
                  <w:gridCol w:w="1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{d.dynamic.variantInfo.data.rowData[0][4]}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{d.dynamic.variantInfo.data.rowData[0][4]}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{d.dynamic.variantInfo.data.rowData[0][2]}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120" w:before="120" w:line="360" w:lineRule="auto"/>
                    <w:rPr/>
                  </w:pPr>
                  <w:r w:rsidDel="00000000" w:rsidR="00000000" w:rsidRPr="00000000">
                    <w:rPr>
                      <w:sz w:val="21"/>
                      <w:szCs w:val="21"/>
                      <w:highlight w:val="white"/>
                      <w:rtl w:val="0"/>
                    </w:rPr>
                    <w:t xml:space="preserve">{d.dynamic.variantInfo.data.rowData[0][6]}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120" w:before="120" w:line="360" w:lineRule="auto"/>
                    <w:rPr>
                      <w:sz w:val="21"/>
                      <w:szCs w:val="2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Based on the evidence, this variant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{d.dynamic.variantInfo.data.rowData[0][4]}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is classified as likely to be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variant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OMIM Phenotype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{d.dynamic.variantInfo.data.rowData[0][6]}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afterAutospacing="0" w:before="12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{d.static.recommendation.data[0]}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{d.static.recommendation.data[1]}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{d.static.recommendation.data[2]}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120" w:before="0" w:beforeAutospacing="0" w:line="360" w:lineRule="auto"/>
              <w:ind w:left="720" w:hanging="360"/>
              <w:rPr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{d.static.recommendation.data[3]}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{d.static.test_methodology.data}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{d.static.limitation.data}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{d.static.disclaimer.data}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{d.static.terms.data.rowData[0][1]}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{d.static.terms.data.rowData[1][1]}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{d.static.references.data[0]}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{d.static.references.data[1]}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{d.static.references.data[2]}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{d.static.references.data[3]}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{d.static.references.data[4]}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{d.static.references.data[5]}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{d.static.references.data[6]}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{d.static.references.data[7]}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{d.static.references.data[8]}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{d.static.references.data[9]}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{d.static.references.data[10]}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{d.static.references.data[11]}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{d.static.references.data[12]}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{d.static.references.data[13]}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{d.static.references.data[14]}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{d.static.references.data[15]}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{d.static.references.data[16]}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{d.static.references.data[17]}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{d.static.references.data[18]}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{d.static.references.data[19]}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{d.static.references.data[20]}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{d.static.references.data[21]}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{d.static.references.data[22]}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{d.static.references.data[23]}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{d.static.references.data[24]}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{d.static.references.data[25]}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{d.static.references.data[26]}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{d.static.references.data[27]}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Appendix 1: Sample Data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3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Database Information: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{d.dynamic.databaseInformation[0].description}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 Genomes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gnomAD_exome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gnom_genome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inhousedb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Presence/Absence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{d.dynamic.databaseInformation[0].data.rowData[0][5]}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MAF Vaues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{d.dynamic.databaseInformation[0].data.rowData[1][0]}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{d.dynamic.databaseInformation[0].data.rowData[1][1]}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{d.dynamic.databaseInformation[0].data.rowData[1][2]}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{d.dynamic.databaseInformation[0].data.rowData[1][3]}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{d.dynamic.databaseInformation[0].data.rowData[1][4]}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{d.dynamic.databaseInformation[0].data.rowData[1][5]}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{d.dynamic.additionFindingsHeader.data[0]}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Django Framework: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Backend handles the logic for converting JSON data into a PDF format,Frontend provides a user-friendly interface for uploading JSON and DOCX template files.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Carbone API is used to authenticate requests to the Carbone service.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Template Handling - handles docx template and json file with data.User can upload both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Workflow</w:t>
        <w:br w:type="textWrapping"/>
        <w:br w:type="textWrapping"/>
        <w:tab/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Data Mapping: The JSON data is parsed and mapped onto the placeholders in the DOCX template.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mapping process in the project involves inserting JSON data into the placeholders within the DOCX template.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a user uploads a JSON file and a DOCX template, the Django backend parses the JSON data and identifies the corresponding placeholders in the DOCX file.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These placeholders are typically denoted by specific tags or markers (e.g.,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{d.dynamic.caseMetaData.proband.name}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system then replaces these placeholders with the actual data from the JSON file. </w:t>
        <w:br w:type="textWrapping"/>
        <w:br w:type="textWrapping"/>
        <w:t xml:space="preserve">For instance, if the JSON contains a patient's name, the system will find the placeholder for the patient's name in the template and replace it with the actual name from the JSON data.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process is repeated for all relevant fields, ensuring that the final DOCX document is fully populated with the provided data.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the template is populated, it is sent to the Carbone API for conversion to a PDF document, which can then be downloaded by the user.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dynamic mapping ensures that the generated PDF accurately reflects the data provided in the JSON file, adhering to the format specified in the DOCX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access the Django application through a web browser.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interface allows users to upload a DOCX template and a JSON file.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Mapping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populated DOCX template is sent to the Carbone API for conversion to PDF.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Carbone API processes the request and returns the PDF document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generated PDF is made available for download through the user interface.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Signature 1                       Signature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  <w:t xml:space="preserve">Name               :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{d.dynamic.caseMetaData.proband.name}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  <w:t xml:space="preserve">Sex/Age          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{d.dynamic.caseMetaData.proband.sex}/{d.dynamic.caseMetaData.proband.age} {d.dynamic.caseMetaData.proband.ageUnit}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  <w:t xml:space="preserve">Date Received :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{d.dynamic.caseMetaData.proband.sampleReceived}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  <w:t xml:space="preserve">Indication         :    </w:t>
    </w:r>
    <w:r w:rsidDel="00000000" w:rsidR="00000000" w:rsidRPr="00000000">
      <w:rPr>
        <w:sz w:val="21"/>
        <w:szCs w:val="21"/>
        <w:highlight w:val="white"/>
        <w:rtl w:val="0"/>
      </w:rPr>
      <w:t xml:space="preserve">{d.dynamic.caseMetaData.proband.PhenotypeDesc}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