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{d.dynamic.clinicalSummary.data}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{d.dynamic.result.data}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{d.dynamic.FLNC.data}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{d.dynamic.interpretation.data}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{d.dynamic.variantInfo.data.Location}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 {d.position}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{d.dynamic.variantInfo.data.Variation}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65"/>
              <w:gridCol w:w="1215"/>
              <w:gridCol w:w="1380"/>
              <w:tblGridChange w:id="0">
                <w:tblGrid>
                  <w:gridCol w:w="1365"/>
                  <w:gridCol w:w="1215"/>
                  <w:gridCol w:w="13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{d.dynamic.variantInfo.data.rowData[0][4]}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{d.dynamic.variantInfo.data.rowData[0].%}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{d.dynamic.variantInfo.data.rowData[0][4]}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phred quality score:  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{d.dynamic.variantInfo.data.phredscore}</w:t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31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{d.dynamic.variantInfo.data.rowData[0][6]}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Based on the evidence, this variant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{d.dynamic.variantInfo.data.rowData[0][4]}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is classified as likely to be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{d.dynamic.variantInfo.data.rowData[0][6]}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OMIM Phenotype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{d.dynamic.variantInfo.data.rowData[0][6]}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120" w:before="120" w:line="36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{d.static.test_methodology.data}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{d.static.limitation.data}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{d.static.disclaimer.data}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{d.static.terms.data.rowData[0][1]}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{d.static.terms.data.rowData[1][1]}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{d.static.references.data[0]}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{d.static.references.data[1]}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{d.static.references.data[2]}</w:t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Appendix 1: Sample Data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{d.coverageSummary.meanDepth}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{d.coverageSummary.percentageCovered}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Database Information: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11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 Genomes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gnomAD_exome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gnom_genome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inhousedb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{d.dynamic.databaseInformation.data.rowData[0][1]}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{d.dynamic.databaseInformation.data.rowData[0][2]}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{d.dynamic.databaseInformation.data.rowData[0][3]}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{d.dynamic.databaseInformation.data.rowData[0][4]}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{d.dynamic.databaseInformation.data.rowData[0][5]}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{d.dynamic.databaseInformation.data.rowData[1][1]}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{d.dynamic.databaseInformation.data.rowData[1][2]}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{d.dynamic.databaseInformation.data.rowData[1][3]}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{d.dynamic.databaseInformation.data.rowData[1][4]}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{d.dynamic.databaseInformation.data.rowData[1][5]}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  <w:t xml:space="preserve">Signature 1                       Siganture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  <w:t xml:space="preserve">Name               :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{d.dynamic.caseMetaData.proband.name}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  <w:t xml:space="preserve">Sex/Age          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{d.dynamic.caseMetaData.proband.sex}/{d.dynamic.caseMetaData.proband.age} {d.dynamic.caseMetaData.proband.ageUnit}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  <w:t xml:space="preserve">Date Received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{d.dynamic.caseMetaData.proband.sampleReceived}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  <w:t xml:space="preserve">Indication         : 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{d.dynamic.caseMetaData.proband.PhenotypeDesc}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