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{d.dynamic.result.data}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{d.dynamic.variantInfo.data.rowData[0][1]}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{d.dynamic.variantInfo.data.rowData[0][2]}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{d.static.recommendation.data[0]}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{d.static.recommendation.data[1]}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{d.static.recommendation.data[2]}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{d.static.recommendation.data[3]}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{d.static.references.data[0]}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{d.static.references.data[1]}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{d.static.references.data[2]}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{d.static.references.data[3]}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{d.static.references.data[4]}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{d.static.references.data[5]}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{d.static.references.data[6]}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{d.static.references.data[7]}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{d.static.references.data[8]}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{d.static.references.data[9]}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{d.static.references.data[10]}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{d.static.references.data[11]}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{d.static.references.data[12]}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{d.static.references.data[13]}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{d.static.references.data[14]}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{d.static.references.data[15]}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{d.static.references.data[16]}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{d.static.references.data[17]}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{d.static.references.data[18]}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{d.static.references.data[19]}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{d.static.references.data[20]}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{d.static.references.data[21]}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{d.static.references.data[22]}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{d.static.references.data[23]}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{d.static.references.data[24]}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{d.static.references.data[25]}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{d.static.references.data[26]}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{d.static.references.data[27]}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{d.dynamic.databaseInformation[0].description}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Presence/Absence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MAF Vaues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{d.dynamic.databaseInformation[0].data.rowData[1][5]}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{d.dynamic.additionFindingsHeader.data[0]}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