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Whole Exome Sequencing on the Illumina Novaseq 6000 NGS Platofrm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Clinical Indication: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{d.dynamic.clinicalSummary.data} 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Variant Interpretation &amp; Clinical correlation: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{d.dynamic.FLNC.data}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color w:val="383a42"/>
          <w:sz w:val="21"/>
          <w:szCs w:val="21"/>
          <w:highlight w:val="white"/>
          <w:rtl w:val="0"/>
        </w:rPr>
        <w:t xml:space="preserve">{d.dynamic.interpretation.data}</w:t>
      </w:r>
    </w:p>
    <w:p w:rsidR="00000000" w:rsidDel="00000000" w:rsidP="00000000" w:rsidRDefault="00000000" w:rsidRPr="00000000" w14:paraId="0000000F">
      <w:pPr>
        <w:spacing w:after="120" w:before="120" w:line="360" w:lineRule="auto"/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Variant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 Impact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Chromosome: </w:t>
            </w:r>
            <w:r w:rsidDel="00000000" w:rsidR="00000000" w:rsidRPr="00000000">
              <w:rPr>
                <w:color w:val="383a42"/>
                <w:sz w:val="21"/>
                <w:szCs w:val="21"/>
                <w:highlight w:val="white"/>
                <w:rtl w:val="0"/>
              </w:rPr>
              <w:t xml:space="preserve">{d.dynamic.variantInfo.data.rowData[0].Location}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Position: {d.position}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NC_000017.11(GRCh38 CHr17):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{d.Nc}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13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55"/>
              <w:gridCol w:w="885"/>
              <w:gridCol w:w="1095"/>
              <w:tblGridChange w:id="0">
                <w:tblGrid>
                  <w:gridCol w:w="1155"/>
                  <w:gridCol w:w="885"/>
                  <w:gridCol w:w="10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Allele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after="120" w:before="120" w:line="360" w:lineRule="auto"/>
                    <w:rPr>
                      <w:color w:val="383a42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color w:val="383a42"/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{d.dynamic.variantInfo.data.rowData[0].Zygosity}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after="120" w:before="120" w:line="360" w:lineRule="auto"/>
                    <w:rPr>
                      <w:color w:val="383a42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color w:val="383a42"/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{d.dynamic.variantInfo.data.rowData[0].DP}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after="120" w:before="120" w:line="360" w:lineRule="auto"/>
                    <w:rPr>
                      <w:color w:val="383a42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color w:val="383a42"/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{d.dynamic.variantInfo.data.rowData[0].%}</w:t>
                  </w:r>
                </w:p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Genotype:                    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120" w:before="120" w:line="360" w:lineRule="auto"/>
              <w:rPr>
                <w:color w:val="383a4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83a42"/>
                <w:sz w:val="21"/>
                <w:szCs w:val="21"/>
                <w:highlight w:val="white"/>
                <w:rtl w:val="0"/>
              </w:rPr>
              <w:t xml:space="preserve">{d.dynamic.variantInfo.data.rowData[0].Zygosity} 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phred quality score:   </w:t>
            </w:r>
            <w:r w:rsidDel="00000000" w:rsidR="00000000" w:rsidRPr="00000000">
              <w:rPr>
                <w:color w:val="383a42"/>
                <w:sz w:val="21"/>
                <w:szCs w:val="21"/>
                <w:highlight w:val="white"/>
                <w:rtl w:val="0"/>
              </w:rPr>
              <w:t xml:space="preserve">{d.dynamic.variantInfo.data.rowData[0].phredscore}</w:t>
            </w:r>
            <w:r w:rsidDel="00000000" w:rsidR="00000000" w:rsidRPr="00000000">
              <w:rPr>
                <w:rtl w:val="0"/>
              </w:rPr>
              <w:t xml:space="preserve">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RefSeq Gnese 110, NCBI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Gene:</w:t>
                  </w:r>
                </w:p>
                <w:p w:rsidR="00000000" w:rsidDel="00000000" w:rsidP="00000000" w:rsidRDefault="00000000" w:rsidRPr="00000000" w14:paraId="0000003F">
                  <w:pPr>
                    <w:widowControl w:val="0"/>
                    <w:spacing w:after="120" w:before="120" w:line="360" w:lineRule="auto"/>
                    <w:rPr>
                      <w:color w:val="383a42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color w:val="383a42"/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{d.dynamic.variantInfo.data.rowData[0].Gene (Transcript)}</w:t>
                  </w:r>
                </w:p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Transcript:</w:t>
                  </w:r>
                </w:p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83a42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color w:val="383a42"/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{d.dynamic.variantInfo.data.rowData[0].Gene (Transcript)}</w:t>
                  </w:r>
                </w:p>
                <w:p w:rsidR="00000000" w:rsidDel="00000000" w:rsidP="00000000" w:rsidRDefault="00000000" w:rsidRPr="00000000" w14:paraId="00000043">
                  <w:pPr>
                    <w:widowControl w:val="0"/>
                    <w:spacing w:after="120" w:before="120" w:line="360" w:lineRule="auto"/>
                    <w:rPr>
                      <w:color w:val="383a42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4">
                  <w:pPr>
                    <w:widowControl w:val="0"/>
                    <w:spacing w:line="360" w:lineRule="auto"/>
                    <w:rPr>
                      <w:color w:val="18803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Effect:</w:t>
                  </w:r>
                </w:p>
                <w:p w:rsidR="00000000" w:rsidDel="00000000" w:rsidP="00000000" w:rsidRDefault="00000000" w:rsidRPr="00000000" w14:paraId="00000047">
                  <w:pPr>
                    <w:widowControl w:val="0"/>
                    <w:spacing w:after="120" w:before="120" w:line="360" w:lineRule="auto"/>
                    <w:rPr/>
                  </w:pPr>
                  <w:r w:rsidDel="00000000" w:rsidR="00000000" w:rsidRPr="00000000">
                    <w:rPr>
                      <w:color w:val="383a42"/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{d.dynamic.variantInfo.data.rowData[0].Classification}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Protein:</w:t>
                  </w:r>
                </w:p>
                <w:p w:rsidR="00000000" w:rsidDel="00000000" w:rsidP="00000000" w:rsidRDefault="00000000" w:rsidRPr="00000000" w14:paraId="00000049">
                  <w:pPr>
                    <w:widowControl w:val="0"/>
                    <w:spacing w:after="120" w:before="120" w:line="360" w:lineRule="auto"/>
                    <w:rPr>
                      <w:color w:val="383a42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color w:val="383a42"/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{d.dynamic.variantInfo.data.rowData[0].Variation}</w:t>
                  </w:r>
                </w:p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Exon:</w:t>
                  </w:r>
                </w:p>
                <w:p w:rsidR="00000000" w:rsidDel="00000000" w:rsidP="00000000" w:rsidRDefault="00000000" w:rsidRPr="00000000" w14:paraId="0000004C">
                  <w:pPr>
                    <w:widowControl w:val="0"/>
                    <w:spacing w:after="120" w:before="120" w:line="360" w:lineRule="auto"/>
                    <w:rPr>
                      <w:color w:val="383a42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color w:val="383a42"/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{d.dynamic.variantInfo.data.rowData[0].Variation}</w:t>
                  </w:r>
                </w:p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Coding:</w:t>
                  </w:r>
                </w:p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83a42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color w:val="383a42"/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{d.dynamic.variantInfo.data.rowData[0].Variation}</w:t>
                  </w:r>
                </w:p>
                <w:p w:rsidR="00000000" w:rsidDel="00000000" w:rsidP="00000000" w:rsidRDefault="00000000" w:rsidRPr="00000000" w14:paraId="00000050">
                  <w:pPr>
                    <w:widowControl w:val="0"/>
                    <w:spacing w:after="120" w:before="120" w:line="360" w:lineRule="auto"/>
                    <w:rPr>
                      <w:color w:val="383a42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1">
                  <w:pPr>
                    <w:widowControl w:val="0"/>
                    <w:spacing w:line="360" w:lineRule="auto"/>
                    <w:rPr>
                      <w:color w:val="18803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Based on the evidence, this variant </w:t>
      </w:r>
      <w:r w:rsidDel="00000000" w:rsidR="00000000" w:rsidRPr="00000000">
        <w:rPr>
          <w:color w:val="383a42"/>
          <w:sz w:val="21"/>
          <w:szCs w:val="21"/>
          <w:highlight w:val="white"/>
          <w:rtl w:val="0"/>
        </w:rPr>
        <w:t xml:space="preserve">{d.dynamic.variantInfo.data.rowData[0].Variation}</w:t>
      </w:r>
    </w:p>
    <w:p w:rsidR="00000000" w:rsidDel="00000000" w:rsidP="00000000" w:rsidRDefault="00000000" w:rsidRPr="00000000" w14:paraId="00000056">
      <w:pPr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is classified as likely to be  </w:t>
      </w:r>
      <w:r w:rsidDel="00000000" w:rsidR="00000000" w:rsidRPr="00000000">
        <w:rPr>
          <w:color w:val="383a42"/>
          <w:sz w:val="21"/>
          <w:szCs w:val="21"/>
          <w:highlight w:val="white"/>
          <w:rtl w:val="0"/>
        </w:rPr>
        <w:t xml:space="preserve">{d.dynamic.variantInfo.data.rowData[0].Classification}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variant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OMIM Phenotype</w:t>
      </w:r>
    </w:p>
    <w:p w:rsidR="00000000" w:rsidDel="00000000" w:rsidP="00000000" w:rsidRDefault="00000000" w:rsidRPr="00000000" w14:paraId="0000005A">
      <w:pPr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color w:val="383a42"/>
          <w:sz w:val="21"/>
          <w:szCs w:val="21"/>
          <w:highlight w:val="white"/>
          <w:rtl w:val="0"/>
        </w:rPr>
        <w:t xml:space="preserve">{d.dynamic.variantInfo.data.rowData[0].Disease (OMIM)}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Specific Recommendations: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3a42"/>
                <w:sz w:val="21"/>
                <w:szCs w:val="21"/>
                <w:highlight w:val="white"/>
                <w:rtl w:val="0"/>
              </w:rPr>
              <w:t xml:space="preserve">{d.dynamic.recommendation.data}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Recommendations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120" w:before="120" w:line="360" w:lineRule="auto"/>
              <w:rPr/>
            </w:pPr>
            <w:r w:rsidDel="00000000" w:rsidR="00000000" w:rsidRPr="00000000">
              <w:rPr>
                <w:color w:val="383a42"/>
                <w:sz w:val="21"/>
                <w:szCs w:val="21"/>
                <w:highlight w:val="white"/>
                <w:rtl w:val="0"/>
              </w:rPr>
              <w:t xml:space="preserve">{d.static.recommendation.data}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Methodology: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3a42"/>
                <w:sz w:val="21"/>
                <w:szCs w:val="21"/>
                <w:highlight w:val="white"/>
                <w:rtl w:val="0"/>
              </w:rPr>
              <w:t xml:space="preserve">{d.static.test_methodology.data}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Limitations/Disclaimer: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3a4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83a42"/>
                <w:sz w:val="21"/>
                <w:szCs w:val="21"/>
                <w:highlight w:val="white"/>
                <w:rtl w:val="0"/>
              </w:rPr>
              <w:t xml:space="preserve">{d.static.limitation.data}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3a4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3a42"/>
                <w:sz w:val="21"/>
                <w:szCs w:val="21"/>
                <w:highlight w:val="white"/>
                <w:rtl w:val="0"/>
              </w:rPr>
              <w:t xml:space="preserve">{d.static.disclaimer.data}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Variant Classification as per ACMG guidelines: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80">
      <w:pPr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color w:val="383a42"/>
          <w:sz w:val="21"/>
          <w:szCs w:val="21"/>
          <w:highlight w:val="white"/>
          <w:rtl w:val="0"/>
        </w:rPr>
        <w:t xml:space="preserve">{d.static.references.data}</w:t>
      </w:r>
    </w:p>
    <w:p w:rsidR="00000000" w:rsidDel="00000000" w:rsidP="00000000" w:rsidRDefault="00000000" w:rsidRPr="00000000" w14:paraId="00000081">
      <w:pPr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Appendix 1: Sample Data and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20" w:before="120" w:line="360" w:lineRule="auto"/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color w:val="383a42"/>
          <w:sz w:val="21"/>
          <w:szCs w:val="21"/>
          <w:highlight w:val="white"/>
          <w:rtl w:val="0"/>
        </w:rPr>
        <w:t xml:space="preserve">{#d.dynamic.databaseInformation}</w:t>
      </w:r>
    </w:p>
    <w:p w:rsidR="00000000" w:rsidDel="00000000" w:rsidP="00000000" w:rsidRDefault="00000000" w:rsidRPr="00000000" w14:paraId="00000091">
      <w:pPr>
        <w:spacing w:after="120" w:before="120" w:line="360" w:lineRule="auto"/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color w:val="383a42"/>
          <w:sz w:val="21"/>
          <w:szCs w:val="21"/>
          <w:highlight w:val="white"/>
          <w:rtl w:val="0"/>
        </w:rPr>
        <w:t xml:space="preserve">{d.description}</w:t>
      </w:r>
    </w:p>
    <w:p w:rsidR="00000000" w:rsidDel="00000000" w:rsidP="00000000" w:rsidRDefault="00000000" w:rsidRPr="00000000" w14:paraId="00000092">
      <w:pPr>
        <w:spacing w:after="120" w:before="120" w:line="360" w:lineRule="auto"/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color w:val="383a42"/>
          <w:sz w:val="21"/>
          <w:szCs w:val="21"/>
          <w:highlight w:val="white"/>
          <w:rtl w:val="0"/>
        </w:rPr>
        <w:t xml:space="preserve">{d.data.rowData[0]}</w:t>
      </w:r>
    </w:p>
    <w:p w:rsidR="00000000" w:rsidDel="00000000" w:rsidP="00000000" w:rsidRDefault="00000000" w:rsidRPr="00000000" w14:paraId="00000093">
      <w:pPr>
        <w:spacing w:after="120" w:before="120" w:line="360" w:lineRule="auto"/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color w:val="383a42"/>
          <w:sz w:val="21"/>
          <w:szCs w:val="21"/>
          <w:highlight w:val="white"/>
          <w:rtl w:val="0"/>
        </w:rPr>
        <w:t xml:space="preserve">{d.data.rowData[1]}</w:t>
      </w:r>
    </w:p>
    <w:p w:rsidR="00000000" w:rsidDel="00000000" w:rsidP="00000000" w:rsidRDefault="00000000" w:rsidRPr="00000000" w14:paraId="00000094">
      <w:pPr>
        <w:spacing w:after="120" w:before="120" w:line="360" w:lineRule="auto"/>
        <w:rPr/>
      </w:pPr>
      <w:r w:rsidDel="00000000" w:rsidR="00000000" w:rsidRPr="00000000">
        <w:rPr>
          <w:color w:val="383a42"/>
          <w:sz w:val="21"/>
          <w:szCs w:val="21"/>
          <w:highlight w:val="white"/>
          <w:rtl w:val="0"/>
        </w:rPr>
        <w:t xml:space="preserve">{/d.dynamic.databaseInformation}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Appendix 2: Coverage Summary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 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Percentage target base pairs covered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Appendix 3: Coverage of Analyzed Genes (Percentage of coding region covered)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rPr/>
    </w:pPr>
    <w:r w:rsidDel="00000000" w:rsidR="00000000" w:rsidRPr="00000000">
      <w:rPr>
        <w:rtl w:val="0"/>
      </w:rPr>
      <w:t xml:space="preserve">Signature 1                       Siganture 2                   Signature 3                        Nucleome Address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6224588" cy="12858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24588" cy="1285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rPr/>
    </w:pPr>
    <w:r w:rsidDel="00000000" w:rsidR="00000000" w:rsidRPr="00000000">
      <w:rPr>
        <w:rtl w:val="0"/>
      </w:rPr>
      <w:t xml:space="preserve">Name               :  </w:t>
    </w:r>
    <w:r w:rsidDel="00000000" w:rsidR="00000000" w:rsidRPr="00000000">
      <w:rPr>
        <w:color w:val="383a42"/>
        <w:sz w:val="21"/>
        <w:szCs w:val="21"/>
        <w:highlight w:val="white"/>
        <w:rtl w:val="0"/>
      </w:rPr>
      <w:t xml:space="preserve">{d.dynamic.caseMetaData.proband.name}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rPr/>
    </w:pPr>
    <w:r w:rsidDel="00000000" w:rsidR="00000000" w:rsidRPr="00000000">
      <w:rPr>
        <w:rtl w:val="0"/>
      </w:rPr>
      <w:t xml:space="preserve">Sex/Age           :   </w:t>
    </w:r>
    <w:r w:rsidDel="00000000" w:rsidR="00000000" w:rsidRPr="00000000">
      <w:rPr>
        <w:color w:val="383a42"/>
        <w:sz w:val="21"/>
        <w:szCs w:val="21"/>
        <w:highlight w:val="white"/>
        <w:rtl w:val="0"/>
      </w:rPr>
      <w:t xml:space="preserve">{d.dynamic.caseMetaData.proband.sex}/{d.dynamic.caseMetaData.proband.age} {d.dynamic.caseMetaData.proband.ageUnit}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9">
    <w:pPr>
      <w:rPr/>
    </w:pPr>
    <w:r w:rsidDel="00000000" w:rsidR="00000000" w:rsidRPr="00000000">
      <w:rPr>
        <w:rtl w:val="0"/>
      </w:rPr>
      <w:t xml:space="preserve">Date Received :   </w:t>
    </w:r>
    <w:r w:rsidDel="00000000" w:rsidR="00000000" w:rsidRPr="00000000">
      <w:rPr>
        <w:color w:val="383a42"/>
        <w:sz w:val="21"/>
        <w:szCs w:val="21"/>
        <w:highlight w:val="white"/>
        <w:rtl w:val="0"/>
      </w:rPr>
      <w:t xml:space="preserve">{d.dynamic.caseMetaData.proband.sampleReceived}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rPr/>
    </w:pPr>
    <w:r w:rsidDel="00000000" w:rsidR="00000000" w:rsidRPr="00000000">
      <w:rPr>
        <w:rtl w:val="0"/>
      </w:rPr>
      <w:t xml:space="preserve">Indication         :    </w:t>
    </w:r>
    <w:r w:rsidDel="00000000" w:rsidR="00000000" w:rsidRPr="00000000">
      <w:rPr>
        <w:color w:val="383a42"/>
        <w:sz w:val="21"/>
        <w:szCs w:val="21"/>
        <w:highlight w:val="white"/>
        <w:rtl w:val="0"/>
      </w:rPr>
      <w:t xml:space="preserve">{d.dynamic.caseMetaData.proband.PhenotypeDesc}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